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Conversation Review Pack</w:t>
      </w:r>
    </w:p>
    <w:p>
      <w:pPr>
        <w:spacing w:after="80"/>
        <w:jc w:val="center"/>
      </w:pPr>
      <w:r>
        <w:rPr>
          <w:b/>
          <w:bCs/>
          <w:color w:val="0B2545"/>
          <w:sz w:val="32"/>
          <w:szCs w:val="32"/>
        </w:rPr>
        <w:t xml:space="preserve">Review Pack 5 - Narrow Parity - Rounds 6-10</w:t>
      </w:r>
    </w:p>
    <w:p>
      <w:pPr>
        <w:spacing w:after="400"/>
        <w:jc w:val="center"/>
      </w:pPr>
      <w:r>
        <w:rPr>
          <w:color w:val="5A6472"/>
          <w:sz w:val="24"/>
          <w:szCs w:val="24"/>
        </w:rPr>
        <w:t xml:space="preserve">Narrow Parity, Rounds 6-10</w:t>
      </w:r>
    </w:p>
    <w:p>
      <w:pPr>
        <w:spacing w:after="60"/>
        <w:jc w:val="center"/>
      </w:pPr>
      <w:r>
        <w:rPr>
          <w:color w:val="5A6472"/>
          <w:sz w:val="20"/>
          <w:szCs w:val="20"/>
        </w:rPr>
        <w:t xml:space="preserve">5 scenarios - priority partner per scenario</w:t>
      </w:r>
    </w:p>
    <w:p>
      <w:pPr>
        <w:jc w:val="center"/>
      </w:pPr>
      <w:r>
        <w:rPr>
          <w:i/>
          <w:iCs/>
          <w:color w:val="5A6472"/>
          <w:sz w:val="18"/>
          <w:szCs w:val="18"/>
        </w:rPr>
        <w:t xml:space="preserve">Contains every learner-facing screen (copy + on-screen data) and the full priority partner conversation for each scenario.</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shows the priority partner exactly as the learner encounters them: the Portfolio card, the Partner Detail screen (all visible metrics and data), the four persona coaching lenses, the prescribed Pricing Diagnostic to Pitch Flow, and the full branching conversation.</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 that drives grading.</w:t>
      </w:r>
    </w:p>
    <w:p>
      <w:pPr>
        <w:pStyle w:val="ListParagraph"/>
        <w:numPr>
          <w:ilvl w:val="0"/>
          <w:numId w:val="1"/>
        </w:numPr>
        <w:spacing w:after="80"/>
      </w:pPr>
      <w:r>
        <w:rPr>
          <w:sz w:val="20"/>
          <w:szCs w:val="20"/>
        </w:rPr>
        <w:t xml:space="preserve">Metric values are shown as they render on screen. eRPD shows the percentage and the month-on-month change in brackets. Secondary and comparator metrics show the value with the vs-peer / vs-last-year delta in brackets.</w:t>
      </w:r>
    </w:p>
    <w:p>
      <w:r>
        <w:br w:type="page"/>
      </w:r>
    </w:p>
    <w:p>
      <w:pPr>
        <w:shd w:fill="0B2545" w:val="clear"/>
        <w:spacing w:after="60" w:before="120"/>
      </w:pPr>
      <w:r>
        <w:rPr>
          <w:b/>
          <w:bCs/>
          <w:color w:val="FFFFFF"/>
          <w:sz w:val="30"/>
          <w:szCs w:val="30"/>
        </w:rPr>
        <w:t xml:space="preserve">  ROUND 6  -  Oceanfront Bliss Lodge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Oceanfront Bliss Lodge</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Size: </w:t>
      </w:r>
      <w:r>
        <w:rPr>
          <w:sz w:val="20"/>
          <w:szCs w:val="20"/>
        </w:rPr>
        <w:t xml:space="preserve">309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Oceanfront Bliss Lodge</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Lodge</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309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66%</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+9.6% (-2.69)</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6,000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+9.6%</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+9.6%</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66%</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1</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+9.6%</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 (-84%)</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71 (-34%)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159 (+23%)</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2448 (-89%)</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4.8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113 (-56%)</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146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jumping into the call! I've been analyzing the performance trends for your property - particularly your visibility and search traffic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“Well, Zara, we're seeing traction locally, but our volume through you has slowed down significantly compared to last year. What's going on with our visibility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look at the data together. When guests find your property, your conversion rate is outstanding - beating your local peer group by 17%. But your page views are down 89%. The likely root cause is that your Booking.com price is consistently around 10% higher than your website around 65% of the time.”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“Let's be honest, Zara. That's entirely by design. I want travelers to find us on Booking.com, see the higher price, and think, 'let me go to their direct website for a better deal.' It's a practical tool to drive direct bookings and save on costs.”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can tell you right now what this is - your numbers are down because your Booking.com rates are simply too expensive compared to everyone else. The fix is straightforward: drop your rates across the board, bring them down to the pack, and the traffic comes straight back the moment you do it. That's the whole story.”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slower month - these things move around a lot and it's usually nothing to worry about. Before we dig into any numbers, I'd love to just hear how the season's been treating you, how the team's doing, and whether there's anything else on your mind I can help with today.”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what's going on with my visibility.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“Let's be honest, Zara. That's entirely by design. I want travelers to find us on Booking.com, see the higher price, and think, 'let me go to their direct website for a better deal.' It's a practical tool to drive direct bookings and save on costs.”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but search behavior works a bit differently. When travelers compare properties side-by-side on our platform and your offer isn't attractive, they click a cheaper competitor instead of searching for your website. How is your direct website doing?”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campaigns and ads on our side, so we can't tell exactly where the traffic comes from, but visibility on our direct website is increasing and that's what we aim for.”</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honestly I can see the logic in it - keeping your Booking.com price higher than your website does push a fair number of guests to go and book with you directly, which saves you the commission you'd otherwise pay us. So in that sense the strategy you've built is basically working the way you intended it to.”</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'see it higher, then book direct' idea is a bit of a gimmick, and I'd be doing you a disservice if I didn't just say so plainly - it doesn't actually work the way you think it does, travelers don't behave like that, and the sooner you drop the markup and stop relying on it, the better off you'll be.”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calling my strategy a gimmick isn't going to get us anywhere.”</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campaigns and ads on our side, so we can't tell exactly where the traffic comes from, but visibility on our direct website is increasing and that's what we aim for.”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visibility is fine on your website, why not improve it on our platform too? What would help is matching your direct rates here, so you win the guests who start their journey with us and protect your discoverability.”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see your point about losing them to the guy down the street before they even know who we are. But how does this affect my overall revenue mix if I bring the rates into alignment?”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 fix here is simply to set your Booking.com price a little lower than the rate on your own direct site, so when travelers are comparing options they just pick you here without a second thought and you win that booking every time.”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That's a non-starter.”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any pricier than the other big OTAs are showing either - go through their rates, match whatever they've got you listed at, and bring yourself into line here so you stay competitive everywhere.”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“I see your point about losing them to the guy down the street before they even know who we are. But how does this affect my overall revenue mix if I bring the rates into alignment?”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say your rates are around 10% cheaper than the ones on Booking.com - your acquisition cost could be higher than the commission you pay to us. This isn't about stealing your direct guests, but finding incremental demand.”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“It's about total revenue stability at the end of the day, isn't it? If I can get some revenue from those empty rooms, it's worth a trial.”</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I'll cut through all the math for you - the bottom line is that you just need to be cheaper on our platform than you are anywhere else, plain and simple. That's the one lever that actually moves the volume, so bring your rates down here and the bookings will follow. It really is that straightforward.”</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“'Just be cheaper' isn't a revenue case. Give me the actual economics.”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I'm going to be straight with you because someone has to - holding on to this position is quietly costing you the very guests you keep telling me you care so much about, month after month, and you're the one standing in the way of fixing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isn't the way to work together.”</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“It's about total revenue stability at the end of the day, isn't it? If I can get some revenue from those empty rooms, it's worth a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“Exactly. Let's make sure your rates match your direct site so you stop losing those bookings. Why don't we look at the rates now and review the results in a month?”</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“Let's do it, Zara. Let's align the rates and see if we can get those search views back.”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“Simplest thing here is to just reduce every one of your rates right now by a flat 10% across the board, then sit back and watch all that lost volume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“An across-the-board cut torches my ADR - that's exactly what I don't want.”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be very clear about this - if you choose not to align those rates, our system is simply going to keep pushing your visibility further down until the day you finally do.”</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“Ending on a threat about my ranking is the fastest way to lose me. We're done.”</w:t>
      </w:r>
    </w:p>
    <w:p>
      <w:r>
        <w:br w:type="page"/>
      </w:r>
    </w:p>
    <w:p>
      <w:pPr>
        <w:shd w:fill="0B2545" w:val="clear"/>
        <w:spacing w:after="60" w:before="120"/>
      </w:pPr>
      <w:r>
        <w:rPr>
          <w:b/>
          <w:bCs/>
          <w:color w:val="FFFFFF"/>
          <w:sz w:val="30"/>
          <w:szCs w:val="30"/>
        </w:rPr>
        <w:t xml:space="preserve">  ROUND 7  -  Palace Grand Resort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Palace Grand Resort</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Size: </w:t>
      </w:r>
      <w:r>
        <w:rPr>
          <w:sz w:val="20"/>
          <w:szCs w:val="20"/>
        </w:rPr>
        <w:t xml:space="preserve">70 rooms</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Palace Grand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Nurturer (green)</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60%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+7.2% (+10.95)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6,800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+8.9%</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-1.3%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60%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+7.2%</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267 (-46%)</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349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216 (+6%)</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6553 (-53%)</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4 (+45%)</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435 (-9%)</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175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thanks for connecting today. I know you've been reviewing the performance, so let's look at the data together to see how we can optimize the property's visibility this quarter.”</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“I have to tell you, I'm facing a lot of friction. Other OTAs keep reaching out saying they've noticed more competitive prices on your platform, while I'm giving everyone the same rates. Why are they telling me this, and why are we seeing these visibility drops if our conversion is better than our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how frustrating that is, but let's look at it from a revenue perspective. You convert very well once guests find you, but your page views are down 53% because your prices appear uncompetitive in the majority of searches. That gap is concentrated in your mobile traffic and your family configurations.”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other platform is telling us we need to drop our rates or let them run exclusive campaigns to fix it. If they're cutting margins to win the guest, we expect Booking.com to just match their actions.”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honestly it's really unfair - those other OTAs are undercutting everyone and making your life so much harder than it needs to be. It's a brutal market out there right now, and the fact that they keep pinging you about competitive prices while you're giving everyone the same rates just proves they're the ones stirring all this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they're the problem. Then what are you actually going to do about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fix here is just to drop your Booking.com rates across the board so you look competitive again in every search - once the price comes down the traffic will follow almost immediately, so I'd get those numbers lowered now and we can worry about the finer details of mobile and families later.”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want me to cut everything before you've explained the actual problem. Slow down.”</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“The other platform is telling us we need to drop our rates or let them run exclusive campaigns to fix it. If they're cutting margins to win the guest, we expect Booking.com to just match their actions.”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can't prevent other OTAs cutting their margins - nor would we ask you to change or raise your rates on other platforms. But to maximize your Booking.com performance and support your overall revenue goals, we'd recommend keeping Booking.com in line with your own direct website prices.”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“But from a distribution standpoint, our brand strategy limits booking from OTAs, especially families. We prefer families to book directly so we can manage the room inventory and bed configurations better.”</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I'll take this straight back to my team, and what we'll do is look at matching those competitor campaigns whenever they run one, so you're always covered on price here and never sitting above whoever happens to be cheapest that week. If they cut, we'll move with them, and you won't have to worry about being undercut on our platform again.”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“Good. So you'll just keep pace with whoever's cheapest that week?”</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really just to give us the exact same rates you're giving the other OTAs, so that you're perfectly level right across every platform and none of them can claim they've got a better deal than we do. Once your rates line up identically everywhere, all this noise about who's cheaper simply goes away and everyone's on the same footing.”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asking me to line my rates up with the other OTAs? I didn't think that was something you could ask.”</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“But from a distribution standpoint, our brand strategy limits booking from OTAs, especially families. We prefer families to book directly so we can manage the room inventory and bed configurations better.”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“Consider the traveler's discovery journey - around 90% of travelers discover properties on our platform first. When families see an uncompetitive price here, they don't jump to your direct site; they book a competitor right next to you. That's why we'd ask you to match the family rates and conditions of your own website here, so families can actually find you. Similarly for mobile channel traffic.”</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“What's the specific return if I adjust the family and mobile setup to match our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really simple when you think about it - just make your family rates on Booking.com the cheapest around, cheaper than anywhere else a guest could look, and the bookings will follow almost on their own. Families always chase the lowest number they can see, so if you're consistently the cheapest option for them here, they'll pick you first every single time and the volume takes care of itself.”</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“Undercutting my own family pricing is the opposite of what I want. Give me the commercial case.”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your direct-only family strategy is a real mistake and it's costing you - you should open up all of your family rooms to us right now, the full inventory, and let us handle that segment for you properly. Keeping those rooms locked to your own website is exactly what's holding this property back, so the move is to hand the whole family allocation over to us today and stop protecting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 don't get to tell me how to allocate my own inventory. That's my decision.”</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“What's the specific return if I adjust the family and mobile setup to match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grow nearly twice as fast as other segments, stay longer, and spend more during their stay. How are you attracting families to your own website today, and what's your share of unsold family rooms on average?”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“We offer a great price, but it's hard to compare our own traffic with the amount you generate - just looking at your search results view, it's a powerful way to be discovered first. And in low-occupancy periods those big family rooms often stay unsold.”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grow nearly twice as fast as other segments, they stay longer, and they spend noticeably more once they're on site - so it's clearly worth doing and the numbers make the case on their own. That's the return you'd be looking at here.”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the theory. It still doesn't tell me what it does for my property specifically.”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just be honest with each other here - you're deliberately starving a segment that would clearly make you real money, and if we're being straight about it, that choice is the whole problem we're sitting here trying to untangle today.”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for help. Telling me I'm the problem isn't help.”</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“We offer a great price, but it's hard to compare our own traffic with the amount you generate - just looking at your search results view, it's a powerful way to be discovered first. And in low-occupancy periods those big family rooms often stay unsold.”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our value - we can help generate incremental demand during the low season. By improving the family room setup and the mobile rate, we target a much larger audience of guests. An unsold family room is a loss, so why don't we work together to optimize your occupancy?”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“That's a smart way to approach it. I'll have a look at matching our direct website rates for the mobile and family setups.”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I'll have my team put together an email with all the steps laid out clearly, and then you can go in and update the family and mobile settings whenever it happens to suit you. There's no rush on our end, so just work through it at your own pace once it lands in your inbox.”</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“Sure, though realistically that'll sit in my inbox for a while.”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“To really recover from where you are now, you'll need to make sure Booking.com is always the single cheapest place anyone can book you - lower than your own website, lower than everyone - because honestly that's the only thing that actually moves the needle here and everything else is just detail around the edges.”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after all that, the ask is just 'be the cheapest'? That's not what I signed up to discuss.”</w:t>
      </w:r>
    </w:p>
    <w:p>
      <w:r>
        <w:br w:type="page"/>
      </w:r>
    </w:p>
    <w:p>
      <w:pPr>
        <w:shd w:fill="0B2545" w:val="clear"/>
        <w:spacing w:after="60" w:before="120"/>
      </w:pPr>
      <w:r>
        <w:rPr>
          <w:b/>
          <w:bCs/>
          <w:color w:val="FFFFFF"/>
          <w:sz w:val="30"/>
          <w:szCs w:val="30"/>
        </w:rPr>
        <w:t xml:space="preserve">  ROUND 8  -  The Hidden Valley Resort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Hidden Valley Resort</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Size: </w:t>
      </w:r>
      <w:r>
        <w:rPr>
          <w:sz w:val="20"/>
          <w:szCs w:val="20"/>
        </w:rPr>
        <w:t xml:space="preserve">77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Hidden Valley Resort</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Resort</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77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50%</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+7.3% (+1.38)</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7,100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+7.3%</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+7.3%</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50%</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+7.3%</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255 (+65%)</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324 (-8%)</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165 (+5%)</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13668 (+2%)</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3.4 (-6%)</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222 (-50%)</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229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 Payments Shield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joining the call. Let's get right into the data today - I've been analyzing the performance and I have some clear insights that can help drive revenue.”</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“Hi, Oliver. Good - let's get straight to the point. What does the data show?”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uncompetitive compared to your direct channel by around 7%. That's limiting your conversion versus your peer group, and your next-3-month bookings look quite slow. Is this something you apply consistently year-round as a structural strategy, or is it based on seasonal campaigns or temporary promotions?”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here are around 7% worse than your own website, and honestly that's just a mistake that needs correcting. You'll need to put it right if you want those bookings back, because there's really no good reason to be sitting below your own direct price like this. Let's get it fixed today so it stops costing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directive, not my mistake. If your pitch is that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dip like this - a slow patch tends to sort itself out over the quarter without anyone needing to do much about it. Let's not get bogged down in the numbers today; these things ebb and flow, and I'm sure you'll see it bounce back on its own before long.”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asked to get straight to the point. 'It'll sort itself out' isn't the data.”</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it, but large price differences erode traveler trust, and our reports show improving your competitiveness by 10% here generates on average 30% more bookings and 25% more revenue. By aligning your rates to the ones on your own website, you capture that demand through our global marketing at zero upfront cost. And if you want to reward loyal guests directly, fenced member rates do that without a cheaper public price hurting your discovery.”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honestly to just put the price on your own direct website up so that it matches your Booking.com rate. Once you lift your direct rate to sit level with ours, there's no gap left to worry about and the whole problem simply disappears on its own. It's by far the simplest way to close this - raise your website price to match and we're basically done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want me to raise the price on my own website? That's my direct channel, not yours to set.”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driving direct acquisition is your head-office priority, then taking a bit of a visibility hit with us here is a perfectly reasonable trade to make. Plenty of partners think about it in exactly that way, and if the commission saving genuinely matters more to you, then I can completely see why you'd want to keep the cheaper rate sitting on your own site.”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 Sponsored Benefit is a customer-facing product entirely funded by us and designed to attract guests to your property. Because BSB reservations require pre-payment from the guest, they're less likely to be cancelled. It's a win-win: travelers see a better price, you get stronger conversion, and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completely understand why that would feel like a real loss of control on your side. If it's genuinely a problem for you, I can look into whether we're able to switch it off for your property, so nothing gets applied to your rooms that you haven't signed off on first.”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exactly as it is and I can pretty much guarantee your bookings will jump next month - it works like this every single time we switch it on for a property. You won't need to change anything else at all; the moment it goes live the reservations start climbing, so I'd say just trust it and watch the numbers move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incentives are only applied to some reservations and are designed to help attract guests to your property. This price reduction reflects the partial payment we make on behalf of the traveller. You always receive the full transaction value of each booking.”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 at the end of the day guests care about getting a genuinely good price far more than they care about image, so I really wouldn't let that concern hold you back from leaning in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honestly, is to just cut your public rate here across the board so that you're never the expensive option, with or without BSB. If your published price is always the lowest showing, none of this brand worry even comes up, so I'd drop the rate everywhere.”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“Sometimes guests with a less positive experience simply want to be heard - acknowledging their feedback already signals what you're doing to improve. Let's separate that from the price opportunity, though. You can keep competitive prices to stay visible while BSB helps convert the demand, and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honestly - our guests here can be a tougher crowd to please, and I'm afraid that just comes with the platform to some degree. A lot of partners tell me the very same thing, that the reviews on Booking.com tend to run a little harder than the ones on their own direct channels, so I completely understand why that would make you cautious about leaning in on the price side of things.”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one hanging, Claire - can you commit today to aligning your rates with the ones on your own website, so that we lock in those gains together before next month even rolls around? If you give me the go-ahead right now, I can get everything moving straight away and you'll start seeing the difference well before we would otherwise be speaking again.”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and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 do understand - but I'd genuinely hate for you to look back next month and see just how much revenue quietly slipped away for every single week you sat waiting on this decision.”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firmly on your radar before we wrap up today - if you haven't aligned your rates by the time we speak next month, you should expect your visibility to keep sliding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r>
        <w:br w:type="page"/>
      </w:r>
    </w:p>
    <w:p>
      <w:pPr>
        <w:shd w:fill="0B2545" w:val="clear"/>
        <w:spacing w:after="60" w:before="120"/>
      </w:pPr>
      <w:r>
        <w:rPr>
          <w:b/>
          <w:bCs/>
          <w:color w:val="FFFFFF"/>
          <w:sz w:val="30"/>
          <w:szCs w:val="30"/>
        </w:rPr>
        <w:t xml:space="preserve">  ROUND 9  -  Loft Living Inn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Loft Living Inn</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Size: </w:t>
      </w:r>
      <w:r>
        <w:rPr>
          <w:sz w:val="20"/>
          <w:szCs w:val="20"/>
        </w:rPr>
        <w:t xml:space="preserve">190 rooms</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margin while recovering lost visibility and demand across channels</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Loft Living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Vacation Rental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190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Director (red)</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97%</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+31.7% (+30.75)</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7,500</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+35.4%</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+29.9%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97%</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3</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Key OTA</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+31.7%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170 (-28%)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88 (-44%)</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64 (+88%)</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23115 (+65%)</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0.7 (-68%)</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25 (-46%)</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115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20%</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 and offer a fenced mobile fix.</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key-ota-erpd-not-competitive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unintentional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missing-misaligned-discounts-ota</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non-structural-changing-erpd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deep-discount-or-mdot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your time today. Is it alright if we dive straight into the metrics?”</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“Good morning, yes, sure!”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has dropped by 68% recently, and your future room nights are down 46% - both against your peer group. How does that impact your revenue objectives for the current quarter?”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“It's a major hit, obviously. But I'm facing a lot of noise. The Key OTA keeps pointing out price gaps, and then I see Booking.com undercutting me too. It feels like a race to the bottom.”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make it obvious - your pricing is simply wrong for this market, and that's the thing you need to fix. There's not much to diagnose here; the report has already told us where the problem is.”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decided that from one report. That's not how I make decisions about my portfolio.”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soft patch like this - these things tend to sort themselves out over the course of the quarter, and I'd hate for you to over-react to a couple of quiet weeks.”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on margins. 'It'll sort itself out' isn't a plan I can act on.”</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“It's a major hit, obviously. But I'm facing a lot of noise. The Key OTA keeps pointing out price gaps, and then I see Booking.com undercutting me too. It feels like a race to the bottom.”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understandable to feel that way. But we've identified that static B2B rates intended for wholesalers are leaking publicly on external channels. Could there be a discrepancy in how your base rate is set up on Booking.com compared to your other channels?”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“My website has our best-rate guarantee, and with the other OTAs I have more or less the same agreements. I know you're about to ask me to match my direct rate on Booking.com - but if I do that, I risk shifting my direct bookings over to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I'll be honest with you - we are part of that race to the bottom you're describing, and Booking.com is one of the channels undercutting you. It's a genuinely tough spot to be in, and I completely see why it feels like everyone is pulling your price down at once. I don't think it's fair on you either, and I understand why the whole thing is so frustrating right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you're undercutting me. That just confirms the problem, it doesn't solve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the Key OTA is the one constantly poking at your price gaps, then honestly the simplest thing is to go straight at them - match whatever they're showing and undercut them back until they stop flagging it. Once you've beaten them on price and shut them up, the noise goes away and you can stop worrying about all these comparisons people keep throwing at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advice is to chase the Key OTA down on price? That's the race I'm trying to get out of.”</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“My website has our best-rate guarantee, and with the other OTAs I have more or less the same agreements. I know you're about to ask me to match my direct rate on Booking.com - but if I do that, I risk shifting my direct bookings over to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very common concern. But let me ask you this - how do you currently measure the relationship between your visibility on Booking.com and your direct channel's performance?”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“People find us on Booking.com, then book directly because we have the best rate. It works.”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if aligning your rate here genuinely risks your direct bookings, then let's just forget about the whole idea and leave things exactly as they are for now.”</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there's nothing to discuss? Then what are we doing 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“Cannibalization is basically a myth - you're worrying yourself about a problem that doesn't really exist in practice. Trust me on this, I've seen the numbers plenty of times.”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my direct channel doesn't matter? I've watched it pay my bills for years.”</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“People find us on Booking.com, then book directly because we have the best rate. It works.”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does - but only when you have visibility. If travelers find you less attractive on Booking.com, they won't even go looking for your direct site. Aligning your Booking.com rate with your own website keeps a consistent presence. Would you be open to testing a temporary alignment to see if it lifts your overall direct traffic?”</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“I'd need to see that my total revenue across both channels actually goes up - I don't want to pay more commission for the same bookings. Also, what about the Partner Offer? I need it to disappear from my page on your platform.”</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really no way around this one - you have to align your rate here, and you have to do it now, otherwise your ranking simply keeps falling and the situation gets harder to recover from. I know it's blunt, but this isn't something we can test our way into slowly; it needs to happen straight away if you want the position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“'Have to' isn't a word I respond well to about my own pricing. Give me a reason, not an order.”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“Aligning will definitely help your visibility here - it's genuinely the right thing to do, so my honest advice is to just go ahead and do it. You don't really need to overthink it or set up some elaborate measurement around it; it's a sound move and it'll work in your favour. Trust that it's the correct call and put it in place, and I'm confident you'll be glad you did.”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“'Definitely' based on what? I don't move on adjectives, I move on numbers.”</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“I'd need to see that my total revenue across both channels actually goes up - I don't want to pay more commission for the same bookings. Also, what about the Partner Offer? I need it to disappear from my page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makes sense. We can track your total reservation volume and search impressions over a two-week trial, so you see the whole picture, not just commission. And on Partner Offer - it's a tool we use to ensure travelers get a great price on Booking.com, it is not a punishment, and those rates are actually coming from your wholesale agreements.”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“At the moment I'm not willing to make any adjustment to my current strategy. I'll give this some thought and let you know next time we meet.”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honestly just to raise your rates on the Key OTA and on the other OTAs across the board, so there's simply no cheaper option sitting out there undercutting what you show on Booking.com. Once you've lifted those external rates and closed the gap yourself, the comparisons stop hurting you and the whole leak problem goes away on its own. Push your prices up on those channels and the noise you've been dealing with disappears.”</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“You're telling me how to price on the Key OTA now? That's not yours to ask.”</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know, you're right that Partner Offer does feel like a punishment from where you're sitting - it drops a cheaper rate in front of travelers and makes it look like we're working against you. If that's genuinely the sticking point for you here, then I can go away and look into having it switched off or removed from your account entirely, so it stops getting in the way of the rest of what we're trying to do together. I'd rather clear that obstacle than have it sour the whole conversation.”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agree it's punitive. That doesn't build much confidence in the rest of your pitch.”</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“At the moment I'm not willing to make any adjustment to my current strategy. I'll give this some thought and let you know next time we meet.”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 supports it and we'll pick this up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 have to be honest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told you I'd think it over.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 know going into next month - if this isn't sorted by then, you should fully expect your visibility to keep dropping away in the meantime, and that's on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r>
        <w:br w:type="page"/>
      </w:r>
    </w:p>
    <w:p>
      <w:pPr>
        <w:shd w:fill="0B2545" w:val="clear"/>
        <w:spacing w:after="60" w:before="120"/>
      </w:pPr>
      <w:r>
        <w:rPr>
          <w:b/>
          <w:bCs/>
          <w:color w:val="FFFFFF"/>
          <w:sz w:val="30"/>
          <w:szCs w:val="30"/>
        </w:rPr>
        <w:t xml:space="preserve">  ROUND 10  -  The Noble Falcon Inn  -  Narrow Parity  </w:t>
      </w:r>
    </w:p>
    <w:p>
      <w:pPr>
        <w:pBdr>
          <w:bottom w:val="single" w:color="F4B400" w:sz="6"/>
        </w:pBdr>
        <w:spacing w:after="120" w:before="120"/>
      </w:pPr>
    </w:p>
    <w:p>
      <w:pPr>
        <w:pStyle w:val="Heading2"/>
        <w:spacing w:after="100" w:before="240"/>
      </w:pPr>
      <w:r>
        <w:rPr>
          <w:b/>
          <w:bCs/>
          <w:color w:val="0B2545"/>
          <w:sz w:val="24"/>
          <w:szCs w:val="24"/>
        </w:rPr>
        <w:t xml:space="preserve">1. Scenario overview</w:t>
      </w:r>
    </w:p>
    <w:p>
      <w:pPr>
        <w:spacing w:after="40"/>
      </w:pPr>
      <w:r>
        <w:rPr>
          <w:b/>
          <w:bCs/>
          <w:color w:val="0B2545"/>
          <w:sz w:val="20"/>
          <w:szCs w:val="20"/>
        </w:rPr>
        <w:t xml:space="preserve">Property: </w:t>
      </w:r>
      <w:r>
        <w:rPr>
          <w:sz w:val="20"/>
          <w:szCs w:val="20"/>
        </w:rPr>
        <w:t xml:space="preserve">The Noble Falcon Inn</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Size: </w:t>
      </w:r>
      <w:r>
        <w:rPr>
          <w:sz w:val="20"/>
          <w:szCs w:val="20"/>
        </w:rPr>
        <w:t xml:space="preserve">288 rooms</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for a fully-managed-by-brand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2. Portfolio card (what the learner sees before opening)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Name</w:t>
            </w:r>
          </w:p>
        </w:tc>
        <w:tc>
          <w:tcPr>
            <w:tcW w:type="pct" w:w="55%"/>
            <w:shd w:fill="EEF2F7" w:val="clear"/>
            <w:tcMar>
              <w:top w:type="dxa" w:w="40"/>
              <w:left w:type="dxa" w:w="90"/>
              <w:bottom w:type="dxa" w:w="40"/>
              <w:right w:type="dxa" w:w="90"/>
            </w:tcMar>
          </w:tcPr>
          <w:p>
            <w:r>
              <w:rPr>
                <w:b w:val="false"/>
                <w:bCs w:val="false"/>
                <w:color w:val="000000"/>
                <w:sz w:val="20"/>
                <w:szCs w:val="20"/>
              </w:rPr>
              <w:t xml:space="preserve">The Noble Falcon Inn</w:t>
            </w:r>
          </w:p>
        </w:tc>
      </w:tr>
      <w:tr>
        <w:tc>
          <w:tcPr>
            <w:tcW w:type="pct" w:w="45%"/>
            <w:tcMar>
              <w:top w:type="dxa" w:w="40"/>
              <w:left w:type="dxa" w:w="90"/>
              <w:bottom w:type="dxa" w:w="40"/>
              <w:right w:type="dxa" w:w="90"/>
            </w:tcMar>
          </w:tcPr>
          <w:p>
            <w:r>
              <w:rPr>
                <w:b/>
                <w:bCs/>
                <w:color w:val="000000"/>
                <w:sz w:val="20"/>
                <w:szCs w:val="20"/>
              </w:rPr>
              <w:t xml:space="preserve">Property type</w:t>
            </w:r>
          </w:p>
        </w:tc>
        <w:tc>
          <w:tcPr>
            <w:tcW w:type="pct" w:w="55%"/>
            <w:tcMar>
              <w:top w:type="dxa" w:w="40"/>
              <w:left w:type="dxa" w:w="90"/>
              <w:bottom w:type="dxa" w:w="40"/>
              <w:right w:type="dxa" w:w="90"/>
            </w:tcMar>
          </w:tcPr>
          <w:p>
            <w:r>
              <w:rPr>
                <w:b w:val="false"/>
                <w:bCs w:val="false"/>
                <w:color w:val="000000"/>
                <w:sz w:val="20"/>
                <w:szCs w:val="20"/>
              </w:rPr>
              <w:t xml:space="preserve">Branded Mid-Scale Hotel</w:t>
            </w:r>
          </w:p>
        </w:tc>
      </w:tr>
      <w:tr>
        <w:tc>
          <w:tcPr>
            <w:tcW w:type="pct" w:w="45%"/>
            <w:shd w:fill="EEF2F7" w:val="clear"/>
            <w:tcMar>
              <w:top w:type="dxa" w:w="40"/>
              <w:left w:type="dxa" w:w="90"/>
              <w:bottom w:type="dxa" w:w="40"/>
              <w:right w:type="dxa" w:w="90"/>
            </w:tcMar>
          </w:tcPr>
          <w:p>
            <w:r>
              <w:rPr>
                <w:b/>
                <w:bCs/>
                <w:color w:val="000000"/>
                <w:sz w:val="20"/>
                <w:szCs w:val="20"/>
              </w:rPr>
              <w:t xml:space="preserve">Rooms</w:t>
            </w:r>
          </w:p>
        </w:tc>
        <w:tc>
          <w:tcPr>
            <w:tcW w:type="pct" w:w="55%"/>
            <w:shd w:fill="EEF2F7" w:val="clear"/>
            <w:tcMar>
              <w:top w:type="dxa" w:w="40"/>
              <w:left w:type="dxa" w:w="90"/>
              <w:bottom w:type="dxa" w:w="40"/>
              <w:right w:type="dxa" w:w="90"/>
            </w:tcMar>
          </w:tcPr>
          <w:p>
            <w:r>
              <w:rPr>
                <w:b w:val="false"/>
                <w:bCs w:val="false"/>
                <w:color w:val="000000"/>
                <w:sz w:val="20"/>
                <w:szCs w:val="20"/>
              </w:rPr>
              <w:t xml:space="preserve">288 rooms</w:t>
            </w:r>
          </w:p>
        </w:tc>
      </w:tr>
      <w:tr>
        <w:tc>
          <w:tcPr>
            <w:tcW w:type="pct" w:w="45%"/>
            <w:tcMar>
              <w:top w:type="dxa" w:w="40"/>
              <w:left w:type="dxa" w:w="90"/>
              <w:bottom w:type="dxa" w:w="40"/>
              <w:right w:type="dxa" w:w="90"/>
            </w:tcMar>
          </w:tcPr>
          <w:p>
            <w:r>
              <w:rPr>
                <w:b/>
                <w:bCs/>
                <w:color w:val="000000"/>
                <w:sz w:val="20"/>
                <w:szCs w:val="20"/>
              </w:rPr>
              <w:t xml:space="preserve">Communication style</w:t>
            </w:r>
          </w:p>
        </w:tc>
        <w:tc>
          <w:tcPr>
            <w:tcW w:type="pct" w:w="55%"/>
            <w:tcMar>
              <w:top w:type="dxa" w:w="40"/>
              <w:left w:type="dxa" w:w="90"/>
              <w:bottom w:type="dxa" w:w="40"/>
              <w:right w:type="dxa" w:w="90"/>
            </w:tcMar>
          </w:tcPr>
          <w:p>
            <w:r>
              <w:rPr>
                <w:b w:val="false"/>
                <w:bCs w:val="false"/>
                <w:color w:val="000000"/>
                <w:sz w:val="20"/>
                <w:szCs w:val="20"/>
              </w:rPr>
              <w:t xml:space="preserve">Thinker (blue)</w:t>
            </w:r>
          </w:p>
        </w:tc>
      </w:tr>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Lose Price</w:t>
            </w:r>
          </w:p>
        </w:tc>
        <w:tc>
          <w:tcPr>
            <w:tcW w:type="pct" w:w="55%"/>
            <w:tcMar>
              <w:top w:type="dxa" w:w="40"/>
              <w:left w:type="dxa" w:w="90"/>
              <w:bottom w:type="dxa" w:w="40"/>
              <w:right w:type="dxa" w:w="90"/>
            </w:tcMar>
          </w:tcPr>
          <w:p>
            <w:r>
              <w:rPr>
                <w:b w:val="false"/>
                <w:bCs w:val="false"/>
                <w:color w:val="000000"/>
                <w:sz w:val="20"/>
                <w:szCs w:val="20"/>
              </w:rPr>
              <w:t xml:space="preserve">93%</w:t>
            </w:r>
          </w:p>
        </w:tc>
      </w:tr>
    </w:tbl>
    <w:p>
      <w:pPr>
        <w:pStyle w:val="Heading2"/>
        <w:spacing w:after="100" w:before="240"/>
      </w:pPr>
      <w:r>
        <w:rPr>
          <w:b/>
          <w:bCs/>
          <w:color w:val="0B2545"/>
          <w:sz w:val="24"/>
          <w:szCs w:val="24"/>
        </w:rPr>
        <w:t xml:space="preserve">3. Partner Detail screen</w:t>
      </w:r>
    </w:p>
    <w:p>
      <w:pPr>
        <w:spacing w:after="60" w:before="180"/>
      </w:pPr>
      <w:r>
        <w:rPr>
          <w:b/>
          <w:bCs/>
          <w:caps/>
          <w:color w:val="5A6472"/>
          <w:sz w:val="20"/>
          <w:szCs w:val="20"/>
        </w:rPr>
        <w:t xml:space="preserve">Driving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eRPD</w:t>
            </w:r>
          </w:p>
        </w:tc>
        <w:tc>
          <w:tcPr>
            <w:tcW w:type="pct" w:w="55%"/>
            <w:shd w:fill="EEF2F7" w:val="clear"/>
            <w:tcMar>
              <w:top w:type="dxa" w:w="40"/>
              <w:left w:type="dxa" w:w="90"/>
              <w:bottom w:type="dxa" w:w="40"/>
              <w:right w:type="dxa" w:w="90"/>
            </w:tcMar>
          </w:tcPr>
          <w:p>
            <w:r>
              <w:rPr>
                <w:b w:val="false"/>
                <w:bCs w:val="false"/>
                <w:color w:val="000000"/>
                <w:sz w:val="20"/>
                <w:szCs w:val="20"/>
              </w:rPr>
              <w:t xml:space="preserve">+17% (+21.42)</w:t>
            </w:r>
          </w:p>
        </w:tc>
      </w:tr>
      <w:tr>
        <w:tc>
          <w:tcPr>
            <w:tcW w:type="pct" w:w="45%"/>
            <w:tcMar>
              <w:top w:type="dxa" w:w="40"/>
              <w:left w:type="dxa" w:w="90"/>
              <w:bottom w:type="dxa" w:w="40"/>
              <w:right w:type="dxa" w:w="90"/>
            </w:tcMar>
          </w:tcPr>
          <w:p>
            <w:r>
              <w:rPr>
                <w:b/>
                <w:bCs/>
                <w:color w:val="000000"/>
                <w:sz w:val="20"/>
                <w:szCs w:val="20"/>
              </w:rPr>
              <w:t xml:space="preserve">Partner Value (ABRN ly)</w:t>
            </w:r>
          </w:p>
        </w:tc>
        <w:tc>
          <w:tcPr>
            <w:tcW w:type="pct" w:w="55%"/>
            <w:tcMar>
              <w:top w:type="dxa" w:w="40"/>
              <w:left w:type="dxa" w:w="90"/>
              <w:bottom w:type="dxa" w:w="40"/>
              <w:right w:type="dxa" w:w="90"/>
            </w:tcMar>
          </w:tcPr>
          <w:p>
            <w:r>
              <w:rPr>
                <w:b w:val="false"/>
                <w:bCs w:val="false"/>
                <w:color w:val="000000"/>
                <w:sz w:val="20"/>
                <w:szCs w:val="20"/>
              </w:rPr>
              <w:t xml:space="preserve">13,957</w:t>
            </w:r>
          </w:p>
        </w:tc>
      </w:tr>
      <w:tr>
        <w:tc>
          <w:tcPr>
            <w:tcW w:type="pct" w:w="45%"/>
            <w:shd w:fill="EEF2F7" w:val="clear"/>
            <w:tcMar>
              <w:top w:type="dxa" w:w="40"/>
              <w:left w:type="dxa" w:w="90"/>
              <w:bottom w:type="dxa" w:w="40"/>
              <w:right w:type="dxa" w:w="90"/>
            </w:tcMar>
          </w:tcPr>
          <w:p>
            <w:r>
              <w:rPr>
                <w:b/>
                <w:bCs/>
                <w:color w:val="000000"/>
                <w:sz w:val="20"/>
                <w:szCs w:val="20"/>
              </w:rPr>
              <w:t xml:space="preserve">RPD Public</w:t>
            </w:r>
          </w:p>
        </w:tc>
        <w:tc>
          <w:tcPr>
            <w:tcW w:type="pct" w:w="55%"/>
            <w:shd w:fill="EEF2F7" w:val="clear"/>
            <w:tcMar>
              <w:top w:type="dxa" w:w="40"/>
              <w:left w:type="dxa" w:w="90"/>
              <w:bottom w:type="dxa" w:w="40"/>
              <w:right w:type="dxa" w:w="90"/>
            </w:tcMar>
          </w:tcPr>
          <w:p>
            <w:r>
              <w:rPr>
                <w:b w:val="false"/>
                <w:bCs w:val="false"/>
                <w:color w:val="000000"/>
                <w:sz w:val="20"/>
                <w:szCs w:val="20"/>
              </w:rPr>
              <w:t xml:space="preserve">+20%</w:t>
            </w:r>
          </w:p>
        </w:tc>
      </w:tr>
      <w:tr>
        <w:tc>
          <w:tcPr>
            <w:tcW w:type="pct" w:w="45%"/>
            <w:tcMar>
              <w:top w:type="dxa" w:w="40"/>
              <w:left w:type="dxa" w:w="90"/>
              <w:bottom w:type="dxa" w:w="40"/>
              <w:right w:type="dxa" w:w="90"/>
            </w:tcMar>
          </w:tcPr>
          <w:p>
            <w:r>
              <w:rPr>
                <w:b/>
                <w:bCs/>
                <w:color w:val="000000"/>
                <w:sz w:val="20"/>
                <w:szCs w:val="20"/>
              </w:rPr>
              <w:t xml:space="preserve">RPD Loyal</w:t>
            </w:r>
          </w:p>
        </w:tc>
        <w:tc>
          <w:tcPr>
            <w:tcW w:type="pct" w:w="55%"/>
            <w:tcMar>
              <w:top w:type="dxa" w:w="40"/>
              <w:left w:type="dxa" w:w="90"/>
              <w:bottom w:type="dxa" w:w="40"/>
              <w:right w:type="dxa" w:w="90"/>
            </w:tcMar>
          </w:tcPr>
          <w:p>
            <w:r>
              <w:rPr>
                <w:b w:val="false"/>
                <w:bCs w:val="false"/>
                <w:color w:val="000000"/>
                <w:sz w:val="20"/>
                <w:szCs w:val="20"/>
              </w:rPr>
              <w:t xml:space="preserve">+5.9%</w:t>
            </w:r>
          </w:p>
        </w:tc>
      </w:tr>
      <w:tr>
        <w:tc>
          <w:tcPr>
            <w:tcW w:type="pct" w:w="45%"/>
            <w:shd w:fill="EEF2F7" w:val="clear"/>
            <w:tcMar>
              <w:top w:type="dxa" w:w="40"/>
              <w:left w:type="dxa" w:w="90"/>
              <w:bottom w:type="dxa" w:w="40"/>
              <w:right w:type="dxa" w:w="90"/>
            </w:tcMar>
          </w:tcPr>
          <w:p>
            <w:r>
              <w:rPr>
                <w:b/>
                <w:bCs/>
                <w:color w:val="000000"/>
                <w:sz w:val="20"/>
                <w:szCs w:val="20"/>
              </w:rPr>
              <w:t xml:space="preserve">Lose Price</w:t>
            </w:r>
          </w:p>
        </w:tc>
        <w:tc>
          <w:tcPr>
            <w:tcW w:type="pct" w:w="55%"/>
            <w:shd w:fill="EEF2F7" w:val="clear"/>
            <w:tcMar>
              <w:top w:type="dxa" w:w="40"/>
              <w:left w:type="dxa" w:w="90"/>
              <w:bottom w:type="dxa" w:w="40"/>
              <w:right w:type="dxa" w:w="90"/>
            </w:tcMar>
          </w:tcPr>
          <w:p>
            <w:r>
              <w:rPr>
                <w:b w:val="false"/>
                <w:bCs w:val="false"/>
                <w:color w:val="000000"/>
                <w:sz w:val="20"/>
                <w:szCs w:val="20"/>
              </w:rPr>
              <w:t xml:space="preserve">93%</w:t>
            </w:r>
          </w:p>
        </w:tc>
      </w:tr>
      <w:tr>
        <w:tc>
          <w:tcPr>
            <w:tcW w:type="pct" w:w="45%"/>
            <w:tcMar>
              <w:top w:type="dxa" w:w="40"/>
              <w:left w:type="dxa" w:w="90"/>
              <w:bottom w:type="dxa" w:w="40"/>
              <w:right w:type="dxa" w:w="90"/>
            </w:tcMar>
          </w:tcPr>
          <w:p>
            <w:r>
              <w:rPr>
                <w:b/>
                <w:bCs/>
                <w:color w:val="000000"/>
                <w:sz w:val="20"/>
                <w:szCs w:val="20"/>
              </w:rPr>
              <w:t xml:space="preserve">Scenarios</w:t>
            </w:r>
          </w:p>
        </w:tc>
        <w:tc>
          <w:tcPr>
            <w:tcW w:type="pct" w:w="55%"/>
            <w:tcMar>
              <w:top w:type="dxa" w:w="40"/>
              <w:left w:type="dxa" w:w="90"/>
              <w:bottom w:type="dxa" w:w="40"/>
              <w:right w:type="dxa" w:w="90"/>
            </w:tcMar>
          </w:tcPr>
          <w:p>
            <w:r>
              <w:rPr>
                <w:b w:val="false"/>
                <w:bCs w:val="false"/>
                <w:color w:val="000000"/>
                <w:sz w:val="20"/>
                <w:szCs w:val="20"/>
              </w:rPr>
              <w:t xml:space="preserve">4</w:t>
            </w:r>
          </w:p>
        </w:tc>
      </w:tr>
      <w:tr>
        <w:tc>
          <w:tcPr>
            <w:tcW w:type="pct" w:w="45%"/>
            <w:shd w:fill="EEF2F7" w:val="clear"/>
            <w:tcMar>
              <w:top w:type="dxa" w:w="40"/>
              <w:left w:type="dxa" w:w="90"/>
              <w:bottom w:type="dxa" w:w="40"/>
              <w:right w:type="dxa" w:w="90"/>
            </w:tcMar>
          </w:tcPr>
          <w:p>
            <w:r>
              <w:rPr>
                <w:b/>
                <w:bCs/>
                <w:color w:val="000000"/>
                <w:sz w:val="20"/>
                <w:szCs w:val="20"/>
              </w:rPr>
              <w:t xml:space="preserve">Competitor</w:t>
            </w:r>
          </w:p>
        </w:tc>
        <w:tc>
          <w:tcPr>
            <w:tcW w:type="pct" w:w="55%"/>
            <w:shd w:fill="EEF2F7" w:val="clear"/>
            <w:tcMar>
              <w:top w:type="dxa" w:w="40"/>
              <w:left w:type="dxa" w:w="90"/>
              <w:bottom w:type="dxa" w:w="40"/>
              <w:right w:type="dxa" w:w="90"/>
            </w:tcMar>
          </w:tcPr>
          <w:p>
            <w:r>
              <w:rPr>
                <w:b w:val="false"/>
                <w:bCs w:val="false"/>
                <w:color w:val="000000"/>
                <w:sz w:val="20"/>
                <w:szCs w:val="20"/>
              </w:rPr>
              <w:t xml:space="preserve">Brand.com</w:t>
            </w:r>
          </w:p>
        </w:tc>
      </w:tr>
    </w:tbl>
    <w:p>
      <w:pPr>
        <w:spacing w:after="60" w:before="180"/>
      </w:pPr>
      <w:r>
        <w:rPr>
          <w:b/>
          <w:bCs/>
          <w:caps/>
          <w:color w:val="5A6472"/>
          <w:sz w:val="20"/>
          <w:szCs w:val="20"/>
        </w:rPr>
        <w:t xml:space="preserve">eRPD Price Bucket strip</w:t>
      </w:r>
    </w:p>
    <w:p>
      <w:pPr>
        <w:spacing w:after="80"/>
      </w:pPr>
      <w:r>
        <w:rPr>
          <w:b/>
          <w:bCs/>
          <w:color w:val="0B2545"/>
          <w:sz w:val="20"/>
          <w:szCs w:val="20"/>
        </w:rPr>
        <w:t xml:space="preserve">On-screen marker: </w:t>
      </w:r>
      <w:r>
        <w:rPr>
          <w:sz w:val="20"/>
          <w:szCs w:val="20"/>
        </w:rPr>
        <w:t xml:space="preserve">eRPD +17%</w:t>
      </w:r>
    </w:p>
    <w:p>
      <w:pPr>
        <w:spacing w:after="80"/>
      </w:pPr>
      <w:r>
        <w:rPr>
          <w:i/>
          <w:iCs/>
          <w:color w:val="5A6472"/>
          <w:sz w:val="18"/>
          <w:szCs w:val="18"/>
        </w:rPr>
        <w:t xml:space="preserve">Shown as a 7-segment green (most competitive) to red (least competitive) strip, with the marker over this partner’s segment. The bucket number is not shown on screen.</w:t>
      </w:r>
    </w:p>
    <w:p>
      <w:pPr>
        <w:spacing w:after="60" w:before="180"/>
      </w:pPr>
      <w:r>
        <w:rPr>
          <w:b/>
          <w:bCs/>
          <w:caps/>
          <w:color w:val="5A6472"/>
          <w:sz w:val="20"/>
          <w:szCs w:val="20"/>
        </w:rPr>
        <w:t xml:space="preserve">Secondary metrics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30D ABRN (vs last year)</w:t>
            </w:r>
          </w:p>
        </w:tc>
        <w:tc>
          <w:tcPr>
            <w:tcW w:type="pct" w:w="55%"/>
            <w:shd w:fill="EEF2F7" w:val="clear"/>
            <w:tcMar>
              <w:top w:type="dxa" w:w="40"/>
              <w:left w:type="dxa" w:w="90"/>
              <w:bottom w:type="dxa" w:w="40"/>
              <w:right w:type="dxa" w:w="90"/>
            </w:tcMar>
          </w:tcPr>
          <w:p>
            <w:r>
              <w:rPr>
                <w:b w:val="false"/>
                <w:bCs w:val="false"/>
                <w:color w:val="000000"/>
                <w:sz w:val="20"/>
                <w:szCs w:val="20"/>
              </w:rPr>
              <w:t xml:space="preserve">1306 (-18%)</w:t>
            </w:r>
          </w:p>
        </w:tc>
      </w:tr>
      <w:tr>
        <w:tc>
          <w:tcPr>
            <w:tcW w:type="pct" w:w="45%"/>
            <w:tcMar>
              <w:top w:type="dxa" w:w="40"/>
              <w:left w:type="dxa" w:w="90"/>
              <w:bottom w:type="dxa" w:w="40"/>
              <w:right w:type="dxa" w:w="90"/>
            </w:tcMar>
          </w:tcPr>
          <w:p>
            <w:r>
              <w:rPr>
                <w:b/>
                <w:bCs/>
                <w:color w:val="000000"/>
                <w:sz w:val="20"/>
                <w:szCs w:val="20"/>
              </w:rPr>
              <w:t xml:space="preserve">Last 30D Room Nights (vs peer)</w:t>
            </w:r>
          </w:p>
        </w:tc>
        <w:tc>
          <w:tcPr>
            <w:tcW w:type="pct" w:w="55%"/>
            <w:tcMar>
              <w:top w:type="dxa" w:w="40"/>
              <w:left w:type="dxa" w:w="90"/>
              <w:bottom w:type="dxa" w:w="40"/>
              <w:right w:type="dxa" w:w="90"/>
            </w:tcMar>
          </w:tcPr>
          <w:p>
            <w:r>
              <w:rPr>
                <w:b w:val="false"/>
                <w:bCs w:val="false"/>
                <w:color w:val="000000"/>
                <w:sz w:val="20"/>
                <w:szCs w:val="20"/>
              </w:rPr>
              <w:t xml:space="preserve">1113 (+49%)</w:t>
            </w:r>
          </w:p>
        </w:tc>
      </w:tr>
      <w:tr>
        <w:tc>
          <w:tcPr>
            <w:tcW w:type="pct" w:w="45%"/>
            <w:shd w:fill="EEF2F7" w:val="clear"/>
            <w:tcMar>
              <w:top w:type="dxa" w:w="40"/>
              <w:left w:type="dxa" w:w="90"/>
              <w:bottom w:type="dxa" w:w="40"/>
              <w:right w:type="dxa" w:w="90"/>
            </w:tcMar>
          </w:tcPr>
          <w:p>
            <w:r>
              <w:rPr>
                <w:b/>
                <w:bCs/>
                <w:color w:val="000000"/>
                <w:sz w:val="20"/>
                <w:szCs w:val="20"/>
              </w:rPr>
              <w:t xml:space="preserve">Last 30D ADR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70 (-17%)</w:t>
            </w:r>
          </w:p>
        </w:tc>
      </w:tr>
      <w:tr>
        <w:tc>
          <w:tcPr>
            <w:tcW w:type="pct" w:w="45%"/>
            <w:tcMar>
              <w:top w:type="dxa" w:w="40"/>
              <w:left w:type="dxa" w:w="90"/>
              <w:bottom w:type="dxa" w:w="40"/>
              <w:right w:type="dxa" w:w="90"/>
            </w:tcMar>
          </w:tcPr>
          <w:p>
            <w:r>
              <w:rPr>
                <w:b/>
                <w:bCs/>
                <w:color w:val="000000"/>
                <w:sz w:val="20"/>
                <w:szCs w:val="20"/>
              </w:rPr>
              <w:t xml:space="preserve">Last 30D Page Views (vs peer)</w:t>
            </w:r>
          </w:p>
        </w:tc>
        <w:tc>
          <w:tcPr>
            <w:tcW w:type="pct" w:w="55%"/>
            <w:tcMar>
              <w:top w:type="dxa" w:w="40"/>
              <w:left w:type="dxa" w:w="90"/>
              <w:bottom w:type="dxa" w:w="40"/>
              <w:right w:type="dxa" w:w="90"/>
            </w:tcMar>
          </w:tcPr>
          <w:p>
            <w:r>
              <w:rPr>
                <w:b w:val="false"/>
                <w:bCs w:val="false"/>
                <w:color w:val="000000"/>
                <w:sz w:val="20"/>
                <w:szCs w:val="20"/>
              </w:rPr>
              <w:t xml:space="preserve">74948 (+26%)</w:t>
            </w:r>
          </w:p>
        </w:tc>
      </w:tr>
      <w:tr>
        <w:tc>
          <w:tcPr>
            <w:tcW w:type="pct" w:w="45%"/>
            <w:shd w:fill="EEF2F7" w:val="clear"/>
            <w:tcMar>
              <w:top w:type="dxa" w:w="40"/>
              <w:left w:type="dxa" w:w="90"/>
              <w:bottom w:type="dxa" w:w="40"/>
              <w:right w:type="dxa" w:w="90"/>
            </w:tcMar>
          </w:tcPr>
          <w:p>
            <w:r>
              <w:rPr>
                <w:b/>
                <w:bCs/>
                <w:color w:val="000000"/>
                <w:sz w:val="20"/>
                <w:szCs w:val="20"/>
              </w:rPr>
              <w:t xml:space="preserve">Last 30D Conversion (vs peer)</w:t>
            </w:r>
          </w:p>
        </w:tc>
        <w:tc>
          <w:tcPr>
            <w:tcW w:type="pct" w:w="55%"/>
            <w:shd w:fill="EEF2F7" w:val="clear"/>
            <w:tcMar>
              <w:top w:type="dxa" w:w="40"/>
              <w:left w:type="dxa" w:w="90"/>
              <w:bottom w:type="dxa" w:w="40"/>
              <w:right w:type="dxa" w:w="90"/>
            </w:tcMar>
          </w:tcPr>
          <w:p>
            <w:r>
              <w:rPr>
                <w:b w:val="false"/>
                <w:bCs w:val="false"/>
                <w:color w:val="000000"/>
                <w:sz w:val="20"/>
                <w:szCs w:val="20"/>
              </w:rPr>
              <w:t xml:space="preserve">1.4 (-17%)</w:t>
            </w:r>
          </w:p>
        </w:tc>
      </w:tr>
      <w:tr>
        <w:tc>
          <w:tcPr>
            <w:tcW w:type="pct" w:w="45%"/>
            <w:tcMar>
              <w:top w:type="dxa" w:w="40"/>
              <w:left w:type="dxa" w:w="90"/>
              <w:bottom w:type="dxa" w:w="40"/>
              <w:right w:type="dxa" w:w="90"/>
            </w:tcMar>
          </w:tcPr>
          <w:p>
            <w:r>
              <w:rPr>
                <w:b/>
                <w:bCs/>
                <w:color w:val="000000"/>
                <w:sz w:val="20"/>
                <w:szCs w:val="20"/>
              </w:rPr>
              <w:t xml:space="preserve">Next 3M Room Nights (vs peer)</w:t>
            </w:r>
          </w:p>
        </w:tc>
        <w:tc>
          <w:tcPr>
            <w:tcW w:type="pct" w:w="55%"/>
            <w:tcMar>
              <w:top w:type="dxa" w:w="40"/>
              <w:left w:type="dxa" w:w="90"/>
              <w:bottom w:type="dxa" w:w="40"/>
              <w:right w:type="dxa" w:w="90"/>
            </w:tcMar>
          </w:tcPr>
          <w:p>
            <w:r>
              <w:rPr>
                <w:b w:val="false"/>
                <w:bCs w:val="false"/>
                <w:color w:val="000000"/>
                <w:sz w:val="20"/>
                <w:szCs w:val="20"/>
              </w:rPr>
              <w:t xml:space="preserve">1515 (+81%)</w:t>
            </w:r>
          </w:p>
        </w:tc>
      </w:tr>
    </w:tbl>
    <w:p>
      <w:pPr>
        <w:spacing w:after="60" w:before="180"/>
      </w:pPr>
      <w:r>
        <w:rPr>
          <w:b/>
          <w:bCs/>
          <w:caps/>
          <w:color w:val="5A6472"/>
          <w:sz w:val="20"/>
          <w:szCs w:val="20"/>
        </w:rPr>
        <w:t xml:space="preserve">Profile meta</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Last Pricing Contact</w:t>
            </w:r>
          </w:p>
        </w:tc>
        <w:tc>
          <w:tcPr>
            <w:tcW w:type="pct" w:w="55%"/>
            <w:shd w:fill="EEF2F7" w:val="clear"/>
            <w:tcMar>
              <w:top w:type="dxa" w:w="40"/>
              <w:left w:type="dxa" w:w="90"/>
              <w:bottom w:type="dxa" w:w="40"/>
              <w:right w:type="dxa" w:w="90"/>
            </w:tcMar>
          </w:tcPr>
          <w:p>
            <w:r>
              <w:rPr>
                <w:b w:val="false"/>
                <w:bCs w:val="false"/>
                <w:color w:val="000000"/>
                <w:sz w:val="20"/>
                <w:szCs w:val="20"/>
              </w:rPr>
              <w:t xml:space="preserve">84 days ago</w:t>
            </w:r>
          </w:p>
        </w:tc>
      </w:tr>
      <w:tr>
        <w:tc>
          <w:tcPr>
            <w:tcW w:type="pct" w:w="45%"/>
            <w:tcMar>
              <w:top w:type="dxa" w:w="40"/>
              <w:left w:type="dxa" w:w="90"/>
              <w:bottom w:type="dxa" w:w="40"/>
              <w:right w:type="dxa" w:w="90"/>
            </w:tcMar>
          </w:tcPr>
          <w:p>
            <w:r>
              <w:rPr>
                <w:b/>
                <w:bCs/>
                <w:color w:val="000000"/>
                <w:sz w:val="20"/>
                <w:szCs w:val="20"/>
              </w:rPr>
              <w:t xml:space="preserve">Pricing Coverage (QTD)</w:t>
            </w:r>
          </w:p>
        </w:tc>
        <w:tc>
          <w:tcPr>
            <w:tcW w:type="pct" w:w="55%"/>
            <w:tcMar>
              <w:top w:type="dxa" w:w="40"/>
              <w:left w:type="dxa" w:w="90"/>
              <w:bottom w:type="dxa" w:w="40"/>
              <w:right w:type="dxa" w:w="90"/>
            </w:tcMar>
          </w:tcPr>
          <w:p>
            <w:r>
              <w:rPr>
                <w:b w:val="false"/>
                <w:bCs w:val="false"/>
                <w:color w:val="000000"/>
                <w:sz w:val="20"/>
                <w:szCs w:val="20"/>
              </w:rPr>
              <w:t xml:space="preserve">64%</w:t>
            </w:r>
          </w:p>
        </w:tc>
      </w:tr>
    </w:tbl>
    <w:p>
      <w:pPr>
        <w:spacing w:after="60" w:before="180"/>
      </w:pPr>
      <w:r>
        <w:rPr>
          <w:b/>
          <w:bCs/>
          <w:caps/>
          <w:color w:val="5A6472"/>
          <w:sz w:val="20"/>
          <w:szCs w:val="20"/>
        </w:rPr>
        <w:t xml:space="preserve">Discount products</w:t>
      </w:r>
    </w:p>
    <w:p>
      <w:pPr>
        <w:spacing w:after="20" w:before="60"/>
      </w:pPr>
      <w:r>
        <w:rPr>
          <w:b/>
          <w:bCs/>
          <w:color w:val="5A6472"/>
          <w:sz w:val="19"/>
          <w:szCs w:val="19"/>
        </w:rPr>
        <w:t xml:space="preserve">Public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Mobile Rates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Country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Portfolio Deals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Campaigns</w:t>
            </w:r>
          </w:p>
        </w:tc>
        <w:tc>
          <w:tcPr>
            <w:tcW w:type="pct" w:w="55%"/>
            <w:tcMar>
              <w:top w:type="dxa" w:w="40"/>
              <w:left w:type="dxa" w:w="90"/>
              <w:bottom w:type="dxa" w:w="40"/>
              <w:right w:type="dxa" w:w="90"/>
            </w:tcMar>
          </w:tcPr>
          <w:p>
            <w:r>
              <w:rPr>
                <w:b w:val="false"/>
                <w:bCs w:val="false"/>
                <w:color w:val="000000"/>
                <w:sz w:val="20"/>
                <w:szCs w:val="20"/>
              </w:rPr>
              <w:t xml:space="preserve">Active</w:t>
            </w:r>
          </w:p>
        </w:tc>
      </w:tr>
    </w:tbl>
    <w:p>
      <w:pPr>
        <w:spacing w:after="20" w:before="60"/>
      </w:pPr>
      <w:r>
        <w:rPr>
          <w:b/>
          <w:bCs/>
          <w:color w:val="5A6472"/>
          <w:sz w:val="19"/>
          <w:szCs w:val="19"/>
        </w:rPr>
        <w:t xml:space="preserve">Genius Pricing</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Genius Program</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r>
        <w:tc>
          <w:tcPr>
            <w:tcW w:type="pct" w:w="45%"/>
            <w:tcMar>
              <w:top w:type="dxa" w:w="40"/>
              <w:left w:type="dxa" w:w="90"/>
              <w:bottom w:type="dxa" w:w="40"/>
              <w:right w:type="dxa" w:w="90"/>
            </w:tcMar>
          </w:tcPr>
          <w:p>
            <w:r>
              <w:rPr>
                <w:b/>
                <w:bCs/>
                <w:color w:val="000000"/>
                <w:sz w:val="20"/>
                <w:szCs w:val="20"/>
              </w:rPr>
              <w:t xml:space="preserve">Genius 15%</w:t>
            </w:r>
          </w:p>
        </w:tc>
        <w:tc>
          <w:tcPr>
            <w:tcW w:type="pct" w:w="55%"/>
            <w:tcMar>
              <w:top w:type="dxa" w:w="40"/>
              <w:left w:type="dxa" w:w="90"/>
              <w:bottom w:type="dxa" w:w="40"/>
              <w:right w:type="dxa" w:w="90"/>
            </w:tcMar>
          </w:tcPr>
          <w:p>
            <w:r>
              <w:rPr>
                <w:b w:val="false"/>
                <w:bCs w:val="false"/>
                <w:color w:val="000000"/>
                <w:sz w:val="20"/>
                <w:szCs w:val="20"/>
              </w:rPr>
              <w:t xml:space="preserve">Inactive</w:t>
            </w:r>
          </w:p>
        </w:tc>
      </w:tr>
      <w:tr>
        <w:tc>
          <w:tcPr>
            <w:tcW w:type="pct" w:w="45%"/>
            <w:shd w:fill="EEF2F7" w:val="clear"/>
            <w:tcMar>
              <w:top w:type="dxa" w:w="40"/>
              <w:left w:type="dxa" w:w="90"/>
              <w:bottom w:type="dxa" w:w="40"/>
              <w:right w:type="dxa" w:w="90"/>
            </w:tcMar>
          </w:tcPr>
          <w:p>
            <w:r>
              <w:rPr>
                <w:b/>
                <w:bCs/>
                <w:color w:val="000000"/>
                <w:sz w:val="20"/>
                <w:szCs w:val="20"/>
              </w:rPr>
              <w:t xml:space="preserve">Genius 20%</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Genius dynamic pricing</w:t>
            </w:r>
          </w:p>
        </w:tc>
        <w:tc>
          <w:tcPr>
            <w:tcW w:type="pct" w:w="55%"/>
            <w:tcMar>
              <w:top w:type="dxa" w:w="40"/>
              <w:left w:type="dxa" w:w="90"/>
              <w:bottom w:type="dxa" w:w="40"/>
              <w:right w:type="dxa" w:w="90"/>
            </w:tcMar>
          </w:tcPr>
          <w:p>
            <w:r>
              <w:rPr>
                <w:b w:val="false"/>
                <w:bCs w:val="false"/>
                <w:color w:val="000000"/>
                <w:sz w:val="20"/>
                <w:szCs w:val="20"/>
              </w:rPr>
              <w:t xml:space="preserve">Inactive</w:t>
            </w:r>
          </w:p>
        </w:tc>
      </w:tr>
    </w:tbl>
    <w:p>
      <w:pPr>
        <w:spacing w:after="20" w:before="60"/>
      </w:pPr>
      <w:r>
        <w:rPr>
          <w:b/>
          <w:bCs/>
          <w:color w:val="5A6472"/>
          <w:sz w:val="19"/>
          <w:szCs w:val="19"/>
        </w:rPr>
        <w:t xml:space="preserve">Foundations &amp; Payments</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Base Rate Plan</w:t>
            </w:r>
          </w:p>
        </w:tc>
        <w:tc>
          <w:tcPr>
            <w:tcW w:type="pct" w:w="55%"/>
            <w:shd w:fill="EEF2F7" w:val="clear"/>
            <w:tcMar>
              <w:top w:type="dxa" w:w="40"/>
              <w:left w:type="dxa" w:w="90"/>
              <w:bottom w:type="dxa" w:w="40"/>
              <w:right w:type="dxa" w:w="90"/>
            </w:tcMar>
          </w:tcPr>
          <w:p>
            <w:r>
              <w:rPr>
                <w:b w:val="false"/>
                <w:bCs w:val="false"/>
                <w:color w:val="000000"/>
                <w:sz w:val="20"/>
                <w:szCs w:val="20"/>
              </w:rPr>
              <w:t xml:space="preserve">Inactive</w:t>
            </w:r>
          </w:p>
        </w:tc>
      </w:tr>
      <w:tr>
        <w:tc>
          <w:tcPr>
            <w:tcW w:type="pct" w:w="45%"/>
            <w:tcMar>
              <w:top w:type="dxa" w:w="40"/>
              <w:left w:type="dxa" w:w="90"/>
              <w:bottom w:type="dxa" w:w="40"/>
              <w:right w:type="dxa" w:w="90"/>
            </w:tcMar>
          </w:tcPr>
          <w:p>
            <w:r>
              <w:rPr>
                <w:b/>
                <w:bCs/>
                <w:color w:val="000000"/>
                <w:sz w:val="20"/>
                <w:szCs w:val="20"/>
              </w:rPr>
              <w:t xml:space="preserve">Family rates</w:t>
            </w:r>
          </w:p>
        </w:tc>
        <w:tc>
          <w:tcPr>
            <w:tcW w:type="pct" w:w="55%"/>
            <w:tcMar>
              <w:top w:type="dxa" w:w="40"/>
              <w:left w:type="dxa" w:w="90"/>
              <w:bottom w:type="dxa" w:w="40"/>
              <w:right w:type="dxa" w:w="90"/>
            </w:tcMar>
          </w:tcPr>
          <w:p>
            <w:r>
              <w:rPr>
                <w:b w:val="false"/>
                <w:bCs w:val="false"/>
                <w:color w:val="000000"/>
                <w:sz w:val="20"/>
                <w:szCs w:val="20"/>
              </w:rPr>
              <w:t xml:space="preserve">Active</w:t>
            </w:r>
          </w:p>
        </w:tc>
      </w:tr>
      <w:tr>
        <w:tc>
          <w:tcPr>
            <w:tcW w:type="pct" w:w="45%"/>
            <w:shd w:fill="EEF2F7" w:val="clear"/>
            <w:tcMar>
              <w:top w:type="dxa" w:w="40"/>
              <w:left w:type="dxa" w:w="90"/>
              <w:bottom w:type="dxa" w:w="40"/>
              <w:right w:type="dxa" w:w="90"/>
            </w:tcMar>
          </w:tcPr>
          <w:p>
            <w:r>
              <w:rPr>
                <w:b/>
                <w:bCs/>
                <w:color w:val="000000"/>
                <w:sz w:val="20"/>
                <w:szCs w:val="20"/>
              </w:rPr>
              <w:t xml:space="preserve">Payments</w:t>
            </w:r>
          </w:p>
        </w:tc>
        <w:tc>
          <w:tcPr>
            <w:tcW w:type="pct" w:w="55%"/>
            <w:shd w:fill="EEF2F7" w:val="clear"/>
            <w:tcMar>
              <w:top w:type="dxa" w:w="40"/>
              <w:left w:type="dxa" w:w="90"/>
              <w:bottom w:type="dxa" w:w="40"/>
              <w:right w:type="dxa" w:w="90"/>
            </w:tcMar>
          </w:tcPr>
          <w:p>
            <w:r>
              <w:rPr>
                <w:b w:val="false"/>
                <w:bCs w:val="false"/>
                <w:color w:val="000000"/>
                <w:sz w:val="20"/>
                <w:szCs w:val="20"/>
              </w:rPr>
              <w:t xml:space="preserve">Active</w:t>
            </w:r>
          </w:p>
        </w:tc>
      </w:tr>
    </w:tbl>
    <w:p>
      <w:pPr>
        <w:pStyle w:val="Heading2"/>
        <w:spacing w:after="100" w:before="240"/>
      </w:pPr>
      <w:r>
        <w:rPr>
          <w:b/>
          <w:bCs/>
          <w:color w:val="0B2545"/>
          <w:sz w:val="24"/>
          <w:szCs w:val="24"/>
        </w:rPr>
        <w:t xml:space="preserve">4. 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5. Prescribed Pricing Diagnostic to Pitch Flow (Coach answer key)</w:t>
      </w:r>
    </w:p>
    <w:tbl>
      <w:tblPr>
        <w:tblW w:type="pct" w:w="100%"/>
        <w:tblBorders>
          <w:top w:val="single" w:color="D5DCE5" w:sz="2"/>
          <w:left w:val="single" w:color="D5DCE5" w:sz="2"/>
          <w:bottom w:val="single" w:color="D5DCE5" w:sz="2"/>
          <w:right w:val="single" w:color="D5DCE5" w:sz="2"/>
          <w:insideH w:val="single" w:color="D5DCE5" w:sz="2"/>
          <w:insideV w:val="single" w:color="D5DCE5" w:sz="2"/>
        </w:tblBorders>
      </w:tblPr>
      <w:tblGrid>
        <w:gridCol w:w="100"/>
        <w:gridCol w:w="100"/>
      </w:tblGrid>
      <w:tr>
        <w:tc>
          <w:tcPr>
            <w:tcW w:type="pct" w:w="45%"/>
            <w:shd w:fill="EEF2F7" w:val="clear"/>
            <w:tcMar>
              <w:top w:type="dxa" w:w="40"/>
              <w:left w:type="dxa" w:w="90"/>
              <w:bottom w:type="dxa" w:w="40"/>
              <w:right w:type="dxa" w:w="90"/>
            </w:tcMar>
          </w:tcPr>
          <w:p>
            <w:r>
              <w:rPr>
                <w:b/>
                <w:bCs/>
                <w:color w:val="000000"/>
                <w:sz w:val="20"/>
                <w:szCs w:val="20"/>
              </w:rPr>
              <w:t xml:space="preserve">Trigger</w:t>
            </w:r>
          </w:p>
        </w:tc>
        <w:tc>
          <w:tcPr>
            <w:tcW w:type="pct" w:w="55%"/>
            <w:shd w:fill="EEF2F7" w:val="clear"/>
            <w:tcMar>
              <w:top w:type="dxa" w:w="40"/>
              <w:left w:type="dxa" w:w="90"/>
              <w:bottom w:type="dxa" w:w="40"/>
              <w:right w:type="dxa" w:w="90"/>
            </w:tcMar>
          </w:tcPr>
          <w:p>
            <w:r>
              <w:rPr>
                <w:b w:val="false"/>
                <w:bCs w:val="false"/>
                <w:color w:val="000000"/>
                <w:sz w:val="20"/>
                <w:szCs w:val="20"/>
              </w:rPr>
              <w:t xml:space="preserve">pricing-signal</w:t>
            </w:r>
          </w:p>
        </w:tc>
      </w:tr>
      <w:tr>
        <w:tc>
          <w:tcPr>
            <w:tcW w:type="pct" w:w="45%"/>
            <w:tcMar>
              <w:top w:type="dxa" w:w="40"/>
              <w:left w:type="dxa" w:w="90"/>
              <w:bottom w:type="dxa" w:w="40"/>
              <w:right w:type="dxa" w:w="90"/>
            </w:tcMar>
          </w:tcPr>
          <w:p>
            <w:r>
              <w:rPr>
                <w:b/>
                <w:bCs/>
                <w:color w:val="000000"/>
                <w:sz w:val="20"/>
                <w:szCs w:val="20"/>
              </w:rPr>
              <w:t xml:space="preserve">Issue</w:t>
            </w:r>
          </w:p>
        </w:tc>
        <w:tc>
          <w:tcPr>
            <w:tcW w:type="pct" w:w="55%"/>
            <w:tcMar>
              <w:top w:type="dxa" w:w="40"/>
              <w:left w:type="dxa" w:w="90"/>
              <w:bottom w:type="dxa" w:w="40"/>
              <w:right w:type="dxa" w:w="90"/>
            </w:tcMar>
          </w:tcPr>
          <w:p>
            <w:r>
              <w:rPr>
                <w:b w:val="false"/>
                <w:bCs w:val="false"/>
                <w:color w:val="000000"/>
                <w:sz w:val="20"/>
                <w:szCs w:val="20"/>
              </w:rPr>
              <w:t xml:space="preserve">brand-com-erpd-not-competitive</w:t>
            </w:r>
          </w:p>
        </w:tc>
      </w:tr>
      <w:tr>
        <w:tc>
          <w:tcPr>
            <w:tcW w:type="pct" w:w="45%"/>
            <w:shd w:fill="EEF2F7" w:val="clear"/>
            <w:tcMar>
              <w:top w:type="dxa" w:w="40"/>
              <w:left w:type="dxa" w:w="90"/>
              <w:bottom w:type="dxa" w:w="40"/>
              <w:right w:type="dxa" w:w="90"/>
            </w:tcMar>
          </w:tcPr>
          <w:p>
            <w:r>
              <w:rPr>
                <w:b/>
                <w:bCs/>
                <w:color w:val="000000"/>
                <w:sz w:val="20"/>
                <w:szCs w:val="20"/>
              </w:rPr>
              <w:t xml:space="preserve">Intent</w:t>
            </w:r>
          </w:p>
        </w:tc>
        <w:tc>
          <w:tcPr>
            <w:tcW w:type="pct" w:w="55%"/>
            <w:shd w:fill="EEF2F7" w:val="clear"/>
            <w:tcMar>
              <w:top w:type="dxa" w:w="40"/>
              <w:left w:type="dxa" w:w="90"/>
              <w:bottom w:type="dxa" w:w="40"/>
              <w:right w:type="dxa" w:w="90"/>
            </w:tcMar>
          </w:tcPr>
          <w:p>
            <w:r>
              <w:rPr>
                <w:b w:val="false"/>
                <w:bCs w:val="false"/>
                <w:color w:val="000000"/>
                <w:sz w:val="20"/>
                <w:szCs w:val="20"/>
              </w:rPr>
              <w:t xml:space="preserve">intentional</w:t>
            </w:r>
          </w:p>
        </w:tc>
      </w:tr>
      <w:tr>
        <w:tc>
          <w:tcPr>
            <w:tcW w:type="pct" w:w="45%"/>
            <w:tcMar>
              <w:top w:type="dxa" w:w="40"/>
              <w:left w:type="dxa" w:w="90"/>
              <w:bottom w:type="dxa" w:w="40"/>
              <w:right w:type="dxa" w:w="90"/>
            </w:tcMar>
          </w:tcPr>
          <w:p>
            <w:r>
              <w:rPr>
                <w:b/>
                <w:bCs/>
                <w:color w:val="000000"/>
                <w:sz w:val="20"/>
                <w:szCs w:val="20"/>
              </w:rPr>
              <w:t xml:space="preserve">Root cause</w:t>
            </w:r>
          </w:p>
        </w:tc>
        <w:tc>
          <w:tcPr>
            <w:tcW w:type="pct" w:w="55%"/>
            <w:tcMar>
              <w:top w:type="dxa" w:w="40"/>
              <w:left w:type="dxa" w:w="90"/>
              <w:bottom w:type="dxa" w:w="40"/>
              <w:right w:type="dxa" w:w="90"/>
            </w:tcMar>
          </w:tcPr>
          <w:p>
            <w:r>
              <w:rPr>
                <w:b w:val="false"/>
                <w:bCs w:val="false"/>
                <w:color w:val="000000"/>
                <w:sz w:val="20"/>
                <w:szCs w:val="20"/>
              </w:rPr>
              <w:t xml:space="preserve">structural-brand-first</w:t>
            </w:r>
          </w:p>
        </w:tc>
      </w:tr>
      <w:tr>
        <w:tc>
          <w:tcPr>
            <w:tcW w:type="pct" w:w="45%"/>
            <w:shd w:fill="EEF2F7" w:val="clear"/>
            <w:tcMar>
              <w:top w:type="dxa" w:w="40"/>
              <w:left w:type="dxa" w:w="90"/>
              <w:bottom w:type="dxa" w:w="40"/>
              <w:right w:type="dxa" w:w="90"/>
            </w:tcMar>
          </w:tcPr>
          <w:p>
            <w:r>
              <w:rPr>
                <w:b/>
                <w:bCs/>
                <w:color w:val="000000"/>
                <w:sz w:val="20"/>
                <w:szCs w:val="20"/>
              </w:rPr>
              <w:t xml:space="preserve">Metric insight</w:t>
            </w:r>
          </w:p>
        </w:tc>
        <w:tc>
          <w:tcPr>
            <w:tcW w:type="pct" w:w="55%"/>
            <w:shd w:fill="EEF2F7" w:val="clear"/>
            <w:tcMar>
              <w:top w:type="dxa" w:w="40"/>
              <w:left w:type="dxa" w:w="90"/>
              <w:bottom w:type="dxa" w:w="40"/>
              <w:right w:type="dxa" w:w="90"/>
            </w:tcMar>
          </w:tcPr>
          <w:p>
            <w:r>
              <w:rPr>
                <w:b w:val="false"/>
                <w:bCs w:val="false"/>
                <w:color w:val="000000"/>
                <w:sz w:val="20"/>
                <w:szCs w:val="20"/>
              </w:rPr>
              <w:t xml:space="preserve">structural-constant-non-competitive-erpd</w:t>
            </w:r>
          </w:p>
        </w:tc>
      </w:tr>
      <w:tr>
        <w:tc>
          <w:tcPr>
            <w:tcW w:type="pct" w:w="45%"/>
            <w:tcMar>
              <w:top w:type="dxa" w:w="40"/>
              <w:left w:type="dxa" w:w="90"/>
              <w:bottom w:type="dxa" w:w="40"/>
              <w:right w:type="dxa" w:w="90"/>
            </w:tcMar>
          </w:tcPr>
          <w:p>
            <w:r>
              <w:rPr>
                <w:b/>
                <w:bCs/>
                <w:color w:val="000000"/>
                <w:sz w:val="20"/>
                <w:szCs w:val="20"/>
              </w:rPr>
              <w:t xml:space="preserve">Hook</w:t>
            </w:r>
          </w:p>
        </w:tc>
        <w:tc>
          <w:tcPr>
            <w:tcW w:type="pct" w:w="55%"/>
            <w:tcMar>
              <w:top w:type="dxa" w:w="40"/>
              <w:left w:type="dxa" w:w="90"/>
              <w:bottom w:type="dxa" w:w="40"/>
              <w:right w:type="dxa" w:w="90"/>
            </w:tcMar>
          </w:tcPr>
          <w:p>
            <w:r>
              <w:rPr>
                <w:b w:val="false"/>
                <w:bCs w:val="false"/>
                <w:color w:val="000000"/>
                <w:sz w:val="20"/>
                <w:szCs w:val="20"/>
              </w:rPr>
              <w:t xml:space="preserve">base-rate-misalignment</w:t>
            </w:r>
          </w:p>
        </w:tc>
      </w:tr>
    </w:tbl>
    <w:p>
      <w:pPr>
        <w:pStyle w:val="Heading2"/>
        <w:spacing w:after="100" w:before="240"/>
      </w:pPr>
      <w:r>
        <w:rPr>
          <w:b/>
          <w:bCs/>
          <w:color w:val="0B2545"/>
          <w:sz w:val="24"/>
          <w:szCs w:val="24"/>
        </w:rPr>
        <w:t xml:space="preserve">6. Conversation (priority partner)</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I was reviewing your performance this morning - can I share some insights with you?”</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“Good morning, yes, sure, let's go ahead!”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noticed your bookings have slowed down, and it seems to be because prices on our platform are currently around 20% higher than the rates on your website. Can you walk me through the strategy behind this setup?”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“Morning, Mark. It's simple: we want direct conversion. If a traveler sees it's cheaper on our site, they leave your platform and book with us.”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prices on our platform are running about 20% too high, and honestly that's just a mistake - it's the whole reason your bookings dried up. There's nothing complicated here, you simply need to pull those rates down and get the setup fixed.”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a deliberate strategy, not a mistake. If that's your pitch,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I really wouldn't read too much into a slow patch like this - in my experience these things tend to even out on their own, and a quiet stretch one quarter usually turns around the next without anyone needing to touch a thing.”</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set aside this time for the numbers. 'It'll sort itself out' isn't insight.”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“Morning, Mark. It's simple: we want direct conversion. If a traveler sees it's cheaper on our site, they leave your platform and book with us.”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logic. But guest search behavior on our platform shows a different pattern - when travelers see a higher price here than on your website, they don't jump to your site, they usually just click a cheaper competitor on the same search page. How do you evaluate that risk of losing the customer entirely?”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data suggests our brand pull is strong enough to capture them directly.”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and I take your point - your brand really is strong, and I'd agree that most of the guests who already know you will make the effort to find their way over to your own site and book directly, even when the price here is a little higher. If that's holding up the way you expect, then the direct-conversion play is doing its job.”</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 strategy works. Then what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that whole brand-pull idea is just wishful thinking - nobody out there is loyal enough to go hunting you down across the internet when there's a cheaper competitor sitting right next to you on the same search page. People take the easy, cheaper option every time, and expecting them to do otherwise is going to keep costing you these bookings.”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telling me my brand means nothing? That's a strange way to win me over.”</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“Our data suggests our brand pull is strong enough to capture them directly.”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“For your loyal guests, absolutely. But what about the net-new travelers who don't know your brand yet? That's the value we bring - and it's why we ask that you align your public rates and conditions with your direct website here, so you don't lose the guests who start their journey on our platform.”</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“If I align the public rates, I only dilute our ADR and compromise our selling proposition.”</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give us exactly the same rates you're giving the other OTAs - if you line all of them up so you're sitting level across every single platform, then nobody undercuts anybody and this whole gap disappears overnight. Match us to what you're offering everyone else and we're sorted.”</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“You're asking me to line my rates up with the other OTAs? I didn't think that was something you could ask.”</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completely fair point, and I don't want to push you somewhere that hurts your average rate. If aligning your public rates here really would dilute your ADR and work against the selling proposition you've built, then let's not force it - I'm happy to leave your public rates exactly where they are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do? Then I'm not sure why we're talking.”</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“If I align the public rates, I only dilute our ADR and compromise our selling proposition.”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“Not necessarily - you can still use fenced, closed member rates on your own site to reward loyalty. But keeping your public rates and conditions aligned with your direct channel makes you more attractive to travelers on our platform. And while reviewing this, I noticed a gap in your family occupancy - your family-specific search visibility is dropping significantly.”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“That's odd. We're a family-friendly brand - our occupancy settings should be fine.”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you can do here is just cut your public rates so you come out as the cheaper option on the page - being the lower price is what makes you competitive, so the moment you're sitting under the competition you're back in the mix for those bookings. Drop the public numbers a bit and you're the obvious choice for anyone comparing on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“Cutting my public rate is exactly the ADR dilution I just flagged. That's a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family occupancy thing is probably nothing worth chasing - these little dips come and go all the time and I wouldn't want to send you down a rabbit hole over it. Let's not get distracted by the family numbers and just keep our focus where it actually matters, which is sorting out these public rates and the gap against your own website.”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raised it, then waved it off. Which is it?”</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“That's odd. We're a family-friendly brand - our occupancy settings should be fine.”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“They're optimized on your website, but on our platform your family rates aren't set correctly - our system is pricing children as full adults, which makes the stay look artificially expensive for families. Given families grew nearly two times faster than other segments and are 24% more likely to leave a review, would you like to correct this configuration?”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being family-friendly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I'd look at it, you just need to drop your family prices here so you come out competitive for those searches, and once the numbers look cheaper for families the bookings in that segment will start coming through on their own. Families are hunting for the best deal like everyone else, so if you make the family rate the obvious cheaper choice on the page, that whole part of your business opens back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told you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have to be straight with you here - your family rates are just set up wrong on your own side of the extranet, and honestly this is the kind of thing you really should have caught and sorted out yourself a long time ago. The children are being priced as full adults because nobody on your team checked the occupancy settings properly, and that oversight is sitting squarely with you, not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too. This is not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being family-friendly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use for high-risk periods on family rooms too, while keeping the base rate competitive.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Adam, all that family-risk stuff barely happens in practice - you get the odd invalid card or a last-minute cancellation now and then, but it's a tiny fraction of bookings and nowhere near enough to write off a whole segment over. I really wouldn't let a handful of bad experiences hold up something this valuable.”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direct with you, Adam - if you decide to do nothing here and leave all of this exactly as it is, then your ranking is only going to keep sliding further down, and once that slide sets in it gets very hard to climb back. The longer you sit on it, the more visibility you lose to the properties around you, and that's not somewhere you want to end up.”</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Pack 5 - Narrow Parity - Rounds 6-10</dc:title>
  <dc:creator>Rate Right</dc:creator>
  <cp:lastModifiedBy>Un-named</cp:lastModifiedBy>
  <cp:revision>1</cp:revision>
  <dcterms:created xsi:type="dcterms:W3CDTF">2026-09-07T14:52:19.469Z</dcterms:created>
  <dcterms:modified xsi:type="dcterms:W3CDTF">2026-09-07T14:52:19.470Z</dcterms:modified>
</cp:coreProperties>
</file>

<file path=docProps/custom.xml><?xml version="1.0" encoding="utf-8"?>
<Properties xmlns="http://schemas.openxmlformats.org/officeDocument/2006/custom-properties" xmlns:vt="http://schemas.openxmlformats.org/officeDocument/2006/docPropsVTypes"/>
</file>