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df" ContentType="application/pdf"/>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 ANY</w:t>
      </w:r>
      <w:r>
        <w:t xml:space="preserve"> </w:t>
      </w:r>
      <w:r>
        <w:t xml:space="preserve">WARRANTY OF MERCHANTABILITY, NONINFRINGEMENT, FITNESS FOR ANY PARTICULAR PURPOSE, OR</w:t>
      </w:r>
      <w:r>
        <w:t xml:space="preserve"> </w:t>
      </w:r>
      <w:r>
        <w:t xml:space="preserve">ANY WARRANTY OTHERWISE ARISING OUT OF ANY PROPOSAL, SPECIFICATION OR SAMPLE.</w:t>
      </w:r>
    </w:p>
    <w:p>
      <w:pPr>
        <w:pStyle w:val="BodyText"/>
      </w:pPr>
      <w:r>
        <w:t xml:space="preserve">Without limitation, TCG disclaims all liability, including liability for infringement of any proprietary rights, relating to use</w:t>
      </w:r>
      <w:r>
        <w:t xml:space="preserve"> </w:t>
      </w:r>
      <w:r>
        <w:t xml:space="preserve">of information in this specification and to the implementation of this specification, and TCG disclaims all liability for</w:t>
      </w:r>
      <w:r>
        <w:t xml:space="preserve"> </w:t>
      </w:r>
      <w:r>
        <w:t xml:space="preserve">cost of procurement of substitute goods or services, lost profits, loss of use, loss of data or any incidental,</w:t>
      </w:r>
      <w:r>
        <w:t xml:space="preserve"> </w:t>
      </w:r>
      <w:r>
        <w:t xml:space="preserve">consequential, direct, indirect, or special damages, whether under contract, tort, warranty or otherwise, arising in any</w:t>
      </w:r>
      <w:r>
        <w:t xml:space="preserve"> </w:t>
      </w:r>
      <w:r>
        <w:t xml:space="preserve">way out of use or reliance upon this specification or any information herein.</w:t>
      </w:r>
      <w:r>
        <w:t xml:space="preserve"> </w:t>
      </w:r>
      <w:r>
        <w:t xml:space="preserve">This document is copyrighted by Trusted Computing Group (TCG), and no license, express or implied, is granted</w:t>
      </w:r>
      <w:r>
        <w:t xml:space="preserve"> </w:t>
      </w:r>
      <w:r>
        <w:t xml:space="preserve">herein other than as follows: You may not copy or reproduce the document or distribute it to others without written</w:t>
      </w:r>
      <w:r>
        <w:t xml:space="preserve"> </w:t>
      </w:r>
      <w:r>
        <w:t xml:space="preserve">permission from TCG, except that you may freely do so for the purposes of (a) examining or implementing TCG</w:t>
      </w:r>
      <w:r>
        <w:t xml:space="preserve"> </w:t>
      </w:r>
      <w:r>
        <w:t xml:space="preserve">specifications or (b) developing, testing, or promoting information technology standards and best practices, so long</w:t>
      </w:r>
      <w:r>
        <w:t xml:space="preserve"> </w:t>
      </w:r>
      <w:r>
        <w:t xml:space="preserve">as you distribute the document with these disclaimers, notices, and license terms.</w:t>
      </w:r>
      <w:r>
        <w:t xml:space="preserve"> </w:t>
      </w:r>
      <w:r>
        <w:t xml:space="preserve">Contact the Trusted Computing Group at www.trustedcomputinggroup.org for information on specification licensing</w:t>
      </w:r>
      <w:r>
        <w:t xml:space="preserve"> </w:t>
      </w:r>
      <w:r>
        <w:t xml:space="preserve">through membership agreements.</w:t>
      </w:r>
      <w:r>
        <w:t xml:space="preserve"> </w:t>
      </w:r>
      <w:r>
        <w:t xml:space="preserve">Any marks and brands contained herein are the property of their respective owners.</w:t>
      </w:r>
    </w:p>
    <w:p>
      <w:pPr>
        <w:pStyle w:val="TableCaption"/>
      </w:pPr>
      <w:r>
        <w:t xml:space="preserve">Change History</w:t>
      </w:r>
    </w:p>
    <w:tbl>
      <w:tblPr>
        <w:tblStyle w:val="Table"/>
        <w:tblW w:type="auto" w:w="0"/>
        <w:tblLook w:firstRow="1" w:lastRow="0" w:firstColumn="0" w:lastColumn="0" w:noHBand="0" w:noVBand="0" w:val="0020"/>
        <w:tblCaption w:val="Change History"/>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0.2/17</w:t>
            </w:r>
          </w:p>
        </w:tc>
        <w:tc>
          <w:tcPr/>
          <w:p>
            <w:pPr>
              <w:pStyle w:val="Compact"/>
              <w:jc w:val="left"/>
            </w:pPr>
            <w:r>
              <w:t xml:space="preserve">2022/08/10</w:t>
            </w:r>
          </w:p>
        </w:tc>
        <w:tc>
          <w:tcPr/>
          <w:p>
            <w:pPr>
              <w:pStyle w:val="Compact"/>
              <w:jc w:val="left"/>
            </w:pPr>
            <w:r>
              <w:t xml:space="preserve">Initial draft</w:t>
            </w:r>
          </w:p>
        </w:tc>
      </w:tr>
      <w:tr>
        <w:tc>
          <w:tcPr/>
          <w:p>
            <w:pPr>
              <w:pStyle w:val="Compact"/>
              <w:jc w:val="left"/>
            </w:pPr>
            <w:r>
              <w:t xml:space="preserve">0.2/18</w:t>
            </w:r>
          </w:p>
        </w:tc>
        <w:tc>
          <w:tcPr/>
          <w:p>
            <w:pPr>
              <w:pStyle w:val="Compact"/>
              <w:jc w:val="left"/>
            </w:pPr>
            <w:r>
              <w:t xml:space="preserve">2022/08/10</w:t>
            </w:r>
          </w:p>
        </w:tc>
        <w:tc>
          <w:tcPr/>
          <w:p>
            <w:pPr>
              <w:pStyle w:val="Compact"/>
              <w:jc w:val="left"/>
            </w:pPr>
            <w:r>
              <w:t xml:space="preserve">Add page breaks</w:t>
            </w:r>
          </w:p>
        </w:tc>
      </w:tr>
      <w:tr>
        <w:tc>
          <w:tcPr/>
          <w:p>
            <w:pPr>
              <w:pStyle w:val="Compact"/>
              <w:jc w:val="left"/>
            </w:pPr>
            <w:r>
              <w:t xml:space="preserve">0.2/19</w:t>
            </w:r>
          </w:p>
        </w:tc>
        <w:tc>
          <w:tcPr/>
          <w:p>
            <w:pPr>
              <w:pStyle w:val="Compact"/>
              <w:jc w:val="left"/>
            </w:pPr>
            <w:r>
              <w:t xml:space="preserve">2022/08/24</w:t>
            </w:r>
          </w:p>
        </w:tc>
        <w:tc>
          <w:tcPr/>
          <w:p>
            <w:pPr>
              <w:pStyle w:val="Compact"/>
              <w:jc w:val="left"/>
            </w:pPr>
            <w:r>
              <w:t xml:space="preserve">Fixes from TC</w:t>
            </w:r>
          </w:p>
        </w:tc>
      </w:tr>
    </w:tbl>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 statements are to be interpreted as</w:t>
      </w:r>
      <w:r>
        <w:t xml:space="preserve"> </w:t>
      </w:r>
      <w:r>
        <w:t xml:space="preserve">described in</w:t>
      </w:r>
      <w:r>
        <w:t xml:space="preserve"> </w:t>
      </w:r>
      <w:hyperlink r:id="rId20">
        <w:r>
          <w:rPr>
            <w:rStyle w:val="Hyperlink"/>
          </w:rPr>
          <w:t xml:space="preserve">RFC-2119</w:t>
        </w:r>
      </w:hyperlink>
      <w:r>
        <w:t xml:space="preserve">, Key words for use in RFCs to Indicate Requirement Levels.</w:t>
      </w:r>
    </w:p>
    <w:bookmarkStart w:id="21" w:name="key-words"/>
    <w:p>
      <w:pPr>
        <w:pStyle w:val="Heading2"/>
      </w:pPr>
      <w:r>
        <w:t xml:space="preserve">Key Words</w:t>
      </w:r>
    </w:p>
    <w:bookmarkEnd w:id="21"/>
    <w:bookmarkStart w:id="22" w:name="statement-type"/>
    <w:p>
      <w:pPr>
        <w:pStyle w:val="Heading2"/>
      </w:pPr>
      <w:r>
        <w:t xml:space="preserve">Statement Type</w:t>
      </w:r>
    </w:p>
    <w:p>
      <w:pPr>
        <w:pStyle w:val="FirstParagraph"/>
      </w:pPr>
      <w:r>
        <w:t xml:space="preserve">Please note an important distinction between different sections of text throughout this document. There are two</w:t>
      </w:r>
      <w:r>
        <w:t xml:space="preserve"> </w:t>
      </w:r>
      <w:r>
        <w:t xml:space="preserve">distinctive kinds of text:</w:t>
      </w:r>
      <w:r>
        <w:t xml:space="preserve"> </w:t>
      </w:r>
      <w:r>
        <w:rPr>
          <w:iCs/>
          <w:i/>
        </w:rPr>
        <w:t xml:space="preserve">informative comment</w:t>
      </w:r>
      <w:r>
        <w:t xml:space="preserve"> </w:t>
      </w:r>
      <w:r>
        <w:t xml:space="preserve">and</w:t>
      </w:r>
      <w:r>
        <w:t xml:space="preserve"> </w:t>
      </w:r>
      <w:r>
        <w:rPr>
          <w:iCs/>
          <w:i/>
        </w:rPr>
        <w:t xml:space="preserve">normative statement</w:t>
      </w:r>
      <w:r>
        <w:t xml:space="preserve">. Because most of the text in this specification</w:t>
      </w:r>
      <w:r>
        <w:t xml:space="preserve"> </w:t>
      </w:r>
      <w:r>
        <w:t xml:space="preserve">will be of the kind</w:t>
      </w:r>
      <w:r>
        <w:t xml:space="preserve"> </w:t>
      </w:r>
      <w:r>
        <w:rPr>
          <w:iCs/>
          <w:i/>
        </w:rPr>
        <w:t xml:space="preserve">normative statement</w:t>
      </w:r>
      <w:r>
        <w:t xml:space="preserve">, the authors have informally defined it as the default and, as such, have</w:t>
      </w:r>
      <w:r>
        <w:t xml:space="preserve"> </w:t>
      </w:r>
      <w:r>
        <w:t xml:space="preserve">specifically called out text of the kind</w:t>
      </w:r>
      <w:r>
        <w:t xml:space="preserve"> </w:t>
      </w:r>
      <w:r>
        <w:rPr>
          <w:iCs/>
          <w:i/>
        </w:rPr>
        <w:t xml:space="preserve">informative comment</w:t>
      </w:r>
      <w:r>
        <w:t xml:space="preserve">. They have done this by highlighting its text in gray.</w:t>
      </w:r>
      <w:r>
        <w:t xml:space="preserve"> </w:t>
      </w:r>
      <w:r>
        <w:t xml:space="preserve">This means that unless text is specifically marked as of the kind</w:t>
      </w:r>
      <w:r>
        <w:t xml:space="preserve"> </w:t>
      </w:r>
      <w:r>
        <w:rPr>
          <w:iCs/>
          <w:i/>
        </w:rPr>
        <w:t xml:space="preserve">informative comment</w:t>
      </w:r>
      <w:r>
        <w:t xml:space="preserve">, it can be considered to be of the</w:t>
      </w:r>
      <w:r>
        <w:t xml:space="preserve"> </w:t>
      </w:r>
      <w:r>
        <w:t xml:space="preserve">kind</w:t>
      </w:r>
      <w:r>
        <w:t xml:space="preserve"> </w:t>
      </w:r>
      <w:r>
        <w:rPr>
          <w:iCs/>
          <w:i/>
        </w:rPr>
        <w:t xml:space="preserve">normative statement</w:t>
      </w:r>
      <w:r>
        <w:t xml:space="preserve">.</w:t>
      </w:r>
    </w:p>
    <w:p>
      <w:pPr>
        <w:pStyle w:val="TCGInformative"/>
      </w:pPr>
      <w:r>
        <w:t xml:space="preserve">This is the first paragraph of 1–n paragraphs containing text of the kind 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 (This use of MUST does not require any action).</w:t>
      </w:r>
    </w:p>
    <w:bookmarkEnd w:id="22"/>
    <w:bookmarkStart w:id="23" w:name="references"/>
    <w:p>
      <w:pPr>
        <w:pStyle w:val="Heading2"/>
      </w:pPr>
      <w:r>
        <w:t xml:space="preserve">References</w:t>
      </w:r>
    </w:p>
    <w:p>
      <w:pPr>
        <w:numPr>
          <w:ilvl w:val="0"/>
          <w:numId w:val="1001"/>
        </w:numPr>
        <w:pStyle w:val="Compact"/>
      </w:pPr>
      <w:r>
        <w:t xml:space="preserve">“</w:t>
      </w:r>
      <w:r>
        <w:t xml:space="preserve">Hipster Ipsum.</w:t>
      </w:r>
      <w:r>
        <w:t xml:space="preserve">”</w:t>
      </w:r>
      <w:r>
        <w:t xml:space="preserve"> </w:t>
      </w:r>
      <w:r>
        <w:t xml:space="preserve">https://hipsum.co</w:t>
      </w:r>
    </w:p>
    <w:bookmarkEnd w:id="23"/>
    <w:bookmarkStart w:id="26" w:name="terms"/>
    <w:p>
      <w:pPr>
        <w:pStyle w:val="Heading2"/>
      </w:pPr>
      <w:r>
        <w:t xml:space="preserve">Terms</w:t>
      </w:r>
    </w:p>
    <w:bookmarkStart w:id="25"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4">
        <w:r>
          <w:rPr>
            <w:rStyle w:val="Hyperlink"/>
          </w:rPr>
          <w:t xml:space="preserve">spoilednyc.com</w:t>
        </w:r>
      </w:hyperlink>
      <w:r>
        <w:t xml:space="preserve">.</w:t>
      </w:r>
    </w:p>
    <w:bookmarkEnd w:id="25"/>
    <w:bookmarkEnd w:id="26"/>
    <w:bookmarkStart w:id="30" w:name="computer"/>
    <w:p>
      <w:pPr>
        <w:pStyle w:val="Heading2"/>
      </w:pPr>
      <w:r>
        <w:t xml:space="preserve">Computer</w:t>
      </w:r>
    </w:p>
    <w:p>
      <w:pPr>
        <w:pStyle w:val="CaptionedFigure"/>
      </w:pPr>
      <w:r>
        <w:drawing>
          <wp:inline>
            <wp:extent cx="6858000" cy="4575571"/>
            <wp:effectExtent b="0" l="0" r="0" t="0"/>
            <wp:docPr descr="Image of a computer" title="" id="28" name="Picture"/>
            <a:graphic>
              <a:graphicData uri="http://schemas.openxmlformats.org/drawingml/2006/picture">
                <pic:pic>
                  <pic:nvPicPr>
                    <pic:cNvPr descr="computer.jpg" id="29" name="Picture"/>
                    <pic:cNvPicPr>
                      <a:picLocks noChangeArrowheads="1" noChangeAspect="1"/>
                    </pic:cNvPicPr>
                  </pic:nvPicPr>
                  <pic:blipFill>
                    <a:blip r:embed="rId27"/>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0"/>
    <w:bookmarkStart w:id="34" w:name="hypochondria"/>
    <w:p>
      <w:pPr>
        <w:pStyle w:val="Heading2"/>
      </w:pPr>
      <w:r>
        <w:t xml:space="preserve">Hypochondria</w:t>
      </w:r>
    </w:p>
    <w:p>
      <w:pPr>
        <w:pStyle w:val="CaptionedFigure"/>
      </w:pPr>
      <w:r>
        <w:drawing>
          <wp:inline>
            <wp:extent cx="6858000" cy="5734912"/>
            <wp:effectExtent b="0" l="0" r="0" t="0"/>
            <wp:docPr descr="Hypochondriac's Conversation" title="" id="32" name="Picture"/>
            <a:graphic>
              <a:graphicData uri="http://schemas.openxmlformats.org/drawingml/2006/picture">
                <pic:pic>
                  <pic:nvPicPr>
                    <pic:cNvPr descr="/tmp/tmp-273wDlLEIqKcFyX.tmp.pdf" id="33" name="Picture"/>
                    <pic:cNvPicPr>
                      <a:picLocks noChangeArrowheads="1" noChangeAspect="1"/>
                    </pic:cNvPicPr>
                  </pic:nvPicPr>
                  <pic:blipFill>
                    <a:blip r:embed="rId31"/>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p>
      <w:pPr>
        <w:pStyle w:val="BodyText"/>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p>
      <w:pPr>
        <w:pStyle w:val="BodyText"/>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p>
      <w:pPr>
        <w:pStyle w:val="FirstParagraph"/>
      </w:pPr>
      <w:r>
        <w:t xml:space="preserve">Hello.</w:t>
      </w:r>
    </w:p>
    <w:bookmarkEnd w:id="34"/>
    <w:bookmarkStart w:id="38" w:name="subsection-1"/>
    <w:p>
      <w:pPr>
        <w:pStyle w:val="Heading2"/>
      </w:pPr>
      <w:r>
        <w:t xml:space="preserve">Subsection 1</w:t>
      </w:r>
    </w:p>
    <w:p>
      <w:pPr>
        <w:pStyle w:val="FirstParagraph"/>
      </w:pPr>
      <w:r>
        <w:t xml:space="preserve">The first rule of this subsection is, don’t talk about this subsection.</w:t>
      </w:r>
    </w:p>
    <w:bookmarkStart w:id="37"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35" w:name="subsubsubsection-i"/>
    <w:p>
      <w:pPr>
        <w:pStyle w:val="Heading4"/>
      </w:pPr>
      <w:r>
        <w:t xml:space="preserve">Subsubsubsection i</w:t>
      </w:r>
    </w:p>
    <w:p>
      <w:pPr>
        <w:pStyle w:val="FirstParagraph"/>
      </w:pPr>
      <w:r>
        <w:t xml:space="preserve">Very fine grained details</w:t>
      </w:r>
    </w:p>
    <w:bookmarkEnd w:id="35"/>
    <w:bookmarkStart w:id="36" w:name="subsubsubsection-ii"/>
    <w:p>
      <w:pPr>
        <w:pStyle w:val="Heading4"/>
      </w:pPr>
      <w:r>
        <w:t xml:space="preserve">Subsubsubsection ii</w:t>
      </w:r>
    </w:p>
    <w:p>
      <w:pPr>
        <w:pStyle w:val="FirstParagraph"/>
      </w:pPr>
      <w:r>
        <w:t xml:space="preserve">More details.</w:t>
      </w:r>
    </w:p>
    <w:bookmarkEnd w:id="36"/>
    <w:bookmarkEnd w:id="37"/>
    <w:bookmarkEnd w:id="38"/>
    <w:bookmarkStart w:id="39" w:name="subsection-2"/>
    <w:p>
      <w:pPr>
        <w:pStyle w:val="Heading2"/>
      </w:pPr>
      <w:r>
        <w:t xml:space="preserve">Subsection 2</w:t>
      </w:r>
    </w:p>
    <w:p>
      <w:pPr>
        <w:pStyle w:val="FirstParagraph"/>
      </w:pPr>
      <w:r>
        <w:t xml:space="preserve">Something else</w:t>
      </w:r>
    </w:p>
    <w:bookmarkEnd w:id="39"/>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1" Target="media/rId31.pdf" /><Relationship Type="http://schemas.openxmlformats.org/officeDocument/2006/relationships/image" Id="rId27" Target="media/rId27.jpg" /><Relationship Type="http://schemas.openxmlformats.org/officeDocument/2006/relationships/hyperlink" Id="rId24"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4"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2022-10-04T20:55:09Z</dcterms:created>
  <dcterms:modified xsi:type="dcterms:W3CDTF">2022-10-04T20:55:09Z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