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9B8AD" w14:textId="5D41F8FA" w:rsidR="002F174A" w:rsidRPr="00520D6F" w:rsidRDefault="002F174A" w:rsidP="00903900">
      <w:pPr>
        <w:spacing w:line="240" w:lineRule="auto"/>
        <w:jc w:val="center"/>
        <w:rPr>
          <w:b/>
        </w:rPr>
      </w:pPr>
      <w:r w:rsidRPr="00520D6F">
        <w:rPr>
          <w:b/>
          <w:sz w:val="24"/>
        </w:rPr>
        <w:t xml:space="preserve">Comparing </w:t>
      </w:r>
      <w:r w:rsidR="00EF626C">
        <w:rPr>
          <w:b/>
          <w:sz w:val="24"/>
        </w:rPr>
        <w:t xml:space="preserve">Four Main Protein Homology Data Sources </w:t>
      </w:r>
      <w:proofErr w:type="gramStart"/>
      <w:r w:rsidR="00EF626C">
        <w:rPr>
          <w:b/>
          <w:sz w:val="24"/>
        </w:rPr>
        <w:t>To</w:t>
      </w:r>
      <w:proofErr w:type="gramEnd"/>
      <w:r w:rsidR="00EF626C">
        <w:rPr>
          <w:b/>
          <w:sz w:val="24"/>
        </w:rPr>
        <w:t xml:space="preserve"> Assess </w:t>
      </w:r>
      <w:r w:rsidR="001924DE" w:rsidRPr="00520D6F">
        <w:rPr>
          <w:b/>
          <w:sz w:val="24"/>
        </w:rPr>
        <w:t xml:space="preserve">The Evolution Of </w:t>
      </w:r>
      <w:r w:rsidRPr="00520D6F">
        <w:rPr>
          <w:b/>
          <w:sz w:val="24"/>
        </w:rPr>
        <w:t xml:space="preserve">TORC1 </w:t>
      </w:r>
      <w:r w:rsidR="001924DE" w:rsidRPr="00520D6F">
        <w:rPr>
          <w:b/>
          <w:sz w:val="24"/>
        </w:rPr>
        <w:t>Complex In Plants</w:t>
      </w:r>
      <w:r w:rsidR="00EF626C" w:rsidRPr="00520D6F">
        <w:rPr>
          <w:b/>
          <w:sz w:val="24"/>
        </w:rPr>
        <w:t>.</w:t>
      </w:r>
      <w:r w:rsidR="00EF626C">
        <w:rPr>
          <w:b/>
          <w:sz w:val="24"/>
        </w:rPr>
        <w:t xml:space="preserve"> Implications </w:t>
      </w:r>
      <w:proofErr w:type="gramStart"/>
      <w:r w:rsidR="00EF626C">
        <w:rPr>
          <w:b/>
          <w:sz w:val="24"/>
        </w:rPr>
        <w:t>For</w:t>
      </w:r>
      <w:proofErr w:type="gramEnd"/>
      <w:r w:rsidR="00EF626C">
        <w:rPr>
          <w:b/>
          <w:sz w:val="24"/>
        </w:rPr>
        <w:t xml:space="preserve"> Conserved Domains Search.</w:t>
      </w:r>
      <w:r w:rsidRPr="00520D6F">
        <w:rPr>
          <w:b/>
        </w:rPr>
        <w:br/>
      </w:r>
    </w:p>
    <w:p w14:paraId="24481551" w14:textId="77777777" w:rsidR="00903900" w:rsidRDefault="002F174A" w:rsidP="00903900">
      <w:pPr>
        <w:spacing w:line="240" w:lineRule="auto"/>
        <w:rPr>
          <w:b/>
        </w:rPr>
      </w:pPr>
      <w:r w:rsidRPr="00903900">
        <w:rPr>
          <w:b/>
        </w:rPr>
        <w:t>Abstract</w:t>
      </w:r>
      <w:r w:rsidRPr="001924DE">
        <w:br/>
      </w:r>
      <w:r w:rsidRPr="001924DE">
        <w:br/>
      </w:r>
      <w:r w:rsidRPr="00903900">
        <w:rPr>
          <w:b/>
        </w:rPr>
        <w:t>Introduction</w:t>
      </w:r>
    </w:p>
    <w:p w14:paraId="73782917" w14:textId="26624D9C" w:rsidR="00903900" w:rsidRDefault="002F174A" w:rsidP="00903900">
      <w:pPr>
        <w:spacing w:line="240" w:lineRule="auto"/>
        <w:rPr>
          <w:b/>
        </w:rPr>
      </w:pPr>
      <w:r w:rsidRPr="001924DE">
        <w:t>In order to orchestrate a successful response to (biotic and abiotic) environmental changes, plants need to balance and coordinate their grow and stress responses.</w:t>
      </w:r>
      <w:r w:rsidRPr="001924DE">
        <w:br/>
        <w:t>Autophagy, a subcellular recycling system conserved across all eukaryotes, has been shown to be crucial during developmental processes and stress response.</w:t>
      </w:r>
      <w:r w:rsidRPr="001924DE">
        <w:br/>
        <w:t>Brassinosteroids (BRs) are a steroidal plant hormone family known to be involved in a myriad of plant growth-related processes. Such as cell division/elongation and reproductive development.  </w:t>
      </w:r>
      <w:r w:rsidRPr="001924DE">
        <w:br/>
        <w:t>The GSK3-like kinase BIN2 (BRASSINOSTEROID-INSENSITIVE 2) is a key negative regulator of BR signaling response. This enzyme is known to phosphorylate the BR-responsive transcription factor BES1 (BRI1-EMS-SUPPRESSOR 1), preventing its nuclear accumulation and helping promote BES1 proteasomal degradation. Therefore, the plant BR response is inhibited.  </w:t>
      </w:r>
      <w:r w:rsidRPr="001924DE">
        <w:br/>
        <w:t>Broadening our knowledge about proteins being phosphorylated by BIN2 would give us a better picture of the different processes being controlled by this important regulator of BR response. </w:t>
      </w:r>
      <w:r w:rsidRPr="001924DE">
        <w:br/>
      </w:r>
      <w:r w:rsidRPr="001924DE">
        <w:br/>
      </w:r>
      <w:r w:rsidRPr="00903900">
        <w:rPr>
          <w:b/>
        </w:rPr>
        <w:t>Materials and methods</w:t>
      </w:r>
    </w:p>
    <w:p w14:paraId="0DE6A4AB" w14:textId="1D8431D3" w:rsidR="001924DE" w:rsidRPr="00903900" w:rsidRDefault="002F174A" w:rsidP="00903900">
      <w:pPr>
        <w:spacing w:line="240" w:lineRule="auto"/>
      </w:pPr>
      <w:r w:rsidRPr="00903900">
        <w:rPr>
          <w:bCs/>
        </w:rPr>
        <w:t>Dataset</w:t>
      </w:r>
    </w:p>
    <w:p w14:paraId="276ABC9B" w14:textId="1ABC0A73" w:rsidR="00790AD9" w:rsidRPr="001924DE" w:rsidRDefault="002F174A" w:rsidP="00903900">
      <w:pPr>
        <w:spacing w:line="240" w:lineRule="auto"/>
      </w:pPr>
      <w:r w:rsidRPr="001924DE">
        <w:t xml:space="preserve">Protein sequence for RAPTOR1B (AT3G08850.1), TOR (AT1G50030.1) and LST8-1 (AT3G18140.1) were retrieved from The Arabidopsis </w:t>
      </w:r>
      <w:r w:rsidR="00790AD9" w:rsidRPr="001924DE">
        <w:t>Information</w:t>
      </w:r>
      <w:r w:rsidRPr="001924DE">
        <w:t xml:space="preserve"> Resource (TAIR</w:t>
      </w:r>
      <w:r w:rsidR="00790AD9" w:rsidRPr="001924DE">
        <w:t xml:space="preserve">, </w:t>
      </w:r>
      <w:r w:rsidRPr="001924DE">
        <w:t xml:space="preserve">www.arabidopsis.org). </w:t>
      </w:r>
      <w:r w:rsidR="00411F25" w:rsidRPr="001924DE">
        <w:t>Four d</w:t>
      </w:r>
      <w:r w:rsidRPr="001924DE">
        <w:t>ifferent sets</w:t>
      </w:r>
      <w:r w:rsidR="00C463C3">
        <w:t xml:space="preserve"> </w:t>
      </w:r>
      <w:r w:rsidRPr="001924DE">
        <w:t>of homolog proteins for each accession were obtained by using the following procedures:</w:t>
      </w:r>
    </w:p>
    <w:p w14:paraId="56E2A83C" w14:textId="64594C13" w:rsidR="00790AD9" w:rsidRPr="001924DE" w:rsidRDefault="002F174A" w:rsidP="00903900">
      <w:pPr>
        <w:pStyle w:val="ListParagraph"/>
        <w:numPr>
          <w:ilvl w:val="0"/>
          <w:numId w:val="2"/>
        </w:numPr>
        <w:spacing w:line="240" w:lineRule="auto"/>
      </w:pPr>
      <w:r w:rsidRPr="001924DE">
        <w:t xml:space="preserve">The first homolog proteins list was obtained from the National Center for Biotechnology Information (NCBI) </w:t>
      </w:r>
      <w:proofErr w:type="spellStart"/>
      <w:r w:rsidRPr="001924DE">
        <w:t>HomoloGene</w:t>
      </w:r>
      <w:proofErr w:type="spellEnd"/>
      <w:r w:rsidRPr="001924DE">
        <w:t xml:space="preserve"> website</w:t>
      </w:r>
      <w:r w:rsidR="00D008FF" w:rsidRPr="001924DE">
        <w:t xml:space="preserve"> </w:t>
      </w:r>
      <w:r w:rsidRPr="001924DE">
        <w:t>(</w:t>
      </w:r>
      <w:hyperlink r:id="rId8" w:history="1">
        <w:r w:rsidR="00790AD9" w:rsidRPr="001924DE">
          <w:rPr>
            <w:rStyle w:val="Hyperlink"/>
            <w:color w:val="auto"/>
          </w:rPr>
          <w:t>https://www.ncbi.nlm.nih.gov/homologene/</w:t>
        </w:r>
      </w:hyperlink>
      <w:r w:rsidRPr="001924DE">
        <w:t>).</w:t>
      </w:r>
    </w:p>
    <w:p w14:paraId="21583A38" w14:textId="5FF38B7C" w:rsidR="00D008FF" w:rsidRPr="001924DE" w:rsidRDefault="002F174A" w:rsidP="00903900">
      <w:pPr>
        <w:pStyle w:val="ListParagraph"/>
        <w:numPr>
          <w:ilvl w:val="0"/>
          <w:numId w:val="2"/>
        </w:numPr>
        <w:spacing w:line="240" w:lineRule="auto"/>
      </w:pPr>
      <w:r w:rsidRPr="001924DE">
        <w:t>The second list of homolog proteins was obtained by using the Basic Local Alignment Search Tool (BLAST</w:t>
      </w:r>
      <w:r w:rsidR="00E82BEA" w:rsidRPr="001924DE">
        <w:t xml:space="preserve">, </w:t>
      </w:r>
      <w:r w:rsidR="00E82BEA" w:rsidRPr="001924DE">
        <w:fldChar w:fldCharType="begin" w:fldLock="1"/>
      </w:r>
      <w:r w:rsidR="00E82BEA" w:rsidRPr="001924DE">
        <w:instrText>ADDIN CSL_CITATION {"citationItems":[{"id":"ITEM-1","itemData":{"DOI":"10.1016/S0022-2836(05)80360-2","ISSN":"0022-2836","abstract":"A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sensitivity.","author":[{"dropping-particle":"","family":"Altschul","given":"Stephen F.","non-dropping-particle":"","parse-names":false,"suffix":""},{"dropping-particle":"","family":"Gish","given":"Warren","non-dropping-particle":"","parse-names":false,"suffix":""},{"dropping-particle":"","family":"Miller","given":"Webb","non-dropping-particle":"","parse-names":false,"suffix":""},{"dropping-particle":"","family":"Myers","given":"Eugene W.","non-dropping-particle":"","parse-names":false,"suffix":""},{"dropping-particle":"","family":"Lipman","given":"David J.","non-dropping-particle":"","parse-names":false,"suffix":""}],"container-title":"Journal of Molecular Biology","id":"ITEM-1","issue":"3","issued":{"date-parts":[["1990","10","5"]]},"page":"403-410","publisher":"Academic Press","title":"Basic local alignment search tool","type":"article-journal","volume":"215"},"uris":["http://www.mendeley.com/documents/?uuid=b94e49a7-30ad-3ee2-b920-cddd955690bf"]}],"mendeley":{"formattedCitation":"(Altschul et al., 1990)","plainTextFormattedCitation":"(Altschul et al., 1990)","previouslyFormattedCitation":"(Altschul et al., 1990)"},"properties":{"noteIndex":0},"schema":"https://github.com/citation-style-language/schema/raw/master/csl-citation.json"}</w:instrText>
      </w:r>
      <w:r w:rsidR="00E82BEA" w:rsidRPr="001924DE">
        <w:fldChar w:fldCharType="separate"/>
      </w:r>
      <w:r w:rsidR="00E82BEA" w:rsidRPr="001924DE">
        <w:rPr>
          <w:noProof/>
        </w:rPr>
        <w:t>(Altschul et al., 1990)</w:t>
      </w:r>
      <w:r w:rsidR="00E82BEA" w:rsidRPr="001924DE">
        <w:fldChar w:fldCharType="end"/>
      </w:r>
      <w:r w:rsidRPr="001924DE">
        <w:t xml:space="preserve">) </w:t>
      </w:r>
      <w:r w:rsidR="00E82BEA" w:rsidRPr="001924DE">
        <w:t xml:space="preserve">with default settings </w:t>
      </w:r>
      <w:r w:rsidRPr="001924DE">
        <w:t>and retrieving the top 100 best scoring hits</w:t>
      </w:r>
      <w:r w:rsidR="00790AD9" w:rsidRPr="001924DE">
        <w:t xml:space="preserve"> for each </w:t>
      </w:r>
      <w:r w:rsidR="00D008FF" w:rsidRPr="001924DE">
        <w:t>of the three proteins</w:t>
      </w:r>
      <w:r w:rsidRPr="001924DE">
        <w:t>.</w:t>
      </w:r>
    </w:p>
    <w:p w14:paraId="427F9FB9" w14:textId="69A599E3" w:rsidR="00D008FF" w:rsidRPr="001924DE" w:rsidRDefault="002F174A" w:rsidP="00903900">
      <w:pPr>
        <w:pStyle w:val="ListParagraph"/>
        <w:numPr>
          <w:ilvl w:val="0"/>
          <w:numId w:val="2"/>
        </w:numPr>
        <w:spacing w:line="240" w:lineRule="auto"/>
      </w:pPr>
      <w:r w:rsidRPr="001924DE">
        <w:t xml:space="preserve">The third list was obtained from the </w:t>
      </w:r>
      <w:proofErr w:type="spellStart"/>
      <w:r w:rsidR="00D008FF" w:rsidRPr="001924DE">
        <w:t>C</w:t>
      </w:r>
      <w:r w:rsidRPr="001924DE">
        <w:t>ompara</w:t>
      </w:r>
      <w:proofErr w:type="spellEnd"/>
      <w:r w:rsidRPr="001924DE">
        <w:t xml:space="preserve"> </w:t>
      </w:r>
      <w:r w:rsidR="00D008FF" w:rsidRPr="001924DE">
        <w:t>D</w:t>
      </w:r>
      <w:r w:rsidRPr="001924DE">
        <w:t>atabase</w:t>
      </w:r>
      <w:r w:rsidR="00D008FF" w:rsidRPr="001924DE">
        <w:t xml:space="preserve"> at the ENSEMBL Plants website (</w:t>
      </w:r>
      <w:hyperlink r:id="rId9" w:history="1">
        <w:r w:rsidR="00D008FF" w:rsidRPr="001924DE">
          <w:rPr>
            <w:rStyle w:val="Hyperlink"/>
            <w:color w:val="auto"/>
          </w:rPr>
          <w:t>http://plants.ensembl.org/info/website/ftp/index.html</w:t>
        </w:r>
      </w:hyperlink>
      <w:r w:rsidR="00E82BEA" w:rsidRPr="001924DE">
        <w:t xml:space="preserve">, </w:t>
      </w:r>
      <w:r w:rsidR="00E82BEA" w:rsidRPr="001924DE">
        <w:fldChar w:fldCharType="begin" w:fldLock="1"/>
      </w:r>
      <w:r w:rsidR="00E82BEA" w:rsidRPr="001924DE">
        <w:instrText>ADDIN CSL_CITATION {"citationItems":[{"id":"ITEM-1","itemData":{"DOI":"10.1093/nar/gkx1011","ISSN":"0305-1048","author":[{"dropping-particle":"","family":"Kersey","given":"Paul Julian","non-dropping-particle":"","parse-names":false,"suffix":""},{"dropping-particle":"","family":"Allen","given":"James E","non-dropping-particle":"","parse-names":false,"suffix":""},{"dropping-particle":"","family":"Allot","given":"Alexis","non-dropping-particle":"","parse-names":false,"suffix":""},{"dropping-particle":"","family":"Barba","given":"Matthieu","non-dropping-particle":"","parse-names":false,"suffix":""},{"dropping-particle":"","family":"Boddu","given":"Sanjay","non-dropping-particle":"","parse-names":false,"suffix":""},{"dropping-particle":"","family":"Bolt","given":"Bruce J","non-dropping-particle":"","parse-names":false,"suffix":""},{"dropping-particle":"","family":"Carvalho-Silva","given":"Denise","non-dropping-particle":"","parse-names":false,"suffix":""},{"dropping-particle":"","family":"Christensen","given":"Mikkel","non-dropping-particle":"","parse-names":false,"suffix":""},{"dropping-particle":"","family":"Davis","given":"Paul","non-dropping-particle":"","parse-names":false,"suffix":""},{"dropping-particle":"","family":"Grabmueller","given":"Christoph","non-dropping-particle":"","parse-names":false,"suffix":""},{"dropping-particle":"","family":"Kumar","given":"Navin","non-dropping-particle":"","parse-names":false,"suffix":""},{"dropping-particle":"","family":"Liu","given":"Zicheng","non-dropping-particle":"","parse-names":false,"suffix":""},{"dropping-particle":"","family":"Maurel","given":"Thomas","non-dropping-particle":"","parse-names":false,"suffix":""},{"dropping-particle":"","family":"Moore","given":"Ben","non-dropping-particle":"","parse-names":false,"suffix":""},{"dropping-particle":"","family":"McDowall","given":"Mark D","non-dropping-particle":"","parse-names":false,"suffix":""},{"dropping-particle":"","family":"Maheswari","given":"Uma","non-dropping-particle":"","parse-names":false,"suffix":""},{"dropping-particle":"","family":"Naamati","given":"Guy","non-dropping-particle":"","parse-names":false,"suffix":""},{"dropping-particle":"","family":"Newman","given":"Victoria","non-dropping-particle":"","parse-names":false,"suffix":""},{"dropping-particle":"","family":"Ong","given":"Chuang Kee","non-dropping-particle":"","parse-names":false,"suffix":""},{"dropping-particle":"","family":"Paulini","given":"Michael","non-dropping-particle":"","parse-names":false,"suffix":""},{"dropping-particle":"","family":"Pedro","given":"Helder","non-dropping-particle":"","parse-names":false,"suffix":""},{"dropping-particle":"","family":"Perry","given":"Emily","non-dropping-particle":"","parse-names":false,"suffix":""},{"dropping-particle":"","family":"Russell","given":"Matthew","non-dropping-particle":"","parse-names":false,"suffix":""},{"dropping-particle":"","family":"Sparrow","given":"Helen","non-dropping-particle":"","parse-names":false,"suffix":""},{"dropping-particle":"","family":"Tapanari","given":"Electra","non-dropping-particle":"","parse-names":false,"suffix":""},{"dropping-particle":"","family":"Taylor","given":"Kieron","non-dropping-particle":"","parse-names":false,"suffix":""},{"dropping-particle":"","family":"Vullo","given":"Alessandro","non-dropping-particle":"","parse-names":false,"suffix":""},{"dropping-particle":"","family":"Williams","given":"Gareth","non-dropping-particle":"","parse-names":false,"suffix":""},{"dropping-particle":"","family":"Zadissia","given":"Amonida","non-dropping-particle":"","parse-names":false,"suffix":""},{"dropping-particle":"","family":"Olson","given":"Andrew","non-dropping-particle":"","parse-names":false,"suffix":""},{"dropping-particle":"","family":"Stein","given":"Joshua","non-dropping-particle":"","parse-names":false,"suffix":""},{"dropping-particle":"","family":"Wei","given":"Sharon","non-dropping-particle":"","parse-names":false,"suffix":""},{"dropping-particle":"","family":"Tello-Ruiz","given":"Marcela","non-dropping-particle":"","parse-names":false,"suffix":""},{"dropping-particle":"","family":"Ware","given":"Doreen","non-dropping-particle":"","parse-names":false,"suffix":""},{"dropping-particle":"","family":"Luciani","given":"Aurelien","non-dropping-particle":"","parse-names":false,"suffix":""},{"dropping-particle":"","family":"Potter","given":"Simon","non-dropping-particle":"","parse-names":false,"suffix":""},{"dropping-particle":"","family":"Finn","given":"Robert D","non-dropping-particle":"","parse-names":false,"suffix":""},{"dropping-particle":"","family":"Urban","given":"Martin","non-dropping-particle":"","parse-names":false,"suffix":""},{"dropping-particle":"","family":"Hammond-Kosack","given":"Kim E","non-dropping-particle":"","parse-names":false,"suffix":""},{"dropping-particle":"","family":"Bolser","given":"Dan M","non-dropping-particle":"","parse-names":false,"suffix":""},{"dropping-particle":"","family":"De Silva","given":"Nishadi","non-dropping-particle":"","parse-names":false,"suffix":""},{"dropping-particle":"","family":"Howe","given":"Kevin L","non-dropping-particle":"","parse-names":false,"suffix":""},{"dropping-particle":"","family":"Langridge","given":"Nicholas","non-dropping-particle":"","parse-names":false,"suffix":""},{"dropping-particle":"","family":"Maslen","given":"Gareth","non-dropping-particle":"","parse-names":false,"suffix":""},{"dropping-particle":"","family":"Staines","given":"Daniel Michael","non-dropping-particle":"","parse-names":false,"suffix":""},{"dropping-particle":"","family":"Yates","given":"Andrew","non-dropping-particle":"","parse-names":false,"suffix":""}],"container-title":"Nucleic Acids Research","id":"ITEM-1","issue":"D1","issued":{"date-parts":[["2018","1","4"]]},"page":"D802-D808","publisher":"Narnia","title":"Ensembl Genomes 2018: an integrated omics infrastructure for non-vertebrate species","type":"article-journal","volume":"46"},"uris":["http://www.mendeley.com/documents/?uuid=5c8a467a-404d-3e28-b9fe-a1fa52c1da7f"]}],"mendeley":{"formattedCitation":"(Kersey et al., 2018)","plainTextFormattedCitation":"(Kersey et al., 2018)","previouslyFormattedCitation":"(Kersey et al., 2018)"},"properties":{"noteIndex":0},"schema":"https://github.com/citation-style-language/schema/raw/master/csl-citation.json"}</w:instrText>
      </w:r>
      <w:r w:rsidR="00E82BEA" w:rsidRPr="001924DE">
        <w:fldChar w:fldCharType="separate"/>
      </w:r>
      <w:r w:rsidR="00E82BEA" w:rsidRPr="001924DE">
        <w:rPr>
          <w:noProof/>
        </w:rPr>
        <w:t>(Kersey et al., 2018)</w:t>
      </w:r>
      <w:r w:rsidR="00E82BEA" w:rsidRPr="001924DE">
        <w:fldChar w:fldCharType="end"/>
      </w:r>
      <w:r w:rsidR="00D008FF" w:rsidRPr="001924DE">
        <w:t>)</w:t>
      </w:r>
    </w:p>
    <w:p w14:paraId="5B9CF9A4" w14:textId="2FD656FD" w:rsidR="00411F25" w:rsidRDefault="002F174A" w:rsidP="00903900">
      <w:pPr>
        <w:pStyle w:val="ListParagraph"/>
        <w:numPr>
          <w:ilvl w:val="0"/>
          <w:numId w:val="2"/>
        </w:numPr>
        <w:spacing w:line="240" w:lineRule="auto"/>
      </w:pPr>
      <w:r w:rsidRPr="001924DE">
        <w:t xml:space="preserve">The final list of homologs was obtained from </w:t>
      </w:r>
      <w:proofErr w:type="spellStart"/>
      <w:r w:rsidRPr="001924DE">
        <w:t>Phytozome</w:t>
      </w:r>
      <w:proofErr w:type="spellEnd"/>
      <w:r w:rsidR="003D23FA" w:rsidRPr="001924DE">
        <w:t xml:space="preserve"> </w:t>
      </w:r>
      <w:r w:rsidR="00411F25" w:rsidRPr="001924DE">
        <w:t xml:space="preserve">version 12.1 </w:t>
      </w:r>
      <w:r w:rsidR="00E82BEA" w:rsidRPr="001924DE">
        <w:t>(</w:t>
      </w:r>
      <w:hyperlink r:id="rId10" w:history="1">
        <w:r w:rsidR="00E82BEA" w:rsidRPr="001924DE">
          <w:rPr>
            <w:rStyle w:val="Hyperlink"/>
            <w:color w:val="auto"/>
          </w:rPr>
          <w:t>https://phytozome.jgi.doe.gov</w:t>
        </w:r>
      </w:hyperlink>
      <w:r w:rsidR="00E82BEA" w:rsidRPr="001924DE">
        <w:t xml:space="preserve">, </w:t>
      </w:r>
      <w:r w:rsidR="00E82BEA" w:rsidRPr="001924DE">
        <w:fldChar w:fldCharType="begin" w:fldLock="1"/>
      </w:r>
      <w:r w:rsidR="00C616BC">
        <w:instrText>ADDIN CSL_CITATION {"citationItems":[{"id":"ITEM-1","itemData":{"DOI":"10.1093/nar/gkr944","ISSN":"1362-4962","PMID":"22110026","abstract":"The number of sequenced plant genomes and associated genomic resources is growing rapidly with the advent of both an increased focus on plant genomics from funding agencies, and the application of inexpensive next generation sequencing. To interact with this increasing body of data, we have developed Phytozome (http://www.phytozome.net), a comparative hub for plant genome and gene family data and analysis. Phytozome provides a view of the evolutionary history of every plant gene at the level of sequence, gene structure, gene family and genome organization, while at the same time providing access to the sequences and functional annotations of a growing number (currently 25) of complete plant genomes, including all the land plants and selected algae sequenced at the Joint Genome Institute, as well as selected species sequenced elsewhere. Through a comprehensive plant genome database and web portal, these data and analyses are available to the broader plant science research community, providing powerful comparative genomics tools that help to link model systems with other plants of economic and ecological importance.","author":[{"dropping-particle":"","family":"Goodstein","given":"David M","non-dropping-particle":"","parse-names":false,"suffix":""},{"dropping-particle":"","family":"Shu","given":"Shengqiang","non-dropping-particle":"","parse-names":false,"suffix":""},{"dropping-particle":"","family":"Howson","given":"Russell","non-dropping-particle":"","parse-names":false,"suffix":""},{"dropping-particle":"","family":"Neupane","given":"Rochak","non-dropping-particle":"","parse-names":false,"suffix":""},{"dropping-particle":"","family":"Hayes","given":"Richard D","non-dropping-particle":"","parse-names":false,"suffix":""},{"dropping-particle":"","family":"Fazo","given":"Joni","non-dropping-particle":"","parse-names":false,"suffix":""},{"dropping-particle":"","family":"Mitros","given":"Therese","non-dropping-particle":"","parse-names":false,"suffix":""},{"dropping-particle":"","family":"Dirks","given":"William","non-dropping-particle":"","parse-names":false,"suffix":""},{"dropping-particle":"","family":"Hellsten","given":"Uffe","non-dropping-particle":"","parse-names":false,"suffix":""},{"dropping-particle":"","family":"Putnam","given":"Nicholas","non-dropping-particle":"","parse-names":false,"suffix":""},{"dropping-particle":"","family":"Rokhsar","given":"Daniel S","non-dropping-particle":"","parse-names":false,"suffix":""}],"container-title":"Nucleic acids research","id":"ITEM-1","issue":"Database issue","issued":{"date-parts":[["2012","1"]]},"page":"D1178-86","publisher":"Oxford University Press","title":"Phytozome: a comparative platform for green plant genomics.","type":"article-journal","volume":"40"},"uris":["http://www.mendeley.com/documents/?uuid=880609c7-3b9a-3059-9a03-f900ceac78ea"]}],"mendeley":{"formattedCitation":"(Goodstein et al., 2012)","plainTextFormattedCitation":"(Goodstein et al., 2012)","previouslyFormattedCitation":"(Goodstein et al., 2012)"},"properties":{"noteIndex":0},"schema":"https://github.com/citation-style-language/schema/raw/master/csl-citation.json"}</w:instrText>
      </w:r>
      <w:r w:rsidR="00E82BEA" w:rsidRPr="001924DE">
        <w:fldChar w:fldCharType="separate"/>
      </w:r>
      <w:r w:rsidR="00E82BEA" w:rsidRPr="001924DE">
        <w:rPr>
          <w:noProof/>
        </w:rPr>
        <w:t>(Goodstein et al., 2012)</w:t>
      </w:r>
      <w:r w:rsidR="00E82BEA" w:rsidRPr="001924DE">
        <w:fldChar w:fldCharType="end"/>
      </w:r>
      <w:r w:rsidR="00E82BEA" w:rsidRPr="001924DE">
        <w:t xml:space="preserve">) and using the Araport11 annotation for </w:t>
      </w:r>
      <w:r w:rsidR="00E82BEA" w:rsidRPr="001924DE">
        <w:rPr>
          <w:i/>
        </w:rPr>
        <w:t>Arabidopsis thaliana</w:t>
      </w:r>
      <w:r w:rsidR="00E82BEA" w:rsidRPr="001924DE">
        <w:t xml:space="preserve"> </w:t>
      </w:r>
      <w:r w:rsidR="00E82BEA" w:rsidRPr="001924DE">
        <w:fldChar w:fldCharType="begin" w:fldLock="1"/>
      </w:r>
      <w:r w:rsidR="00E82BEA" w:rsidRPr="001924DE">
        <w:instrText>ADDIN CSL_CITATION {"citationItems":[{"id":"ITEM-1","itemData":{"DOI":"10.1111/tpj.13415","ISSN":"09607412","author":[{"dropping-particle":"","family":"Cheng","given":"Chia-Yi","non-dropping-particle":"","parse-names":false,"suffix":""},{"dropping-particle":"","family":"Krishnakumar","given":"Vivek","non-dropping-particle":"","parse-names":false,"suffix":""},{"dropping-particle":"","family":"Chan","given":"Agnes P.","non-dropping-particle":"","parse-names":false,"suffix":""},{"dropping-particle":"","family":"Thibaud-Nissen","given":"Françoise","non-dropping-particle":"","parse-names":false,"suffix":""},{"dropping-particle":"","family":"Schobel","given":"Seth","non-dropping-particle":"","parse-names":false,"suffix":""},{"dropping-particle":"","family":"Town","given":"Christopher D.","non-dropping-particle":"","parse-names":false,"suffix":""}],"container-title":"The Plant Journal","id":"ITEM-1","issue":"4","issued":{"date-parts":[["2017","2","1"]]},"page":"789-804","publisher":"John Wiley &amp; Sons, Ltd (10.1111)","title":"Araport11: a complete reannotation of the &lt;i&gt;Arabidopsis thaliana&lt;/i&gt; reference genome","type":"article-journal","volume":"89"},"uris":["http://www.mendeley.com/documents/?uuid=e0725769-fc7f-35b3-940b-f908465dadee"]}],"mendeley":{"formattedCitation":"(Cheng et al., 2017)","plainTextFormattedCitation":"(Cheng et al., 2017)","previouslyFormattedCitation":"(Cheng et al., 2017)"},"properties":{"noteIndex":0},"schema":"https://github.com/citation-style-language/schema/raw/master/csl-citation.json"}</w:instrText>
      </w:r>
      <w:r w:rsidR="00E82BEA" w:rsidRPr="001924DE">
        <w:fldChar w:fldCharType="separate"/>
      </w:r>
      <w:r w:rsidR="00E82BEA" w:rsidRPr="001924DE">
        <w:rPr>
          <w:noProof/>
        </w:rPr>
        <w:t>(Cheng et al., 2017)</w:t>
      </w:r>
      <w:r w:rsidR="00E82BEA" w:rsidRPr="001924DE">
        <w:fldChar w:fldCharType="end"/>
      </w:r>
      <w:r w:rsidR="00E82BEA" w:rsidRPr="001924DE">
        <w:t>.</w:t>
      </w:r>
    </w:p>
    <w:p w14:paraId="034B7FB3" w14:textId="305C173D" w:rsidR="00C463C3" w:rsidRPr="001924DE" w:rsidRDefault="00C463C3" w:rsidP="00C463C3">
      <w:pPr>
        <w:spacing w:line="240" w:lineRule="auto"/>
      </w:pPr>
      <w:r>
        <w:t>Each dataset was retrieved in FASTA format.</w:t>
      </w:r>
    </w:p>
    <w:p w14:paraId="596B718C" w14:textId="794BAFE9" w:rsidR="001924DE" w:rsidRDefault="001924DE" w:rsidP="00903900">
      <w:pPr>
        <w:spacing w:line="240" w:lineRule="auto"/>
      </w:pPr>
      <w:r w:rsidRPr="00903900">
        <w:t>Data analysis</w:t>
      </w:r>
    </w:p>
    <w:p w14:paraId="67A86E56" w14:textId="0D2BC77B" w:rsidR="00903900" w:rsidRDefault="00C616BC" w:rsidP="00903900">
      <w:pPr>
        <w:spacing w:line="240" w:lineRule="auto"/>
      </w:pPr>
      <w:r>
        <w:t>Multiple sequence a</w:t>
      </w:r>
      <w:r w:rsidR="00C463C3">
        <w:t xml:space="preserve">lignment </w:t>
      </w:r>
      <w:r>
        <w:t xml:space="preserve">(MSA) </w:t>
      </w:r>
      <w:r w:rsidR="00C463C3">
        <w:t>of each dataset was performed using MAFFT software version 7.123b</w:t>
      </w:r>
      <w:r>
        <w:t xml:space="preserve"> </w:t>
      </w:r>
      <w:r>
        <w:fldChar w:fldCharType="begin" w:fldLock="1"/>
      </w:r>
      <w:r w:rsidR="005E3E1A">
        <w:instrText>ADDIN CSL_CITATION {"citationItems":[{"id":"ITEM-1","itemData":{"DOI":"10.1093/molbev/mst010","ISSN":"0737-4038","author":[{"dropping-particle":"","family":"Katoh","given":"K.","non-dropping-particle":"","parse-names":false,"suffix":""},{"dropping-particle":"","family":"Standley","given":"D. M.","non-dropping-particle":"","parse-names":false,"suffix":""}],"container-title":"Molecular Biology and Evolution","id":"ITEM-1","issue":"4","issued":{"date-parts":[["2013","4","1"]]},"page":"772-780","publisher":"Narnia","title":"MAFFT Multiple Sequence Alignment Software Version 7: Improvements in Performance and Usability","type":"article-journal","volume":"30"},"uris":["http://www.mendeley.com/documents/?uuid=24c4915f-6bb2-3253-8bc9-2323a18b2f05"]}],"mendeley":{"formattedCitation":"(Katoh and Standley, 2013)","plainTextFormattedCitation":"(Katoh and Standley, 2013)","previouslyFormattedCitation":"(Katoh and Standley, 2013)"},"properties":{"noteIndex":0},"schema":"https://github.com/citation-style-language/schema/raw/master/csl-citation.json"}</w:instrText>
      </w:r>
      <w:r>
        <w:fldChar w:fldCharType="separate"/>
      </w:r>
      <w:r w:rsidRPr="00C616BC">
        <w:rPr>
          <w:noProof/>
        </w:rPr>
        <w:t>(Katoh and Standley, 2013)</w:t>
      </w:r>
      <w:r>
        <w:fldChar w:fldCharType="end"/>
      </w:r>
      <w:r>
        <w:t xml:space="preserve"> with the `--auto` argument.</w:t>
      </w:r>
    </w:p>
    <w:p w14:paraId="22FABF2B" w14:textId="0BA0F184" w:rsidR="00A73FEC" w:rsidRDefault="005E3E1A" w:rsidP="00903900">
      <w:pPr>
        <w:spacing w:line="240" w:lineRule="auto"/>
      </w:pPr>
      <w:r>
        <w:t xml:space="preserve">Phylogenetic analysis of each dataset was performed on the CIPRES Science Gateway </w:t>
      </w:r>
      <w:r w:rsidR="00167E41">
        <w:t xml:space="preserve">server </w:t>
      </w:r>
      <w:r>
        <w:t xml:space="preserve">version 3.3 </w:t>
      </w:r>
      <w:r>
        <w:fldChar w:fldCharType="begin" w:fldLock="1"/>
      </w:r>
      <w:r w:rsidR="00655BAF">
        <w:instrText>ADDIN CSL_CITATION {"citationItems":[{"id":"ITEM-1","itemData":{"DOI":"10.1109/GCE.2010.5676129","ISBN":"978-1-4244-9751-5","author":[{"dropping-particle":"","family":"Miller","given":"Mark A.","non-dropping-particle":"","parse-names":false,"suffix":""},{"dropping-particle":"","family":"Pfeiffer","given":"Wayne","non-dropping-particle":"","parse-names":false,"suffix":""},{"dropping-particle":"","family":"Schwartz","given":"Terri","non-dropping-particle":"","parse-names":false,"suffix":""}],"container-title":"2010 Gateway Computing Environments Workshop (GCE)","id":"ITEM-1","issued":{"date-parts":[["2010","11"]]},"page":"1-8","publisher":"IEEE","title":"Creating the CIPRES Science Gateway for inference of large phylogenetic trees","type":"paper-conference"},"uris":["http://www.mendeley.com/documents/?uuid=a00ff800-e9a6-3fa4-93a5-5004567f1442"]}],"mendeley":{"formattedCitation":"(Miller et al., 2010)","plainTextFormattedCitation":"(Miller et al., 2010)","previouslyFormattedCitation":"(Miller et al., 2010)"},"properties":{"noteIndex":0},"schema":"https://github.com/citation-style-language/schema/raw/master/csl-citation.json"}</w:instrText>
      </w:r>
      <w:r>
        <w:fldChar w:fldCharType="separate"/>
      </w:r>
      <w:r w:rsidRPr="005E3E1A">
        <w:rPr>
          <w:noProof/>
        </w:rPr>
        <w:t>(Miller et al., 2010)</w:t>
      </w:r>
      <w:r>
        <w:fldChar w:fldCharType="end"/>
      </w:r>
      <w:r w:rsidR="00655BAF">
        <w:t xml:space="preserve">. Maximum-likelihood phylogenetic trees were constructed using </w:t>
      </w:r>
      <w:proofErr w:type="spellStart"/>
      <w:r w:rsidR="00655BAF">
        <w:t>RaxML</w:t>
      </w:r>
      <w:proofErr w:type="spellEnd"/>
      <w:r w:rsidR="00655BAF">
        <w:t xml:space="preserve"> version 8.2.10 </w:t>
      </w:r>
      <w:r w:rsidR="00655BAF">
        <w:fldChar w:fldCharType="begin" w:fldLock="1"/>
      </w:r>
      <w:r w:rsidR="003A251E">
        <w:instrText>ADDIN CSL_CITATION {"citationItems":[{"id":"ITEM-1","itemData":{"DOI":"10.1093/bioinformatics/btu033","ISSN":"1460-2059","author":[{"dropping-particle":"","family":"Stamatakis","given":"Alexandros","non-dropping-particle":"","parse-names":false,"suffix":""}],"container-title":"Bioinformatics","id":"ITEM-1","issue":"9","issued":{"date-parts":[["2014","5","1"]]},"page":"1312-1313","publisher":"Narnia","title":"RAxML version 8: a tool for phylogenetic analysis and post-analysis of large phylogenies","type":"article-journal","volume":"30"},"uris":["http://www.mendeley.com/documents/?uuid=8c9c2bc8-3f24-327d-86d8-fbaa38b6f967"]}],"mendeley":{"formattedCitation":"(Stamatakis, 2014)","plainTextFormattedCitation":"(Stamatakis, 2014)","previouslyFormattedCitation":"(Stamatakis, 2014)"},"properties":{"noteIndex":0},"schema":"https://github.com/citation-style-language/schema/raw/master/csl-citation.json"}</w:instrText>
      </w:r>
      <w:r w:rsidR="00655BAF">
        <w:fldChar w:fldCharType="separate"/>
      </w:r>
      <w:r w:rsidR="00655BAF" w:rsidRPr="00655BAF">
        <w:rPr>
          <w:noProof/>
        </w:rPr>
        <w:t>(Stamatakis, 2014)</w:t>
      </w:r>
      <w:r w:rsidR="00655BAF">
        <w:fldChar w:fldCharType="end"/>
      </w:r>
      <w:r w:rsidR="00655BAF">
        <w:t xml:space="preserve"> using</w:t>
      </w:r>
      <w:r w:rsidR="004A4818">
        <w:t xml:space="preserve"> `-N </w:t>
      </w:r>
      <w:proofErr w:type="spellStart"/>
      <w:r w:rsidR="004A4818">
        <w:t>autoMRE</w:t>
      </w:r>
      <w:proofErr w:type="spellEnd"/>
      <w:r w:rsidR="004A4818">
        <w:t>`</w:t>
      </w:r>
      <w:r w:rsidR="0055637E">
        <w:t xml:space="preserve"> argument </w:t>
      </w:r>
      <w:r w:rsidR="004A4818">
        <w:t xml:space="preserve">for bootstrap. Each tree was constructed using </w:t>
      </w:r>
      <w:r w:rsidR="004A4818">
        <w:lastRenderedPageBreak/>
        <w:t>either BLOSUM62</w:t>
      </w:r>
      <w:r w:rsidR="003A251E">
        <w:t xml:space="preserve"> </w:t>
      </w:r>
      <w:r w:rsidR="003A251E">
        <w:fldChar w:fldCharType="begin" w:fldLock="1"/>
      </w:r>
      <w:r w:rsidR="003A251E">
        <w:instrText>ADDIN CSL_CITATION {"citationItems":[{"id":"ITEM-1","itemData":{"DOI":"10.1073/PNAS.89.22.10915","ISSN":"0027-8424","PMID":"1438297","abstract":"Methods for alignment of protein sequences typically measure similarity by using a substitution matrix with scores for all possible exchanges of one amino acid with another. The most widely used matrices are based on the Dayhoff model of evolutionary rates. Using a different approach, we have derived substitution matrices from about 2000 blocks of aligned sequence segments characterizing more than 500 groups of related proteins. This led to marked improvements in alignments and in searches using queries from each of the groups.","author":[{"dropping-particle":"","family":"Henikoff","given":"S","non-dropping-particle":"","parse-names":false,"suffix":""},{"dropping-particle":"","family":"Henikoff","given":"J G","non-dropping-particle":"","parse-names":false,"suffix":""}],"container-title":"Proceedings of the National Academy of Sciences of the United States of America","id":"ITEM-1","issue":"22","issued":{"date-parts":[["1992","11","15"]]},"page":"10915-9","publisher":"National Academy of Sciences","title":"Amino acid substitution matrices from protein blocks.","type":"article-journal","volume":"89"},"uris":["http://www.mendeley.com/documents/?uuid=1ed9a841-825d-311b-b000-eb6f1407e17a"]}],"mendeley":{"formattedCitation":"(Henikoff and Henikoff, 1992)","plainTextFormattedCitation":"(Henikoff and Henikoff, 1992)","previouslyFormattedCitation":"(Henikoff and Henikoff, 1992)"},"properties":{"noteIndex":0},"schema":"https://github.com/citation-style-language/schema/raw/master/csl-citation.json"}</w:instrText>
      </w:r>
      <w:r w:rsidR="003A251E">
        <w:fldChar w:fldCharType="separate"/>
      </w:r>
      <w:r w:rsidR="003A251E" w:rsidRPr="003A251E">
        <w:rPr>
          <w:noProof/>
        </w:rPr>
        <w:t>(Henikoff and Henikoff, 1992)</w:t>
      </w:r>
      <w:r w:rsidR="003A251E">
        <w:fldChar w:fldCharType="end"/>
      </w:r>
      <w:r w:rsidR="004A4818">
        <w:t xml:space="preserve"> or LG </w:t>
      </w:r>
      <w:r w:rsidR="003A251E">
        <w:fldChar w:fldCharType="begin" w:fldLock="1"/>
      </w:r>
      <w:r w:rsidR="004C14CC">
        <w:instrText>ADDIN CSL_CITATION {"citationItems":[{"id":"ITEM-1","itemData":{"DOI":"10.1093/molbev/msn067","ISSN":"0737-4038","author":[{"dropping-particle":"","family":"Le","given":"S. Q.","non-dropping-particle":"","parse-names":false,"suffix":""},{"dropping-particle":"","family":"Gascuel","given":"O.","non-dropping-particle":"","parse-names":false,"suffix":""}],"container-title":"Molecular Biology and Evolution","id":"ITEM-1","issue":"7","issued":{"date-parts":[["2008","4","3"]]},"page":"1307-1320","publisher":"Narnia","title":"An Improved General Amino Acid Replacement Matrix","type":"article-journal","volume":"25"},"uris":["http://www.mendeley.com/documents/?uuid=f3a37c83-0201-3fad-bbf1-d868a5a98f14"]}],"mendeley":{"formattedCitation":"(Le and Gascuel, 2008)","plainTextFormattedCitation":"(Le and Gascuel, 2008)","previouslyFormattedCitation":"(Le and Gascuel, 2008)"},"properties":{"noteIndex":0},"schema":"https://github.com/citation-style-language/schema/raw/master/csl-citation.json"}</w:instrText>
      </w:r>
      <w:r w:rsidR="003A251E">
        <w:fldChar w:fldCharType="separate"/>
      </w:r>
      <w:r w:rsidR="003A251E" w:rsidRPr="003A251E">
        <w:rPr>
          <w:noProof/>
        </w:rPr>
        <w:t>(Le and Gascuel, 2008)</w:t>
      </w:r>
      <w:r w:rsidR="003A251E">
        <w:fldChar w:fldCharType="end"/>
      </w:r>
      <w:r w:rsidR="003A251E">
        <w:t xml:space="preserve"> as the </w:t>
      </w:r>
      <w:r w:rsidR="004A4818">
        <w:t xml:space="preserve">amino acid substitution model </w:t>
      </w:r>
      <w:r w:rsidR="003A251E">
        <w:t xml:space="preserve">with </w:t>
      </w:r>
      <w:r w:rsidR="004A4818">
        <w:t>empirical base frequencies (`+F` argument).</w:t>
      </w:r>
    </w:p>
    <w:p w14:paraId="10EF50A9" w14:textId="709FBF0E" w:rsidR="00167E41" w:rsidRDefault="00167E41" w:rsidP="00903900">
      <w:pPr>
        <w:spacing w:line="240" w:lineRule="auto"/>
      </w:pPr>
      <w:r>
        <w:t xml:space="preserve">Optimized model parameters for each </w:t>
      </w:r>
      <w:proofErr w:type="spellStart"/>
      <w:r>
        <w:t>RaxML</w:t>
      </w:r>
      <w:proofErr w:type="spellEnd"/>
      <w:r>
        <w:t xml:space="preserve"> “</w:t>
      </w:r>
      <w:proofErr w:type="spellStart"/>
      <w:r w:rsidR="004C14CC">
        <w:t>b</w:t>
      </w:r>
      <w:r>
        <w:t>estTree</w:t>
      </w:r>
      <w:proofErr w:type="spellEnd"/>
      <w:r>
        <w:t>” w</w:t>
      </w:r>
      <w:r w:rsidR="004C14CC">
        <w:t>ere</w:t>
      </w:r>
      <w:r>
        <w:t xml:space="preserve"> assessed using </w:t>
      </w:r>
      <w:proofErr w:type="spellStart"/>
      <w:r>
        <w:t>RaxML</w:t>
      </w:r>
      <w:proofErr w:type="spellEnd"/>
      <w:r>
        <w:t>-NG</w:t>
      </w:r>
      <w:r w:rsidR="004C14CC">
        <w:t xml:space="preserve"> </w:t>
      </w:r>
      <w:r w:rsidR="004C14CC">
        <w:fldChar w:fldCharType="begin" w:fldLock="1"/>
      </w:r>
      <w:r w:rsidR="00411C23">
        <w:instrText>ADDIN CSL_CITATION {"citationItems":[{"id":"ITEM-1","itemData":{"DOI":"10.1101/447110","abstract":"Motivation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datasets.\n\nResults We present RAxML-NG, a from scratch re-implementation of the established greedy tree search algorithm of RAxML/ExaML. RAxML- NG offers improved accuracy, flexibility, speed, scalability, and usability. It compares favorably to IQ-Tree, an increasingly popular recent tool for ML-based phylogenetic inference. Finally, RAxML-NG introduces several new features, such as the detection of terraces in tree space and a the recently introduced transfer bootstrap support metric.\n\nAvailability The code is available under GNU GPL at &lt;https://github.com/amkozlov/raxml-ng.RAxML-NG&gt; web service (maintained by Vital- IT) is available at &lt;https://raxml-ng.vital-it.ch/&gt;.\n\nContact alexey.kozlov{at}h-its.org","author":[{"dropping-particle":"","family":"Kozlov","given":"Alexey M.","non-dropping-particle":"","parse-names":false,"suffix":""},{"dropping-particle":"","family":"Darriba","given":"Diego","non-dropping-particle":"","parse-names":false,"suffix":""},{"dropping-particle":"","family":"Flouri","given":"Tomás","non-dropping-particle":"","parse-names":false,"suffix":""},{"dropping-particle":"","family":"Morel","given":"Benoit","non-dropping-particle":"","parse-names":false,"suffix":""},{"dropping-particle":"","family":"Stamatakis","given":"Alexandros","non-dropping-particle":"","parse-names":false,"suffix":""}],"container-title":"bioRxiv","id":"ITEM-1","issued":{"date-parts":[["2019","3","5"]]},"page":"447110","publisher":"Cold Spring Harbor Laboratory","title":"RAxML-NG: A fast, scalable, and user-friendly tool for maximum likelihood phylogenetic inference","type":"article-journal"},"uris":["http://www.mendeley.com/documents/?uuid=578b910d-ecd4-3383-9da8-72cd8cc70a7d"]}],"mendeley":{"formattedCitation":"(Kozlov et al., 2019)","plainTextFormattedCitation":"(Kozlov et al., 2019)","previouslyFormattedCitation":"(Kozlov et al., 2019)"},"properties":{"noteIndex":0},"schema":"https://github.com/citation-style-language/schema/raw/master/csl-citation.json"}</w:instrText>
      </w:r>
      <w:r w:rsidR="004C14CC">
        <w:fldChar w:fldCharType="separate"/>
      </w:r>
      <w:r w:rsidR="004C14CC" w:rsidRPr="004C14CC">
        <w:rPr>
          <w:noProof/>
        </w:rPr>
        <w:t>(Kozlov et al., 2019)</w:t>
      </w:r>
      <w:r w:rsidR="004C14CC">
        <w:fldChar w:fldCharType="end"/>
      </w:r>
      <w:r w:rsidR="004C14CC">
        <w:t xml:space="preserve"> </w:t>
      </w:r>
      <w:r w:rsidR="0055637E">
        <w:t xml:space="preserve">with </w:t>
      </w:r>
      <w:r w:rsidR="004C14CC">
        <w:t>the `--evaluate` function.</w:t>
      </w:r>
    </w:p>
    <w:p w14:paraId="24689826" w14:textId="454BC977" w:rsidR="00411C23" w:rsidRDefault="00411C23" w:rsidP="00903900">
      <w:pPr>
        <w:spacing w:line="240" w:lineRule="auto"/>
      </w:pPr>
      <w:r>
        <w:t xml:space="preserve">Resulting trees were visualized using </w:t>
      </w:r>
      <w:proofErr w:type="spellStart"/>
      <w:r>
        <w:t>TreeGraph</w:t>
      </w:r>
      <w:proofErr w:type="spellEnd"/>
      <w:r>
        <w:t xml:space="preserve"> version 2.14.0 </w:t>
      </w:r>
      <w:r>
        <w:fldChar w:fldCharType="begin" w:fldLock="1"/>
      </w:r>
      <w:r>
        <w:instrText>ADDIN CSL_CITATION {"citationItems":[{"id":"ITEM-1","itemData":{"DOI":"10.1186/1471-2105-11-7","ISSN":"1471-2105","abstract":"Today it is common to apply multiple potentially conflicting data sources to a given phylogenetic problem. At the same time, several different inference techniques are routinely employed instead of relying on just one. In view of both trends it is becoming increasingly important to be able to efficiently compare different sets of statistical values supporting (or conflicting with) the nodes of a given tree topology, and merging this into a meaningful representation. A tree editor supporting this should also allow for flexible editing operations and be able to produce ready-to-publish figures. We developed TreeGraph 2, a GUI-based graphical editor for phylogenetic trees (available from \n                    http://treegraph.bioinfweb.info\n                    \n                  ). It allows automatically combining information from different phylogenetic analyses of a given dataset (or from different subsets of the dataset), and helps to identify and graphically present incongruences. The program features versatile editing and formatting options, such as automatically setting line widths or colors according to the value of any of the unlimited number of variables that can be assigned to each node or branch. These node/branch data can be imported from spread sheets or other trees, be calculated from each other by specified mathematical expressions, filtered, copied from and to other internal variables, be kept invisible or set visible and then be freely formatted (individually or across the whole tree). Beyond typical editing operations such as tree rerooting and ladderizing or moving and collapsing of nodes, whole clades can be copied from other files and be inserted (along with all node/branch data and legends), but can also be manually added and, thus, whole trees can quickly be manually constructed de novo. TreeGraph 2 outputs various graphic formats such as SVG, PDF, or PNG, useful for tree figures in both publications and presentations. TreeGraph 2 is a user-friendly, fully documented application to produce ready-to-publish trees. It can display any number of annotations in several ways, and permits easily importing and combining them. Additionally, a great number of editing- and formatting-operations is available.","author":[{"dropping-particle":"","family":"Stöver","given":"Ben C","non-dropping-particle":"","parse-names":false,"suffix":""},{"dropping-particle":"","family":"Müller","given":"Kai F","non-dropping-particle":"","parse-names":false,"suffix":""}],"container-title":"BMC Bioinformatics","id":"ITEM-1","issue":"1","issued":{"date-parts":[["2010","12","5"]]},"page":"7","publisher":"BioMed Central","title":"TreeGraph 2: Combining and visualizing evidence from different phylogenetic analyses","type":"article-journal","volume":"11"},"uris":["http://www.mendeley.com/documents/?uuid=4c84dead-c5e5-39ec-82f5-e42a70e06812"]}],"mendeley":{"formattedCitation":"(Stöver and Müller, 2010)","plainTextFormattedCitation":"(Stöver and Müller, 2010)"},"properties":{"noteIndex":0},"schema":"https://github.com/citation-style-language/schema/raw/master/csl-citation.json"}</w:instrText>
      </w:r>
      <w:r>
        <w:fldChar w:fldCharType="separate"/>
      </w:r>
      <w:r w:rsidRPr="00411C23">
        <w:rPr>
          <w:noProof/>
        </w:rPr>
        <w:t>(Stöver and Müller, 2010)</w:t>
      </w:r>
      <w:r>
        <w:fldChar w:fldCharType="end"/>
      </w:r>
      <w:r>
        <w:t>.</w:t>
      </w:r>
    </w:p>
    <w:p w14:paraId="077CA2FD" w14:textId="3E43140B" w:rsidR="00411C23" w:rsidRDefault="00411C23" w:rsidP="00903900">
      <w:pPr>
        <w:spacing w:line="240" w:lineRule="auto"/>
        <w:rPr>
          <w:b/>
        </w:rPr>
      </w:pPr>
      <w:r w:rsidRPr="00453DE5">
        <w:rPr>
          <w:b/>
        </w:rPr>
        <w:t>Results</w:t>
      </w:r>
    </w:p>
    <w:p w14:paraId="2E64AD0F" w14:textId="38E7E166" w:rsidR="00453DE5" w:rsidRDefault="00EF626C" w:rsidP="00903900">
      <w:pPr>
        <w:spacing w:line="240" w:lineRule="auto"/>
      </w:pPr>
      <w:r>
        <w:t xml:space="preserve">Different databases give different </w:t>
      </w:r>
      <w:r w:rsidR="00453DE5" w:rsidRPr="00453DE5">
        <w:t xml:space="preserve">number of </w:t>
      </w:r>
      <w:r>
        <w:t xml:space="preserve">homolog </w:t>
      </w:r>
      <w:r w:rsidR="00453DE5" w:rsidRPr="00453DE5">
        <w:t>sequences and species represented</w:t>
      </w:r>
      <w:r w:rsidR="00453DE5">
        <w:t>.</w:t>
      </w:r>
    </w:p>
    <w:p w14:paraId="39D43B58" w14:textId="5EBF0059" w:rsidR="00453DE5" w:rsidRPr="00453DE5" w:rsidRDefault="00DD719E" w:rsidP="00903900">
      <w:pPr>
        <w:spacing w:line="240" w:lineRule="auto"/>
      </w:pPr>
      <w:r>
        <w:t xml:space="preserve">It was found that each </w:t>
      </w:r>
      <w:r w:rsidR="00B9133D">
        <w:t xml:space="preserve">queried </w:t>
      </w:r>
      <w:r>
        <w:t>database</w:t>
      </w:r>
      <w:r w:rsidR="00B9133D">
        <w:t xml:space="preserve"> </w:t>
      </w:r>
      <w:r>
        <w:t>provided a different list of proteins w</w:t>
      </w:r>
      <w:r w:rsidR="0055637E">
        <w:t>hen comparing the different datasets of homolog proteins for a specific protein</w:t>
      </w:r>
      <w:r>
        <w:t xml:space="preserve">. </w:t>
      </w:r>
      <w:r w:rsidR="00D87FA3">
        <w:t>When searching f</w:t>
      </w:r>
      <w:r>
        <w:t xml:space="preserve">or </w:t>
      </w:r>
      <w:r w:rsidRPr="00DD719E">
        <w:rPr>
          <w:i/>
        </w:rPr>
        <w:t>A. thaliana</w:t>
      </w:r>
      <w:r>
        <w:t xml:space="preserve"> RAPTOR1B protein </w:t>
      </w:r>
      <w:r w:rsidR="00D87FA3">
        <w:t xml:space="preserve">homologs, </w:t>
      </w:r>
      <w:r>
        <w:t xml:space="preserve">using BLAST gave us </w:t>
      </w:r>
      <w:r w:rsidR="00D87FA3">
        <w:t xml:space="preserve">100 sequences from 52 different species, using </w:t>
      </w:r>
      <w:proofErr w:type="spellStart"/>
      <w:r w:rsidR="00D87FA3">
        <w:t>HomoloGene</w:t>
      </w:r>
      <w:proofErr w:type="spellEnd"/>
      <w:r w:rsidR="00D87FA3">
        <w:t xml:space="preserve"> gave us 21 sequences from 20 different species, querying from ENSEMBL Plants gave us </w:t>
      </w:r>
      <w:r w:rsidR="00F109B5">
        <w:t>116 sequences from 62 different species</w:t>
      </w:r>
      <w:r w:rsidR="00B10DFC">
        <w:t xml:space="preserve"> and, using </w:t>
      </w:r>
      <w:proofErr w:type="spellStart"/>
      <w:r w:rsidR="00B10DFC">
        <w:t>Phytozome</w:t>
      </w:r>
      <w:proofErr w:type="spellEnd"/>
      <w:r w:rsidR="00B10DFC">
        <w:t xml:space="preserve"> information gave us 100 sequences from 60 different species.</w:t>
      </w:r>
      <w:r w:rsidR="00DE1EF7">
        <w:t xml:space="preserve"> For TOR protein, BLAST gave us 100 sequences from 56 different species, </w:t>
      </w:r>
      <w:proofErr w:type="spellStart"/>
      <w:r w:rsidR="00DE1EF7">
        <w:t>HomoloGene</w:t>
      </w:r>
      <w:proofErr w:type="spellEnd"/>
      <w:r w:rsidR="00DE1EF7">
        <w:t xml:space="preserve"> gave 19 sequences from 19 species, ENSEMBL Plants gave us 98 sequences from 53 different species, and </w:t>
      </w:r>
      <w:proofErr w:type="spellStart"/>
      <w:r w:rsidR="00DE1EF7">
        <w:t>Phytozome</w:t>
      </w:r>
      <w:proofErr w:type="spellEnd"/>
      <w:r w:rsidR="00DE1EF7">
        <w:t xml:space="preserve"> gave us 100 sequences from 63 different species. LST8-1 query gave 100 sequences from 76 different species using BLAST, 20 sequences from 20 different species in </w:t>
      </w:r>
      <w:proofErr w:type="spellStart"/>
      <w:r w:rsidR="00DE1EF7">
        <w:t>HomoloGene</w:t>
      </w:r>
      <w:proofErr w:type="spellEnd"/>
      <w:r w:rsidR="00DE1EF7">
        <w:t xml:space="preserve">, 85 sequences from 62 different species using ENSEMBL Plants, and 100 sequences from 64 different species in </w:t>
      </w:r>
      <w:proofErr w:type="spellStart"/>
      <w:r w:rsidR="00DE1EF7">
        <w:t>Phytozome</w:t>
      </w:r>
      <w:proofErr w:type="spellEnd"/>
      <w:r w:rsidR="00DE1EF7">
        <w:t xml:space="preserve"> (Table 1).</w:t>
      </w:r>
      <w:bookmarkStart w:id="0" w:name="_GoBack"/>
      <w:bookmarkEnd w:id="0"/>
    </w:p>
    <w:p w14:paraId="65E74A3D" w14:textId="77777777" w:rsidR="00AA126C" w:rsidRDefault="002F174A" w:rsidP="00903900">
      <w:pPr>
        <w:spacing w:line="240" w:lineRule="auto"/>
        <w:ind w:left="360"/>
      </w:pPr>
      <w:r w:rsidRPr="001924DE">
        <w:br/>
      </w:r>
    </w:p>
    <w:p w14:paraId="59C7F2C7" w14:textId="10C3CD55" w:rsidR="00844C0C" w:rsidRDefault="00844C0C" w:rsidP="00AA126C">
      <w:pPr>
        <w:spacing w:line="240" w:lineRule="auto"/>
        <w:ind w:left="360"/>
      </w:pPr>
      <w:proofErr w:type="spellStart"/>
      <w:r w:rsidRPr="00844C0C">
        <w:t>perl</w:t>
      </w:r>
      <w:proofErr w:type="spellEnd"/>
      <w:r w:rsidRPr="00844C0C">
        <w:t xml:space="preserve"> -ne '</w:t>
      </w:r>
      <w:proofErr w:type="gramStart"/>
      <w:r w:rsidRPr="00844C0C">
        <w:t>if(</w:t>
      </w:r>
      <w:proofErr w:type="gramEnd"/>
      <w:r w:rsidRPr="00844C0C">
        <w:t xml:space="preserve">/&gt;.*_(.*?)\//) {print $1."\n"}' </w:t>
      </w:r>
      <w:proofErr w:type="spellStart"/>
      <w:r w:rsidRPr="00844C0C">
        <w:t>RAPTORB_ENSEMBL_gene_tree.fa</w:t>
      </w:r>
      <w:proofErr w:type="spellEnd"/>
      <w:r w:rsidRPr="00844C0C">
        <w:t xml:space="preserve"> &gt; </w:t>
      </w:r>
      <w:proofErr w:type="spellStart"/>
      <w:r w:rsidRPr="00844C0C">
        <w:t>sp_list.RAPTORB_ENSEMBL_gene_tree.fa</w:t>
      </w:r>
      <w:proofErr w:type="spellEnd"/>
    </w:p>
    <w:p w14:paraId="7BB4AC5F" w14:textId="13F08CF1" w:rsidR="00AA126C" w:rsidRDefault="00AA126C" w:rsidP="00AA126C">
      <w:pPr>
        <w:spacing w:line="240" w:lineRule="auto"/>
        <w:ind w:left="360"/>
      </w:pPr>
      <w:proofErr w:type="spellStart"/>
      <w:r>
        <w:t>perl</w:t>
      </w:r>
      <w:proofErr w:type="spellEnd"/>
      <w:r>
        <w:t xml:space="preserve"> -ne 'if(/(Org</w:t>
      </w:r>
      <w:proofErr w:type="gramStart"/>
      <w:r>
        <w:t>_.*</w:t>
      </w:r>
      <w:proofErr w:type="gramEnd"/>
      <w:r>
        <w:t xml:space="preserve">?)\s/) {print $1."\n"}' RAPTORB_phytozome_top100.fasta &gt; </w:t>
      </w:r>
      <w:r w:rsidR="00844C0C" w:rsidRPr="00844C0C">
        <w:t>sp_list.RAPTORB_phytozome_top100.fasta</w:t>
      </w:r>
    </w:p>
    <w:p w14:paraId="1DB4A275" w14:textId="35725C77" w:rsidR="008C7D1D" w:rsidRDefault="008C7D1D" w:rsidP="00AA126C">
      <w:pPr>
        <w:spacing w:line="240" w:lineRule="auto"/>
        <w:ind w:left="360"/>
      </w:pPr>
      <w:r w:rsidRPr="008C7D1D">
        <w:t xml:space="preserve">gawk </w:t>
      </w:r>
      <w:proofErr w:type="gramStart"/>
      <w:r w:rsidRPr="008C7D1D">
        <w:t>'{ if</w:t>
      </w:r>
      <w:proofErr w:type="gramEnd"/>
      <w:r w:rsidRPr="008C7D1D">
        <w:t xml:space="preserve"> (match($0,/\[(.*)\]/,m)) print m[0] }' RAPTORB_NCBI_BLAST_viridiplantae100hits.fasta &gt; sp_list.RAPTORB_NCBI_BLAST_viridiplantae100hits.fasta</w:t>
      </w:r>
    </w:p>
    <w:p w14:paraId="53CBB06F" w14:textId="4F7384A6" w:rsidR="00CE6B0E" w:rsidRDefault="002F174A" w:rsidP="00903900">
      <w:pPr>
        <w:spacing w:line="240" w:lineRule="auto"/>
        <w:ind w:left="360"/>
      </w:pPr>
      <w:proofErr w:type="spellStart"/>
      <w:r w:rsidRPr="001924DE">
        <w:t>raxml</w:t>
      </w:r>
      <w:proofErr w:type="spellEnd"/>
      <w:r w:rsidRPr="001924DE">
        <w:t>-ng --evaluate --</w:t>
      </w:r>
      <w:proofErr w:type="spellStart"/>
      <w:r w:rsidRPr="001924DE">
        <w:t>msa</w:t>
      </w:r>
      <w:proofErr w:type="spellEnd"/>
      <w:r w:rsidRPr="001924DE">
        <w:t xml:space="preserve"> TOR_phytozome_top100.fasta.ren.align --model LG+F --tree RAxML____________23_bestTree.result --prefix </w:t>
      </w:r>
      <w:proofErr w:type="spellStart"/>
      <w:r w:rsidRPr="001924DE">
        <w:t>TOR_phyto_LG</w:t>
      </w:r>
      <w:proofErr w:type="spellEnd"/>
      <w:r w:rsidRPr="001924DE">
        <w:br/>
      </w:r>
    </w:p>
    <w:p w14:paraId="52D7645E" w14:textId="77777777" w:rsidR="00CE6B0E" w:rsidRDefault="002F174A" w:rsidP="00903900">
      <w:pPr>
        <w:spacing w:line="240" w:lineRule="auto"/>
        <w:ind w:left="360"/>
      </w:pPr>
      <w:r w:rsidRPr="001924DE">
        <w:t>find -name *.raxml.log -exec grep -</w:t>
      </w:r>
      <w:proofErr w:type="spellStart"/>
      <w:r w:rsidRPr="001924DE">
        <w:t>i</w:t>
      </w:r>
      <w:proofErr w:type="spellEnd"/>
      <w:r w:rsidRPr="001924DE">
        <w:t xml:space="preserve"> 'AIC score' {} +</w:t>
      </w:r>
      <w:r w:rsidRPr="001924DE">
        <w:br/>
        <w:t>find -name *.raxml.log -exec grep -</w:t>
      </w:r>
      <w:proofErr w:type="spellStart"/>
      <w:r w:rsidRPr="001924DE">
        <w:t>i</w:t>
      </w:r>
      <w:proofErr w:type="spellEnd"/>
      <w:r w:rsidRPr="001924DE">
        <w:t xml:space="preserve"> 'AIC score' {} +</w:t>
      </w:r>
      <w:r w:rsidRPr="001924DE">
        <w:br/>
        <w:t xml:space="preserve">find -name *.raxml.log -exec grep 'Final </w:t>
      </w:r>
      <w:proofErr w:type="spellStart"/>
      <w:r w:rsidRPr="001924DE">
        <w:t>LogLikelihood</w:t>
      </w:r>
      <w:proofErr w:type="spellEnd"/>
      <w:r w:rsidRPr="001924DE">
        <w:t>' {} +</w:t>
      </w:r>
      <w:r w:rsidRPr="001924DE">
        <w:br/>
      </w:r>
    </w:p>
    <w:p w14:paraId="220F4532" w14:textId="483C7814" w:rsidR="001C73D3" w:rsidRPr="001924DE" w:rsidRDefault="002F174A" w:rsidP="00903900">
      <w:pPr>
        <w:spacing w:line="240" w:lineRule="auto"/>
        <w:ind w:left="360"/>
      </w:pPr>
      <w:r w:rsidRPr="001924DE">
        <w:t>## Hypothesis</w:t>
      </w:r>
      <w:r w:rsidRPr="001924DE">
        <w:br/>
        <w:t>By performing a phylogenetic analysis on the obtained sequence windows from our phospho-</w:t>
      </w:r>
      <w:proofErr w:type="spellStart"/>
      <w:r w:rsidRPr="001924DE">
        <w:t>preoteomics</w:t>
      </w:r>
      <w:proofErr w:type="spellEnd"/>
      <w:r w:rsidRPr="001924DE">
        <w:t xml:space="preserve"> dataset we can identify novel BIN2 target proteins.  </w:t>
      </w:r>
      <w:r w:rsidRPr="001924DE">
        <w:br/>
      </w:r>
      <w:r w:rsidRPr="001924DE">
        <w:br/>
        <w:t>## Methodology  </w:t>
      </w:r>
      <w:r w:rsidRPr="001924DE">
        <w:br/>
      </w:r>
      <w:r w:rsidRPr="001924DE">
        <w:br/>
      </w:r>
      <w:r w:rsidRPr="001924DE">
        <w:br/>
        <w:t xml:space="preserve">1. Write a script to extract, from our dataset, the sequence window for each </w:t>
      </w:r>
      <w:proofErr w:type="gramStart"/>
      <w:r w:rsidRPr="001924DE">
        <w:t>phosphorylated-site</w:t>
      </w:r>
      <w:proofErr w:type="gramEnd"/>
      <w:r w:rsidRPr="001924DE">
        <w:t xml:space="preserve"> </w:t>
      </w:r>
      <w:r w:rsidRPr="001924DE">
        <w:lastRenderedPageBreak/>
        <w:t>tagged as upregulated in response to BIN2 activity and to output these sequences as a multi-FASTA file. </w:t>
      </w:r>
      <w:r w:rsidRPr="001924DE">
        <w:br/>
        <w:t>2. A multiple sequence alignment (MSA) will be performed on these sequences using either MUSCLE of MAFFT.  </w:t>
      </w:r>
      <w:r w:rsidRPr="001924DE">
        <w:br/>
        <w:t>3. The obtained MSA will be used to infer a phylogenetic tree (still don't know the method I will use for this)</w:t>
      </w:r>
      <w:r w:rsidRPr="001924DE">
        <w:br/>
        <w:t xml:space="preserve">4. The obtained cluster </w:t>
      </w:r>
      <w:proofErr w:type="spellStart"/>
      <w:r w:rsidRPr="001924DE">
        <w:t>o</w:t>
      </w:r>
      <w:proofErr w:type="spellEnd"/>
      <w:r w:rsidRPr="001924DE">
        <w:t xml:space="preserve"> motifs will be used to further determine conserved sequence motifs, possible novel BIN2 targets and novel phosphorylation motifs.</w:t>
      </w:r>
    </w:p>
    <w:sectPr w:rsidR="001C73D3" w:rsidRPr="001924D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AB10B" w14:textId="77777777" w:rsidR="00357990" w:rsidRDefault="00357990" w:rsidP="002F174A">
      <w:pPr>
        <w:spacing w:after="0" w:line="240" w:lineRule="auto"/>
      </w:pPr>
      <w:r>
        <w:separator/>
      </w:r>
    </w:p>
  </w:endnote>
  <w:endnote w:type="continuationSeparator" w:id="0">
    <w:p w14:paraId="1BB6BF0B" w14:textId="77777777" w:rsidR="00357990" w:rsidRDefault="00357990" w:rsidP="002F1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32DA9" w14:textId="77777777" w:rsidR="00357990" w:rsidRDefault="00357990" w:rsidP="002F174A">
      <w:pPr>
        <w:spacing w:after="0" w:line="240" w:lineRule="auto"/>
      </w:pPr>
      <w:r>
        <w:separator/>
      </w:r>
    </w:p>
  </w:footnote>
  <w:footnote w:type="continuationSeparator" w:id="0">
    <w:p w14:paraId="141F83AE" w14:textId="77777777" w:rsidR="00357990" w:rsidRDefault="00357990" w:rsidP="002F1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FA764" w14:textId="785CF234" w:rsidR="002F174A" w:rsidRPr="002F174A" w:rsidRDefault="002F174A" w:rsidP="002F174A">
    <w:pPr>
      <w:tabs>
        <w:tab w:val="left" w:pos="8272"/>
      </w:tabs>
      <w:rPr>
        <w:color w:val="B22222"/>
      </w:rPr>
    </w:pPr>
    <w:r>
      <w:rPr>
        <w:color w:val="B22222"/>
      </w:rPr>
      <w:t xml:space="preserve">EEOB563 Final </w:t>
    </w:r>
    <w:proofErr w:type="gramStart"/>
    <w:r>
      <w:rPr>
        <w:color w:val="B22222"/>
      </w:rPr>
      <w:t>Project  </w:t>
    </w:r>
    <w:r>
      <w:rPr>
        <w:color w:val="B22222"/>
      </w:rPr>
      <w:tab/>
    </w:r>
    <w:proofErr w:type="gramEnd"/>
    <w:r>
      <w:rPr>
        <w:color w:val="B22222"/>
      </w:rPr>
      <w:t>Spring 2019</w:t>
    </w:r>
    <w:r>
      <w:br/>
    </w:r>
    <w:r>
      <w:rPr>
        <w:color w:val="B22222"/>
      </w:rPr>
      <w:t>Author: Christian Montes-Serey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D7A3F"/>
    <w:multiLevelType w:val="hybridMultilevel"/>
    <w:tmpl w:val="499A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176427"/>
    <w:multiLevelType w:val="hybridMultilevel"/>
    <w:tmpl w:val="4C62DA52"/>
    <w:lvl w:ilvl="0" w:tplc="95C07A04">
      <w:numFmt w:val="bullet"/>
      <w:lvlText w:val="-"/>
      <w:lvlJc w:val="left"/>
      <w:pPr>
        <w:ind w:left="720" w:hanging="360"/>
      </w:pPr>
      <w:rPr>
        <w:rFonts w:ascii="Calibri" w:eastAsiaTheme="minorHAnsi" w:hAnsi="Calibri" w:cs="Calibri"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4A"/>
    <w:rsid w:val="00167E41"/>
    <w:rsid w:val="001924DE"/>
    <w:rsid w:val="001A52AA"/>
    <w:rsid w:val="001C73D3"/>
    <w:rsid w:val="002F174A"/>
    <w:rsid w:val="00357990"/>
    <w:rsid w:val="003A251E"/>
    <w:rsid w:val="003D23FA"/>
    <w:rsid w:val="00411C23"/>
    <w:rsid w:val="00411F25"/>
    <w:rsid w:val="00453DE5"/>
    <w:rsid w:val="004A4818"/>
    <w:rsid w:val="004C14CC"/>
    <w:rsid w:val="00517F8C"/>
    <w:rsid w:val="00520D6F"/>
    <w:rsid w:val="0055637E"/>
    <w:rsid w:val="005D0451"/>
    <w:rsid w:val="005E3E1A"/>
    <w:rsid w:val="00655BAF"/>
    <w:rsid w:val="00790AD9"/>
    <w:rsid w:val="00844C0C"/>
    <w:rsid w:val="008454AA"/>
    <w:rsid w:val="00883E87"/>
    <w:rsid w:val="008C7D1D"/>
    <w:rsid w:val="00903900"/>
    <w:rsid w:val="00A632AB"/>
    <w:rsid w:val="00A73FEC"/>
    <w:rsid w:val="00AA126C"/>
    <w:rsid w:val="00B10DFC"/>
    <w:rsid w:val="00B9133D"/>
    <w:rsid w:val="00C463C3"/>
    <w:rsid w:val="00C616BC"/>
    <w:rsid w:val="00CE6B0E"/>
    <w:rsid w:val="00D008FF"/>
    <w:rsid w:val="00D87FA3"/>
    <w:rsid w:val="00DD719E"/>
    <w:rsid w:val="00DE1EF7"/>
    <w:rsid w:val="00E82BEA"/>
    <w:rsid w:val="00EF626C"/>
    <w:rsid w:val="00F10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D7822"/>
  <w15:chartTrackingRefBased/>
  <w15:docId w15:val="{16731961-8270-4691-95B6-1CF17AA95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17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74A"/>
  </w:style>
  <w:style w:type="paragraph" w:styleId="Footer">
    <w:name w:val="footer"/>
    <w:basedOn w:val="Normal"/>
    <w:link w:val="FooterChar"/>
    <w:uiPriority w:val="99"/>
    <w:unhideWhenUsed/>
    <w:rsid w:val="002F17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74A"/>
  </w:style>
  <w:style w:type="paragraph" w:styleId="ListParagraph">
    <w:name w:val="List Paragraph"/>
    <w:basedOn w:val="Normal"/>
    <w:uiPriority w:val="34"/>
    <w:qFormat/>
    <w:rsid w:val="00790AD9"/>
    <w:pPr>
      <w:ind w:left="720"/>
      <w:contextualSpacing/>
    </w:pPr>
  </w:style>
  <w:style w:type="character" w:styleId="Hyperlink">
    <w:name w:val="Hyperlink"/>
    <w:basedOn w:val="DefaultParagraphFont"/>
    <w:uiPriority w:val="99"/>
    <w:unhideWhenUsed/>
    <w:rsid w:val="00790AD9"/>
    <w:rPr>
      <w:color w:val="0563C1" w:themeColor="hyperlink"/>
      <w:u w:val="single"/>
    </w:rPr>
  </w:style>
  <w:style w:type="character" w:styleId="UnresolvedMention">
    <w:name w:val="Unresolved Mention"/>
    <w:basedOn w:val="DefaultParagraphFont"/>
    <w:uiPriority w:val="99"/>
    <w:semiHidden/>
    <w:unhideWhenUsed/>
    <w:rsid w:val="00790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homologen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phytozome.jgi.doe.gov" TargetMode="External"/><Relationship Id="rId4" Type="http://schemas.openxmlformats.org/officeDocument/2006/relationships/settings" Target="settings.xml"/><Relationship Id="rId9" Type="http://schemas.openxmlformats.org/officeDocument/2006/relationships/hyperlink" Target="http://plants.ensembl.org/info/website/ftp/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CCD23-7466-4991-A0BB-37387A6AE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3</Pages>
  <Words>4592</Words>
  <Characters>26181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Montes-Serey, Christian F [PLP M]</dc:creator>
  <cp:keywords/>
  <dc:description/>
  <cp:lastModifiedBy>Montes-Serey, Christian F [PLP M]</cp:lastModifiedBy>
  <cp:revision>20</cp:revision>
  <dcterms:created xsi:type="dcterms:W3CDTF">2019-04-19T00:33:00Z</dcterms:created>
  <dcterms:modified xsi:type="dcterms:W3CDTF">2019-04-19T06:12:00Z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http://www.zotero.org/styles/frontiers-in-plant-science</vt:lpwstr>
  </property>
  <property fmtid="{D5CDD505-2E9C-101B-9397-08002B2CF9AE}" pid="15" name="Mendeley Recent Style Name 6_1">
    <vt:lpwstr>Frontiers in Plant Science</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ad90d2a6-1a81-3d3e-95dc-7489c6103f72</vt:lpwstr>
  </property>
  <property fmtid="{D5CDD505-2E9C-101B-9397-08002B2CF9AE}" pid="24" name="Mendeley Citation Style_1">
    <vt:lpwstr>http://www.zotero.org/styles/frontiers-in-plant-science</vt:lpwstr>
  </property>
</Properties>
</file>