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10066267" w:rsidR="002F174A" w:rsidRPr="00520D6F" w:rsidRDefault="002F174A" w:rsidP="00903900">
      <w:pPr>
        <w:spacing w:line="240" w:lineRule="auto"/>
        <w:jc w:val="center"/>
        <w:rPr>
          <w:b/>
        </w:rPr>
      </w:pPr>
      <w:r w:rsidRPr="00520D6F">
        <w:rPr>
          <w:b/>
          <w:sz w:val="24"/>
        </w:rPr>
        <w:t xml:space="preserve">Comparing </w:t>
      </w:r>
      <w:r w:rsidR="00EF626C">
        <w:rPr>
          <w:b/>
          <w:sz w:val="24"/>
        </w:rPr>
        <w:t xml:space="preserve">Four </w:t>
      </w:r>
      <w:bookmarkStart w:id="0" w:name="_GoBack"/>
      <w:bookmarkEnd w:id="0"/>
      <w:r w:rsidR="00EF626C">
        <w:rPr>
          <w:b/>
          <w:sz w:val="24"/>
        </w:rPr>
        <w:t xml:space="preserve">Protein Homology Data Sources To Assess </w:t>
      </w:r>
      <w:r w:rsidR="001924DE" w:rsidRPr="00520D6F">
        <w:rPr>
          <w:b/>
          <w:sz w:val="24"/>
        </w:rPr>
        <w:t xml:space="preserve">The Evolution Of </w:t>
      </w:r>
      <w:r w:rsidRPr="00520D6F">
        <w:rPr>
          <w:b/>
          <w:sz w:val="24"/>
        </w:rPr>
        <w:t xml:space="preserve">TORC1 </w:t>
      </w:r>
      <w:r w:rsidR="001924DE" w:rsidRPr="00520D6F">
        <w:rPr>
          <w:b/>
          <w:sz w:val="24"/>
        </w:rPr>
        <w:t>Complex In Plants</w:t>
      </w:r>
      <w:r w:rsidR="00EF626C" w:rsidRPr="00520D6F">
        <w:rPr>
          <w:b/>
          <w:sz w:val="24"/>
        </w:rPr>
        <w:t>.</w:t>
      </w:r>
      <w:r w:rsidR="00EF626C">
        <w:rPr>
          <w:b/>
          <w:sz w:val="24"/>
        </w:rPr>
        <w:t xml:space="preserve"> Implications </w:t>
      </w:r>
      <w:proofErr w:type="gramStart"/>
      <w:r w:rsidR="00EF626C">
        <w:rPr>
          <w:b/>
          <w:sz w:val="24"/>
        </w:rPr>
        <w:t>For</w:t>
      </w:r>
      <w:proofErr w:type="gramEnd"/>
      <w:r w:rsidR="00EF626C">
        <w:rPr>
          <w:b/>
          <w:sz w:val="24"/>
        </w:rPr>
        <w:t xml:space="preserve"> Conserved Domains Search.</w:t>
      </w:r>
      <w:r w:rsidRPr="00520D6F">
        <w:rPr>
          <w:b/>
        </w:rPr>
        <w:br/>
      </w:r>
    </w:p>
    <w:p w14:paraId="24481551" w14:textId="77777777" w:rsidR="00903900" w:rsidRDefault="002F174A" w:rsidP="00903900">
      <w:pPr>
        <w:spacing w:line="240" w:lineRule="auto"/>
        <w:rPr>
          <w:b/>
        </w:rPr>
      </w:pPr>
      <w:r w:rsidRPr="00903900">
        <w:rPr>
          <w:b/>
        </w:rPr>
        <w:t>Abstract</w:t>
      </w:r>
      <w:r w:rsidRPr="001924DE">
        <w:br/>
      </w:r>
      <w:r w:rsidRPr="001924DE">
        <w:br/>
      </w:r>
      <w:r w:rsidRPr="00903900">
        <w:rPr>
          <w:b/>
        </w:rPr>
        <w:t>Introduction</w:t>
      </w:r>
    </w:p>
    <w:p w14:paraId="72F6CF53" w14:textId="19DE33CE" w:rsidR="00B07F31" w:rsidRDefault="002F174A" w:rsidP="00903900">
      <w:pPr>
        <w:spacing w:line="240" w:lineRule="auto"/>
      </w:pPr>
      <w:r w:rsidRPr="001924DE">
        <w:t>In order to orchestrate a successful response to (biotic and abiotic) environmental changes, plants need to balance and coordinate their grow and stress responses.</w:t>
      </w:r>
      <w:r w:rsidRPr="001924DE">
        <w:br/>
        <w:t>Autophagy</w:t>
      </w:r>
      <w:r w:rsidR="002D354F">
        <w:t xml:space="preserve"> is</w:t>
      </w:r>
      <w:r w:rsidRPr="001924DE">
        <w:t xml:space="preserve"> a subcellular recycling system conserved across all eukaryotes</w:t>
      </w:r>
      <w:r w:rsidR="002D354F">
        <w:t xml:space="preserve">. The activation of autophagy </w:t>
      </w:r>
      <w:r w:rsidR="00B13B64">
        <w:t>is characterized by the formation of a double membrane</w:t>
      </w:r>
      <w:r w:rsidRPr="001924DE">
        <w:t xml:space="preserve"> </w:t>
      </w:r>
      <w:r w:rsidR="00B13B64">
        <w:t xml:space="preserve">structure called autophagosome. Inside the autophagosome, the cell deposits the different components (proteins, sugars, even whole organelles, etc.) to be degraded and its components </w:t>
      </w:r>
      <w:r w:rsidR="002336C1">
        <w:t>re</w:t>
      </w:r>
      <w:r w:rsidR="00B13B64">
        <w:t xml:space="preserve">used by the cell. </w:t>
      </w:r>
      <w:r w:rsidR="002336C1">
        <w:t xml:space="preserve">Autophagy has </w:t>
      </w:r>
      <w:r w:rsidRPr="001924DE">
        <w:t>been shown to be crucial during developmental processes and stress response</w:t>
      </w:r>
      <w:r w:rsidR="002D354F">
        <w:t xml:space="preserve"> </w:t>
      </w:r>
      <w:r w:rsidR="002D354F">
        <w:fldChar w:fldCharType="begin" w:fldLock="1"/>
      </w:r>
      <w:r w:rsidR="004E56B9">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Formation.","type":"article-journal","volume":"176"},"uris":["http://www.mendeley.com/documents/?uuid=759bb1e8-5a8a-349a-9056-5e8b09efdbc6"]},{"id":"ITEM-3","itemData":{"DOI":"10.1016/j.molcel.2017.12.002","ISSN":"10974164","abstract":"As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Cell","id":"ITEM-3","issue":"1","issued":{"date-parts":[["2018","1"]]},"page":"100-112.e6","title":"Reciprocal Regulation of the TOR Kinase and ABA Receptor Balances Plant Growth and Stress Response","type":"article-journal","volume":"69"},"uris":["http://www.mendeley.com/documents/?uuid=2cd74548-bbb1-3840-9b8e-3cd33df25007"]}],"mendeley":{"formattedCitation":"(Salem et al., 2018; Soto-Burgos et al., 2018; Wang et al., 2018)","plainTextFormattedCitation":"(Salem et al., 2018; Soto-Burgos et al., 2018; Wang et al., 2018)","previouslyFormattedCitation":"(Salem et al., 2018; Soto-Burgos et al., 2018; Wang et al., 2018)"},"properties":{"noteIndex":0},"schema":"https://github.com/citation-style-language/schema/raw/master/csl-citation.json"}</w:instrText>
      </w:r>
      <w:r w:rsidR="002D354F">
        <w:fldChar w:fldCharType="separate"/>
      </w:r>
      <w:r w:rsidR="002D354F" w:rsidRPr="002D354F">
        <w:rPr>
          <w:noProof/>
        </w:rPr>
        <w:t>(Salem et al., 2018; Soto-Burgos et al., 2018; Wang et al., 2018)</w:t>
      </w:r>
      <w:r w:rsidR="002D354F">
        <w:fldChar w:fldCharType="end"/>
      </w:r>
      <w:r w:rsidRPr="001924DE">
        <w:t>.</w:t>
      </w:r>
      <w:r w:rsidR="002D354F">
        <w:t xml:space="preserve"> </w:t>
      </w:r>
      <w:r w:rsidR="00980C04">
        <w:t>Even though a</w:t>
      </w:r>
      <w:r w:rsidR="002D354F">
        <w:t>utophagy activation and signaling pathway in plants is complex and still not completely understood</w:t>
      </w:r>
      <w:r w:rsidR="00980C04">
        <w:t>, it has been shown that the process can be</w:t>
      </w:r>
      <w:r w:rsidR="004E56B9">
        <w:t xml:space="preserve"> regulated by the Target of Rapamycin (TOR) complex </w:t>
      </w:r>
      <w:r w:rsidR="004E56B9">
        <w:fldChar w:fldCharType="begin" w:fldLock="1"/>
      </w:r>
      <w:r w:rsidR="004E56B9">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Formation.","type":"article-journal","volume":"176"},"uris":["http://www.mendeley.com/documents/?uuid=759bb1e8-5a8a-349a-9056-5e8b09efdbc6"]}],"mendeley":{"formattedCitation":"(Soto-Burgos et al., 2018)","plainTextFormattedCitation":"(Soto-Burgos et al., 2018)","previouslyFormattedCitation":"(Soto-Burgos et al., 2018)"},"properties":{"noteIndex":0},"schema":"https://github.com/citation-style-language/schema/raw/master/csl-citation.json"}</w:instrText>
      </w:r>
      <w:r w:rsidR="004E56B9">
        <w:fldChar w:fldCharType="separate"/>
      </w:r>
      <w:r w:rsidR="004E56B9" w:rsidRPr="004E56B9">
        <w:rPr>
          <w:noProof/>
        </w:rPr>
        <w:t>(Soto-Burgos et al., 2018)</w:t>
      </w:r>
      <w:r w:rsidR="004E56B9">
        <w:fldChar w:fldCharType="end"/>
      </w:r>
      <w:r w:rsidR="004E56B9">
        <w:t xml:space="preserve">. </w:t>
      </w:r>
      <w:r w:rsidR="00055C1F">
        <w:t xml:space="preserve">In </w:t>
      </w:r>
      <w:r w:rsidR="00055C1F" w:rsidRPr="00055C1F">
        <w:rPr>
          <w:i/>
        </w:rPr>
        <w:t>Arabidopsis thaliana</w:t>
      </w:r>
      <w:r w:rsidR="00055C1F" w:rsidRPr="00055C1F">
        <w:t>,</w:t>
      </w:r>
      <w:r w:rsidR="00055C1F">
        <w:t xml:space="preserve"> TOR regulatory complex is composed by</w:t>
      </w:r>
      <w:r w:rsidR="006A5DFD">
        <w:t xml:space="preserve"> the</w:t>
      </w:r>
      <w:r w:rsidR="00055C1F">
        <w:t xml:space="preserve"> serine/threonine kinase</w:t>
      </w:r>
      <w:r w:rsidR="006A5DFD">
        <w:t xml:space="preserve"> TOR</w:t>
      </w:r>
      <w:r w:rsidR="00055C1F">
        <w:t>, the Regulatory Associated Protein of TOR (RAPTOR), and Lethal with Sec Thirteen 8 (LST8)</w:t>
      </w:r>
      <w:r w:rsidR="006A5DFD">
        <w:t xml:space="preserve"> </w:t>
      </w:r>
      <w:r w:rsidR="006A5DFD">
        <w:fldChar w:fldCharType="begin" w:fldLock="1"/>
      </w:r>
      <w:r w:rsidR="006A5DFD">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Formation.","type":"article-journal","volume":"176"},"uris":["http://www.mendeley.com/documents/?uuid=759bb1e8-5a8a-349a-9056-5e8b09efdbc6"]}],"mendeley":{"formattedCitation":"(Soto-Burgos et al., 2018; Soto-Burgos and Bassham, 2017)","plainTextFormattedCitation":"(Soto-Burgos et al., 2018; Soto-Burgos and Bassham, 2017)","previouslyFormattedCitation":"(Soto-Burgos et al., 2018; Soto-Burgos and Bassham, 2017)"},"properties":{"noteIndex":0},"schema":"https://github.com/citation-style-language/schema/raw/master/csl-citation.json"}</w:instrText>
      </w:r>
      <w:r w:rsidR="006A5DFD">
        <w:fldChar w:fldCharType="separate"/>
      </w:r>
      <w:r w:rsidR="006A5DFD" w:rsidRPr="006A5DFD">
        <w:rPr>
          <w:noProof/>
        </w:rPr>
        <w:t>(Soto-Burgos et al., 2018; Soto-Burgos and Bassham, 2017)</w:t>
      </w:r>
      <w:r w:rsidR="006A5DFD">
        <w:fldChar w:fldCharType="end"/>
      </w:r>
      <w:r w:rsidR="006A5DFD">
        <w:t>.</w:t>
      </w:r>
      <w:r w:rsidR="00055C1F">
        <w:t xml:space="preserve"> </w:t>
      </w:r>
      <w:r w:rsidR="004E56B9">
        <w:t>Although TOR-independent regulation of autophagy has been reported</w:t>
      </w:r>
      <w:r w:rsidR="007623E5">
        <w:t xml:space="preserve"> </w:t>
      </w:r>
      <w:r w:rsidR="006A5DFD">
        <w:fldChar w:fldCharType="begin" w:fldLock="1"/>
      </w:r>
      <w:r w:rsidR="007623E5">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Formation.","type":"article-journal","volume":"176"},"uris":["http://www.mendeley.com/documents/?uuid=759bb1e8-5a8a-349a-9056-5e8b09efdbc6"]},{"id":"ITEM-2","itemData":{"DOI":"10.3389/fpls.2017.01204","ISSN":"1664-462X","abstract":"Autophagy is a critical process for recycling of cytoplasmic materials during environmental stress, senescence and cellular remodeling. It is upregulated under a wide range of abiotic stress conditions and is important for stress tolerance. Autophagy is repressed by the protein kinase target of rapamycin (TOR), which is activated in response to nutrients and in turn upregulates cell growth and translation and inhibits autophagy. Down-regulation of TOR in Arabidopsis thaliana leads to constitutive autophagy and to decreased growth, but the relationship to stress conditions is unclear. Here we assess the extent to which TOR controls autophagy activation by abiotic stress. Overexpression of TOR inhibited autophagy activation by nutrient starvation, salt and osmotic stress, indicating that activation of autophagy under these conditions requires downregulation of TOR activity. In contrast, TOR overexpression had no effect on autophagy induced by oxidative stress or ER stress, suggesting that activation of autophagy by these conditions is independent of TOR function. The plant hormone auxin has been shown previously to up-regulate TOR activity. To confirm the existence of two pathways for activation of autophagy, dependent on the stress conditions, auxin was added exogenously to activate TOR, and the effect on autophagy under different conditions was assessed. Consistent with the effect of TOR overexpression, the addition of the auxin NAA inhibited autophagy during nutrient deficiency, salt and osmotic stress, but not during oxidative or ER stress. NAA treatment was unable to block autophagy induced by a TOR inhibitor or by a mutation in the TOR complex component RAPTOR1B, indicating that auxin is upstream of TOR in the regulation of autophagy. We conclude that repression of auxin-regulated TOR activity is required for autophagy activation in response to a subset of abiotic stress conditions.","author":[{"dropping-particle":"","family":"Pu","given":"Yunting","non-dropping-particle":"","parse-names":false,"suffix":""},{"dropping-particle":"","family":"Luo","given":"Xinjuan","non-dropping-particle":"","parse-names":false,"suffix":""},{"dropping-particle":"","family":"Bassham","given":"Diane C.","non-dropping-particle":"","parse-names":false,"suffix":""}],"container-title":"Frontiers in Plant Science","id":"ITEM-2","issued":{"date-parts":[["2017","7","11"]]},"page":"1204","publisher":"Frontiers","title":"TOR-Dependent and -Independent Pathways Regulate Autophagy in Arabidopsis thaliana","type":"article-journal","volume":"8"},"uris":["http://www.mendeley.com/documents/?uuid=743cee0f-85c4-39b5-8907-1df2703447c4"]}],"mendeley":{"formattedCitation":"(Pu et al., 2017; Soto-Burgos et al., 2018)","plainTextFormattedCitation":"(Pu et al., 2017; Soto-Burgos et al., 2018)","previouslyFormattedCitation":"(Pu et al., 2017; Soto-Burgos et al., 2018)"},"properties":{"noteIndex":0},"schema":"https://github.com/citation-style-language/schema/raw/master/csl-citation.json"}</w:instrText>
      </w:r>
      <w:r w:rsidR="006A5DFD">
        <w:fldChar w:fldCharType="separate"/>
      </w:r>
      <w:r w:rsidR="006A5DFD" w:rsidRPr="006A5DFD">
        <w:rPr>
          <w:noProof/>
        </w:rPr>
        <w:t>(Pu et al., 2017; Soto-Burgos et al., 2018)</w:t>
      </w:r>
      <w:r w:rsidR="006A5DFD">
        <w:fldChar w:fldCharType="end"/>
      </w:r>
      <w:r w:rsidR="004E56B9">
        <w:t>, we will focus on TOR-dependent regulation of the process for our work.</w:t>
      </w:r>
    </w:p>
    <w:p w14:paraId="324CB351" w14:textId="1B684C2F" w:rsidR="00B13B64" w:rsidRDefault="00D426BC" w:rsidP="00903900">
      <w:pPr>
        <w:spacing w:line="240" w:lineRule="auto"/>
        <w:rPr>
          <w:lang w:val="es-CL"/>
        </w:rPr>
      </w:pPr>
      <w:r>
        <w:t>When environmental conditions are optimal, TOR complex</w:t>
      </w:r>
      <w:r w:rsidR="00E05B9A">
        <w:t xml:space="preserve"> (TORC)</w:t>
      </w:r>
      <w:r>
        <w:t xml:space="preserve"> keeps autophagy and stress response</w:t>
      </w:r>
      <w:r w:rsidR="007623E5">
        <w:t>s</w:t>
      </w:r>
      <w:r>
        <w:t xml:space="preserve"> inhibited by </w:t>
      </w:r>
      <w:r w:rsidR="007623E5">
        <w:t xml:space="preserve">phosphorylating </w:t>
      </w:r>
      <w:r>
        <w:t>a myriad of targets</w:t>
      </w:r>
      <w:r w:rsidR="007623E5">
        <w:t>. One of these targets</w:t>
      </w:r>
      <w:r w:rsidR="00D26243">
        <w:t xml:space="preserve"> of phosphorylation</w:t>
      </w:r>
      <w:r w:rsidR="007623E5">
        <w:t xml:space="preserve"> is Autophagy Related 1 (ATG1) complex, known to be an important autophagy initiator </w:t>
      </w:r>
      <w:r w:rsidR="007623E5">
        <w:fldChar w:fldCharType="begin" w:fldLock="1"/>
      </w:r>
      <w:r w:rsidR="00D26243">
        <w:instrText>ADDIN CSL_CITATION {"citationItems":[{"id":"ITEM-1","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Botany","id":"ITEM-1","issue":"14","issued":{"date-parts":[["2014","7","1"]]},"page":"3799-3811","publisher":"Narnia","title":"Autophagy, plant senescence, and nutrient recycling","type":"article-journal","volume":"65"},"uris":["http://www.mendeley.com/documents/?uuid=bdc51d5e-bb5a-33ba-bf27-b936ecde518c"]},{"id":"ITEM-2","itemData":{"DOI":"10.1371/journal.pone.0182591","ISSN":"1932-6203","abstract":"Autophagy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ONE","editor":[{"dropping-particle":"","family":"Otegui","given":"Marisa","non-dropping-particle":"","parse-names":false,"suffix":""}],"id":"ITEM-2","issue":"8","issued":{"date-parts":[["2017","8","4"]]},"page":"e0182591","publisher":"Public Library of Science","title":"SnRK1 activates autophagy via the TOR signaling pathway in Arabidopsis thaliana","type":"article-journal","volume":"12"},"uris":["http://www.mendeley.com/documents/?uuid=d62d35bd-89b4-3066-af29-383967a86b49"]},{"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thaliana","type":"article-journal","volume":"19"},"uris":["http://www.mendeley.com/documents/?uuid=654c0e07-df80-33e7-8271-a1b826e91fbc"]},{"id":"ITEM-4","itemData":{"DOI":"10.1128/MCB.01344-09","ISSN":"1098-5549","PMID":"19995911","abstract":"Autophagy is a bulk proteolytic process that is indispensable for cell survival during starvation. Autophagy is induced by nutrient deprivation via inactivation of the rapamycin-sensitive Tor complex1 (TORC1), a protein kinase complex regulating cell growth in response to nutrient conditions. However, the mechanism by which TORC1 controls autophagy and the direct target of TORC1 activity remain unclear. Atg13 is an essential regulatory component of autophagy upstream of the Atg1 kinase complex, and here we show that yeast TORC1 directly phosphorylates Atg13 at multiple Ser residues. Additionally, expression of an unphosphorylatable Atg13 mutant bypasses the TORC1 pathway to induce autophagy through activation of Atg1 in cells growing under nutrient-rich conditions. Our findings suggest that the direct control of the Atg1 complex by TORC1 induces autophagy.","author":[{"dropping-particle":"","family":"Kamada","given":"Yoshiaki","non-dropping-particle":"","parse-names":false,"suffix":""},{"dropping-particle":"","family":"Yoshino","given":"Ken-ichi","non-dropping-particle":"","parse-names":false,"suffix":""},{"dropping-particle":"","family":"Kondo","given":"Chika","non-dropping-particle":"","parse-names":false,"suffix":""},{"dropping-particle":"","family":"Kawamata","given":"Tomoko","non-dropping-particle":"","parse-names":false,"suffix":""},{"dropping-particle":"","family":"Oshiro","given":"Noriko","non-dropping-particle":"","parse-names":false,"suffix":""},{"dropping-particle":"","family":"Yonezawa","given":"Kazuyoshi","non-dropping-particle":"","parse-names":false,"suffix":""},{"dropping-particle":"","family":"Ohsumi","given":"Yoshinori","non-dropping-particle":"","parse-names":false,"suffix":""}],"container-title":"Molecular and cellular biology","id":"ITEM-4","issue":"4","issued":{"date-parts":[["2010","2","15"]]},"page":"1049-58","publisher":"American Society for Microbiology Journals","title":"Tor directly controls the Atg1 kinase complex to regulate autophagy.","type":"article-journal","volume":"30"},"uris":["http://www.mendeley.com/documents/?uuid=9a8f00e6-bbd2-3d7d-950b-1d4a2c6d5be6"]}],"mendeley":{"formattedCitation":"(Avila-Ospina et al., 2014; Kamada et al., 2010; Lv et al., 2014; Soto-Burgos and Bassham, 2017)","plainTextFormattedCitation":"(Avila-Ospina et al., 2014; Kamada et al., 2010; Lv et al., 2014; Soto-Burgos and Bassham, 2017)","previouslyFormattedCitation":"(Avila-Ospina et al., 2014; Kamada et al., 2010; Lv et al., 2014; Soto-Burgos and Bassham, 2017)"},"properties":{"noteIndex":0},"schema":"https://github.com/citation-style-language/schema/raw/master/csl-citation.json"}</w:instrText>
      </w:r>
      <w:r w:rsidR="007623E5">
        <w:fldChar w:fldCharType="separate"/>
      </w:r>
      <w:r w:rsidR="00D26243" w:rsidRPr="00D26243">
        <w:rPr>
          <w:noProof/>
          <w:lang w:val="es-CL"/>
        </w:rPr>
        <w:t>(Avila-Ospina et al., 2014; Kamada et al., 2010; Lv et al., 2014; Soto-Burgos and Bassham, 2017)</w:t>
      </w:r>
      <w:r w:rsidR="007623E5">
        <w:fldChar w:fldCharType="end"/>
      </w:r>
      <w:r w:rsidR="007623E5" w:rsidRPr="00D26243">
        <w:rPr>
          <w:lang w:val="es-CL"/>
        </w:rPr>
        <w:t>.</w:t>
      </w:r>
      <w:r w:rsidRPr="00D26243">
        <w:rPr>
          <w:lang w:val="es-CL"/>
        </w:rPr>
        <w:t xml:space="preserve"> </w:t>
      </w:r>
      <w:r w:rsidR="00B07F31">
        <w:t>Upon sensing an environmental stress (such as nutrient starvation or drought stress)</w:t>
      </w:r>
      <w:r w:rsidR="00D26243">
        <w:t xml:space="preserve">, </w:t>
      </w:r>
      <w:r w:rsidR="00E80A0E">
        <w:t>the energy sensor S</w:t>
      </w:r>
      <w:r w:rsidR="00B07F31">
        <w:t>NF</w:t>
      </w:r>
      <w:r w:rsidR="00E80A0E">
        <w:t>1-related protein kinase</w:t>
      </w:r>
      <w:r w:rsidR="00B07F31">
        <w:t xml:space="preserve"> (SnRK1)</w:t>
      </w:r>
      <w:r w:rsidR="00D26243">
        <w:t xml:space="preserve"> inhibits </w:t>
      </w:r>
      <w:r>
        <w:t>TOR</w:t>
      </w:r>
      <w:r w:rsidR="00E05B9A">
        <w:t>C</w:t>
      </w:r>
      <w:r>
        <w:t xml:space="preserve"> </w:t>
      </w:r>
      <w:r w:rsidR="00D26243">
        <w:fldChar w:fldCharType="begin" w:fldLock="1"/>
      </w:r>
      <w:r w:rsidR="00B13B64">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thaliana","type":"article-journal","volume":"12"},"uris":["http://www.mendeley.com/documents/?uuid=d62d35bd-89b4-3066-af29-383967a86b49"]}],"mendeley":{"formattedCitation":"(Soto-Burgos and Bassham, 2017)","plainTextFormattedCitation":"(Soto-Burgos and Bassham, 2017)","previouslyFormattedCitation":"(Soto-Burgos and Bassham, 2017)"},"properties":{"noteIndex":0},"schema":"https://github.com/citation-style-language/schema/raw/master/csl-citation.json"}</w:instrText>
      </w:r>
      <w:r w:rsidR="00D26243">
        <w:fldChar w:fldCharType="separate"/>
      </w:r>
      <w:r w:rsidR="00D26243" w:rsidRPr="00D26243">
        <w:rPr>
          <w:noProof/>
        </w:rPr>
        <w:t>(Soto-Burgos and Bassham, 2017)</w:t>
      </w:r>
      <w:r w:rsidR="00D26243">
        <w:fldChar w:fldCharType="end"/>
      </w:r>
      <w:r w:rsidR="00B13B64">
        <w:t xml:space="preserve">. At the same time, SnRK1 can directly phosphorylate ATG1 to activate autophagy response </w:t>
      </w:r>
      <w:r w:rsidR="00B13B64">
        <w:fldChar w:fldCharType="begin" w:fldLock="1"/>
      </w:r>
      <w:r w:rsidR="00C50D6B">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id":"ITEM-2","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Botany","id":"ITEM-2","issue":"14","issued":{"date-parts":[["2014","7","1"]]},"page":"3799-3811","publisher":"Narnia","title":"Autophagy, plant senescence, and nutrient recycling","type":"article-journal","volume":"65"},"uris":["http://www.mendeley.com/documents/?uuid=bdc51d5e-bb5a-33ba-bf27-b936ecde518c"]},{"id":"ITEM-3","itemData":{"DOI":"10.1104/pp.17.01236","ISSN":"1532-2548","PMID":"29061903","abstract":"Autophagy,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physiology","id":"ITEM-3","issue":"1","issued":{"date-parts":[["2018","1","1"]]},"page":"219-229","publisher":"American Society of Plant Biologists","title":"Dynamics of Autophagosome Formation.","type":"article-journal","volume":"176"},"uris":["http://www.mendeley.com/documents/?uuid=759bb1e8-5a8a-349a-9056-5e8b09efdbc6"]}],"mendeley":{"formattedCitation":"(Avila-Ospina et al., 2014; Soto-Burgos et al., 2018; Soto-Burgos and Bassham, 2017)","plainTextFormattedCitation":"(Avila-Ospina et al., 2014; Soto-Burgos et al., 2018; Soto-Burgos and Bassham, 2017)","previouslyFormattedCitation":"(Avila-Ospina et al., 2014; Soto-Burgos et al., 2018; Soto-Burgos and Bassham, 2017)"},"properties":{"noteIndex":0},"schema":"https://github.com/citation-style-language/schema/raw/master/csl-citation.json"}</w:instrText>
      </w:r>
      <w:r w:rsidR="00B13B64">
        <w:fldChar w:fldCharType="separate"/>
      </w:r>
      <w:r w:rsidR="00B13B64" w:rsidRPr="00B13B64">
        <w:rPr>
          <w:noProof/>
          <w:lang w:val="es-CL"/>
        </w:rPr>
        <w:t>(Avila-Ospina et al., 2014; Soto-Burgos et al., 2018; Soto-Burgos and Bassham, 2017)</w:t>
      </w:r>
      <w:r w:rsidR="00B13B64">
        <w:fldChar w:fldCharType="end"/>
      </w:r>
      <w:r w:rsidR="00B13B64" w:rsidRPr="00B13B64">
        <w:rPr>
          <w:lang w:val="es-CL"/>
        </w:rPr>
        <w:t>.</w:t>
      </w:r>
    </w:p>
    <w:p w14:paraId="60123620" w14:textId="5CEE673F" w:rsidR="00A20A9C" w:rsidRDefault="005E4FDF" w:rsidP="00903900">
      <w:pPr>
        <w:spacing w:line="240" w:lineRule="auto"/>
      </w:pPr>
      <w:r w:rsidRPr="005E4FDF">
        <w:t>Autophagy signaling and regulation p</w:t>
      </w:r>
      <w:r>
        <w:t xml:space="preserve">athway is known to crosstalk with different hormone signaling pathways to balance the plant growth/stress response. </w:t>
      </w:r>
      <w:r w:rsidR="00463B29">
        <w:t>Upon drought stress sensing, RAPTOR is phosphorylated by SnRK2s, inhibiting TOR</w:t>
      </w:r>
      <w:r w:rsidR="00E05B9A">
        <w:t>C</w:t>
      </w:r>
      <w:r w:rsidR="00463B29">
        <w:t xml:space="preserve"> activity</w:t>
      </w:r>
      <w:r w:rsidR="00C50D6B">
        <w:t xml:space="preserve"> </w:t>
      </w:r>
      <w:r w:rsidR="00C50D6B">
        <w:fldChar w:fldCharType="begin" w:fldLock="1"/>
      </w:r>
      <w:r w:rsidR="00C50D6B">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C50D6B">
        <w:fldChar w:fldCharType="separate"/>
      </w:r>
      <w:r w:rsidR="00C50D6B" w:rsidRPr="00C50D6B">
        <w:rPr>
          <w:noProof/>
        </w:rPr>
        <w:t>(Wang et al., 2018)</w:t>
      </w:r>
      <w:r w:rsidR="00C50D6B">
        <w:fldChar w:fldCharType="end"/>
      </w:r>
      <w:r w:rsidR="00463B29">
        <w:t>.</w:t>
      </w:r>
      <w:r w:rsidR="00C50D6B">
        <w:t xml:space="preserve"> It has been also shown that Rho-like GTPase 2 (ROP2) can activate TOR</w:t>
      </w:r>
      <w:r w:rsidR="00E05B9A">
        <w:t>C</w:t>
      </w:r>
      <w:r w:rsidR="00C50D6B">
        <w:t xml:space="preserve"> in response to auxin presence </w:t>
      </w:r>
      <w:r w:rsidR="00C50D6B">
        <w:fldChar w:fldCharType="begin" w:fldLock="1"/>
      </w:r>
      <w:r w:rsidR="00F57AFD">
        <w:instrText>ADDIN CSL_CITATION {"citationItems":[{"id":"ITEM-1","itemData":{"DOI":"10.15252/embj.201694816","ISSN":"0261-4189","PMID":"28246118","abstract":"Target of rapamycin (TOR) promotes reinitiation at upstream ORFs (uORFs) in genes that play important roles in stem cell regulation and organogenesis in plants. Here, we report that the small GTPase ROP2, if activated by the phytohormone auxin, promotes activation of TOR, and thus translation reinitiation of uORF-containing mRNAs. Plants with high levels of active ROP2, including those expressing constitutively active ROP2 (CA-ROP2), contain high levels of active TOR ROP2 physically interacts with and, when GTP-bound, activates TOR in vitro TOR activation in response to auxin is abolished in ROP-deficient rop2 rop6 ROP4 RNAi plants. GFP-TOR can associate with endosome-like structures in ROP2-overexpressing plants, indicating that endosomes mediate ROP2 effects on TOR activation. CA-ROP2 is efficient in loading uORF-containing mRNAs onto polysomes and stimulates translation in protoplasts, and both processes are sensitive to TOR inhibitor AZD-8055. TOR inactivation abolishes ROP2 regulation of translation reinitiation, but not its effects on cytoskeleton or intracellular trafficking. These findings imply a mode of translation control whereby, as an upstream effector of TOR, ROP2 coordinates TOR function in translation reinitiation pathways in response to auxin.","author":[{"dropping-particle":"","family":"Schepetilnikov","given":"Mikhail","non-dropping-particle":"","parse-names":false,"suffix":""},{"dropping-particle":"","family":"Makarian","given":"Joelle","non-dropping-particle":"","parse-names":false,"suffix":""},{"dropping-particle":"","family":"Srour","given":"Ola","non-dropping-particle":"","parse-names":false,"suffix":""},{"dropping-particle":"","family":"Geldreich","given":"Angèle","non-dropping-particle":"","parse-names":false,"suffix":""},{"dropping-particle":"","family":"Yang","given":"Zhenbiao","non-dropping-particle":"","parse-names":false,"suffix":""},{"dropping-particle":"","family":"Chicher","given":"Johana","non-dropping-particle":"","parse-names":false,"suffix":""},{"dropping-particle":"","family":"Hammann","given":"Philippe","non-dropping-particle":"","parse-names":false,"suffix":""},{"dropping-particle":"","family":"Ryabova","given":"Lyubov A","non-dropping-particle":"","parse-names":false,"suffix":""}],"container-title":"The EMBO Journal","id":"ITEM-1","issue":"7","issued":{"date-parts":[["2017","4","3"]]},"page":"886-903","publisher":"EMBO Press","title":"GTPase ROP2 binds and promotes activation of target of rapamycin, TOR, in response to auxin","type":"article-journal","volume":"36"},"uris":["http://www.mendeley.com/documents/?uuid=a3ecd87a-524c-3d46-a822-505927b6e348"]}],"mendeley":{"formattedCitation":"(Schepetilnikov et al., 2017)","plainTextFormattedCitation":"(Schepetilnikov et al., 2017)","previouslyFormattedCitation":"(Schepetilnikov et al., 2017)"},"properties":{"noteIndex":0},"schema":"https://github.com/citation-style-language/schema/raw/master/csl-citation.json"}</w:instrText>
      </w:r>
      <w:r w:rsidR="00C50D6B">
        <w:fldChar w:fldCharType="separate"/>
      </w:r>
      <w:r w:rsidR="00C50D6B" w:rsidRPr="00C50D6B">
        <w:rPr>
          <w:noProof/>
        </w:rPr>
        <w:t>(Schepetilnikov et al., 2017)</w:t>
      </w:r>
      <w:r w:rsidR="00C50D6B">
        <w:fldChar w:fldCharType="end"/>
      </w:r>
      <w:r w:rsidR="00C50D6B">
        <w:t xml:space="preserve">. Moreover, brassinosteroid (BR) signaling has been shown to be regulated by selective autophagy. I this case the BRI1-EMS-SUPPRESOR 1 (BES1) transcription factor, one the BR signaling master regulator is being degraded by selective autophagy when </w:t>
      </w:r>
      <w:r w:rsidR="00C50D6B" w:rsidRPr="00C50D6B">
        <w:rPr>
          <w:i/>
        </w:rPr>
        <w:t>A. thaliana</w:t>
      </w:r>
      <w:r w:rsidR="00C50D6B">
        <w:t xml:space="preserve"> plants are subjected to drought stress, suggesting a</w:t>
      </w:r>
      <w:r w:rsidR="00F57AFD">
        <w:t>n interesting crosstalk between BRs and autophagy</w:t>
      </w:r>
      <w:r w:rsidR="00C50D6B">
        <w:t xml:space="preserve"> </w:t>
      </w:r>
      <w:r w:rsidR="00F57AFD">
        <w:fldChar w:fldCharType="begin" w:fldLock="1"/>
      </w:r>
      <w:r w:rsidR="00E05B9A">
        <w:instrText>ADDIN CSL_CITATION {"citationItems":[{"id":"ITEM-1","itemData":{"DOI":"10.1016/J.DEVCEL.2017.03.013","ISSN":"1534-5807","abstract":"Plants encounter a variety of stresses and must fine-tune their growth and stress-response programs to best suit their environment. BES1 functions as a master regulator in the brassinosteroid (BR) pathway that promotes plant growth. Here, we show that BES1 interacts with the ubiquitin receptor protein DSK2 and is targeted to the autophagy pathway during stress via the interaction of DSK2 with ATG8, a ubiquitin-like protein directing autophagosome formation and cargo recruitment. Additionally, DSK2 is phosphorylated by the GSK3-like kinase BIN2, a negative regulator in the BR pathway. BIN2 phosphorylation of DSK2 flanking its ATG8 interacting motifs (AIMs) promotes DSK2-ATG8 interaction, thereby targeting BES1 for degradation. Accordingly, loss-of-function dsk2 mutants accumulate BES1, have altered global gene expression profiles, and have compromised stress responses. Our results thus reveal that plants coordinate growth and stress responses by integrating BR and autophagy pathways and identify the molecular basis of this crosstalk.","author":[{"dropping-particle":"","family":"Nolan","given":"Trevor M.","non-dropping-particle":"","parse-names":false,"suffix":""},{"dropping-particle":"","family":"Brennan","given":"Benjamin","non-dropping-particle":"","parse-names":false,"suffix":""},{"dropping-particle":"","family":"Yang","given":"Mengran","non-dropping-particle":"","parse-names":false,"suffix":""},{"dropping-particle":"","family":"Chen","given":"Jiani","non-dropping-particle":"","parse-names":false,"suffix":""},{"dropping-particle":"","family":"Zhang","given":"Mingcai","non-dropping-particle":"","parse-names":false,"suffix":""},{"dropping-particle":"","family":"Li","given":"Zhaohu","non-dropping-particle":"","parse-names":false,"suffix":""},{"dropping-particle":"","family":"Wang","given":"Xuelu","non-dropping-particle":"","parse-names":false,"suffix":""},{"dropping-particle":"","family":"Bassham","given":"Diane C.","non-dropping-particle":"","parse-names":false,"suffix":""},{"dropping-particle":"","family":"Walley","given":"Justin","non-dropping-particle":"","parse-names":false,"suffix":""},{"dropping-particle":"","family":"Yin","given":"Yanhai","non-dropping-particle":"","parse-names":false,"suffix":""}],"container-title":"Developmental Cell","id":"ITEM-1","issue":"1","issued":{"date-parts":[["2017","4","10"]]},"page":"33-46.e7","publisher":"Cell Press","title":"Selective Autophagy of BES1 Mediated by DSK2 Balances Plant Growth and Survival","type":"article-journal","volume":"41"},"uris":["http://www.mendeley.com/documents/?uuid=d0963908-a6db-3754-ab96-efae21a46dda"]}],"mendeley":{"formattedCitation":"(Nolan et al., 2017)","plainTextFormattedCitation":"(Nolan et al., 2017)","previouslyFormattedCitation":"(Nolan et al., 2017)"},"properties":{"noteIndex":0},"schema":"https://github.com/citation-style-language/schema/raw/master/csl-citation.json"}</w:instrText>
      </w:r>
      <w:r w:rsidR="00F57AFD">
        <w:fldChar w:fldCharType="separate"/>
      </w:r>
      <w:r w:rsidR="00F57AFD" w:rsidRPr="00F57AFD">
        <w:rPr>
          <w:noProof/>
        </w:rPr>
        <w:t>(Nolan et al., 2017)</w:t>
      </w:r>
      <w:r w:rsidR="00F57AFD">
        <w:fldChar w:fldCharType="end"/>
      </w:r>
      <w:r w:rsidR="00C50D6B">
        <w:t>.</w:t>
      </w:r>
      <w:r w:rsidR="00A20A9C">
        <w:t xml:space="preserve"> Most of the published work </w:t>
      </w:r>
      <w:r w:rsidR="00E05B9A">
        <w:t>show</w:t>
      </w:r>
      <w:r w:rsidR="00A20A9C">
        <w:t xml:space="preserve"> RAPTOR as the main target for regulating TOR</w:t>
      </w:r>
      <w:r w:rsidR="00E05B9A">
        <w:t>C</w:t>
      </w:r>
      <w:r w:rsidR="00A20A9C">
        <w:t xml:space="preserve"> activity</w:t>
      </w:r>
      <w:r w:rsidR="00E05B9A">
        <w:t xml:space="preserve"> </w:t>
      </w:r>
      <w:r w:rsidR="00E05B9A">
        <w:fldChar w:fldCharType="begin" w:fldLock="1"/>
      </w:r>
      <w:r w:rsidR="0025746C">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Balance.","type":"article-journal","volume":"177"},"uris":["http://www.mendeley.com/documents/?uuid=351e3123-7d40-3129-9e80-75b6b34283ef"]},{"id":"ITEM-2","itemData":{"DOI":"10.1016/J.PBI.2015.09.006","ISSN":"1369-5266","abstract":"Nutrient and energy sensing and signaling mechanisms constitute the most ancient and fundamental regulatory networks to control growth and development in all life forms. The target of rapamycin (TOR) protein kinase is modulated by diverse nutrient, energy, hormone and stress inputs and plays a central role in regulating cell proliferation, growth, metabolism and stress responses from yeasts to plants and animals. Recent chemical, genetic, genomic and metabolomic analyses have enabled significant progress toward molecular understanding of the TOR signaling network in multicellular plants. This review discusses the applications of new chemical tools to probe plant TOR functions and highlights recent findings and predictions on TOR-mediate biological processes. Special focus is placed on novel and evolutionarily conserved TOR kinase effectors as positive and negative signaling regulators that control transcription, translation and metabolism to support cell proliferation, growth and maintenance from embryogenesis to senescence in the plant system.","author":[{"dropping-particle":"","family":"Xiong","given":"Yan","non-dropping-particle":"","parse-names":false,"suffix":""},{"dropping-particle":"","family":"Sheen","given":"Jen","non-dropping-particle":"","parse-names":false,"suffix":""}],"container-title":"Current Opinion in Plant Biology","id":"ITEM-2","issued":{"date-parts":[["2015","12","1"]]},"page":"83-91","publisher":"Elsevier Current Trends","title":"Novel links in the plant TOR kinase signaling network","type":"article-journal","volume":"28"},"uris":["http://www.mendeley.com/documents/?uuid=9634c328-e76f-3356-ac1c-61c859ab706c"]},{"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thaliana","type":"article-journal","volume":"19"},"uris":["http://www.mendeley.com/documents/?uuid=654c0e07-df80-33e7-8271-a1b826e91fbc"]},{"id":"ITEM-4","itemData":{"DOI":"10.1016/J.TPLANTS.2015.10.008","ISSN":"1360-1385","abstract":"Autophagy is a major cellular degradation pathway in eukaryotes. Recent studies have revealed the importance of autophagy in many aspects of plant life, including seedling establishment, plant development, stress resistance, metabolism, and reproduction. This is manifested by the dual ability of autophagy to execute bulk degradation under severe environmental conditions, while simultaneously to be highly selective in targeting specific compartments and protein complexes to regulate key cellular processes, even during favorable growth conditions. Delivery of cellular components to the vacuole enables their recycling, affecting the plant metabolome, especially under stress. Recent research in Arabidopsis has further unveiled fundamental mechanistic aspects in autophagy which may have relevance in non-plant systems. We review the most recent discoveries concerning autophagy in plants, touching upon all these aspects.","author":[{"dropping-particle":"","family":"Michaeli","given":"Simon","non-dropping-particle":"","parse-names":false,"suffix":""},{"dropping-particle":"","family":"Galili","given":"Gad","non-dropping-particle":"","parse-names":false,"suffix":""},{"dropping-particle":"","family":"Genschik","given":"Pascal","non-dropping-particle":"","parse-names":false,"suffix":""},{"dropping-particle":"","family":"Fernie","given":"Alisdair R.","non-dropping-particle":"","parse-names":false,"suffix":""},{"dropping-particle":"","family":"Avin-Wittenberg","given":"Tamar","non-dropping-particle":"","parse-names":false,"suffix":""}],"container-title":"Trends in Plant Science","id":"ITEM-4","issue":"2","issued":{"date-parts":[["2016","2","1"]]},"page":"134-144","publisher":"Elsevier Current Trends","title":"Autophagy in Plants – What's New on the Menu?","type":"article-journal","volume":"21"},"uris":["http://www.mendeley.com/documents/?uuid=00f31bcc-b0ff-3d3b-9d38-d72a7771d701"]},{"id":"ITEM-5","itemData":{"DOI":"10.1016/j.molcel.2017.12.002","ISSN":"10974164","abstract":"As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Cell","id":"ITEM-5","issue":"1","issued":{"date-parts":[["2018","1"]]},"page":"100-112.e6","title":"Reciprocal Regulation of the TOR Kinase and ABA Receptor Balances Plant Growth and Stress Response","type":"article-journal","volume":"69"},"uris":["http://www.mendeley.com/documents/?uuid=2cd74548-bbb1-3840-9b8e-3cd33df25007"]}],"mendeley":{"formattedCitation":"(Lv et al., 2014; Michaeli et al., 2016; Salem et al., 2018; Wang et al., 2018; Xiong and Sheen, 2015)","plainTextFormattedCitation":"(Lv et al., 2014; Michaeli et al., 2016; Salem et al., 2018; Wang et al., 2018; Xiong and Sheen, 2015)","previouslyFormattedCitation":"(Lv et al., 2014; Michaeli et al., 2016; Salem et al., 2018; Wang et al., 2018; Xiong and Sheen, 2015)"},"properties":{"noteIndex":0},"schema":"https://github.com/citation-style-language/schema/raw/master/csl-citation.json"}</w:instrText>
      </w:r>
      <w:r w:rsidR="00E05B9A">
        <w:fldChar w:fldCharType="separate"/>
      </w:r>
      <w:r w:rsidR="00E05B9A" w:rsidRPr="00E05B9A">
        <w:rPr>
          <w:noProof/>
        </w:rPr>
        <w:t>(Lv et al., 2014; Michaeli et al., 2016; Salem et al., 2018; Wang et al., 2018; Xiong and Sheen, 2015)</w:t>
      </w:r>
      <w:r w:rsidR="00E05B9A">
        <w:fldChar w:fldCharType="end"/>
      </w:r>
      <w:r w:rsidR="00E05B9A">
        <w:t xml:space="preserve">. For instance, phosphorylation on RAPTORB </w:t>
      </w:r>
      <w:r w:rsidR="00E05B9A">
        <w:t>Ser897</w:t>
      </w:r>
      <w:r w:rsidR="00E05B9A">
        <w:t xml:space="preserve"> seems to be responsible for TORC inhibition by ABA/drought stress in </w:t>
      </w:r>
      <w:r w:rsidR="00E05B9A" w:rsidRPr="00E05B9A">
        <w:rPr>
          <w:i/>
        </w:rPr>
        <w:t>A. thaliana</w:t>
      </w:r>
      <w:r w:rsidR="00E05B9A">
        <w:t xml:space="preserve"> </w:t>
      </w:r>
      <w:r w:rsidR="00E05B9A">
        <w:fldChar w:fldCharType="begin" w:fldLock="1"/>
      </w:r>
      <w:r w:rsidR="00E05B9A">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E05B9A">
        <w:fldChar w:fldCharType="separate"/>
      </w:r>
      <w:r w:rsidR="00E05B9A" w:rsidRPr="00E05B9A">
        <w:rPr>
          <w:noProof/>
        </w:rPr>
        <w:t>(Wang et al., 2018)</w:t>
      </w:r>
      <w:r w:rsidR="00E05B9A">
        <w:fldChar w:fldCharType="end"/>
      </w:r>
      <w:r w:rsidR="00E05B9A">
        <w:t xml:space="preserve">. </w:t>
      </w:r>
      <w:proofErr w:type="spellStart"/>
      <w:r w:rsidR="009B7B45">
        <w:t>Neveteless</w:t>
      </w:r>
      <w:proofErr w:type="spellEnd"/>
      <w:r w:rsidR="00E05B9A">
        <w:t>, the regulation sites present in one species may not be present in another</w:t>
      </w:r>
      <w:r w:rsidR="009B7B45">
        <w:t>. I</w:t>
      </w:r>
      <w:r w:rsidR="00E05B9A">
        <w:t xml:space="preserve">t has been shown </w:t>
      </w:r>
      <w:r w:rsidR="0025746C">
        <w:t xml:space="preserve">in mammalian cell lines </w:t>
      </w:r>
      <w:r w:rsidR="00E05B9A">
        <w:t>that GSK3 kinase can phosphorylate RAPTOR on Ser859</w:t>
      </w:r>
      <w:r w:rsidR="0025746C">
        <w:t xml:space="preserve"> to inhibit TORC. However, that region of mammalian RAPTOR is not present in plants</w:t>
      </w:r>
      <w:r w:rsidR="009B7B45">
        <w:t xml:space="preserve"> </w:t>
      </w:r>
      <w:r w:rsidR="0025746C">
        <w:fldChar w:fldCharType="begin" w:fldLock="1"/>
      </w:r>
      <w:r w:rsidR="0025746C">
        <w:instrText>ADDIN CSL_CITATION {"citationItems":[{"id":"ITEM-1","itemData":{"DOI":"10.1042/BJ20150404","ISSN":"1470-8728","PMID":"26348909","abstract":"The mammalian or mechanistic target of rapamycin (mTOR) complex 1 (mTORC1) is a ubiquitously expressed multimeric protein kinase complex that integrates nutrient and growth factor signals for the co-ordinated regulation of cellular metabolism and cell growth. Herein, we demonstrate that suppressing the cellular activity of glycogen synthase kinase-3 (GSK3), by use of pharmacological inhibitors or shRNA-mediated gene silencing, results in substantial reduction in amino acid (AA)-regulated mTORC1-directed signalling, as assessed by phosphorylation of multiple downstream mTORC1 targets. We show that GSK3 regulates mTORC1 activity through its ability to phosphorylate the mTOR-associated scaffold protein raptor (regulatory-associated protein of mTOR) on Ser(859). We further demonstrate that either GSK3 inhibition or expression of a S859A mutated raptor leads to reduced interaction between mTOR and raptor and under these circumstances, irrespective of AA availability, there is a consequential loss in phosphorylation of mTOR substrates, such as p70S6K1 (ribosomal S6 kinase 1) and uncoordinated-51-like kinase (ULK1), which results in increased autophagic flux and reduced cellular proliferation.","author":[{"dropping-particle":"","family":"Stretton","given":"Clare","non-dropping-particle":"","parse-names":false,"suffix":""},{"dropping-particle":"","family":"Hoffmann","given":"Thorsten M","non-dropping-particle":"","parse-names":false,"suffix":""},{"dropping-particle":"","family":"Munson","given":"Michael J","non-dropping-particle":"","parse-names":false,"suffix":""},{"dropping-particle":"","family":"Prescott","given":"Alan","non-dropping-particle":"","parse-names":false,"suffix":""},{"dropping-particle":"","family":"Taylor","given":"Peter M","non-dropping-particle":"","parse-names":false,"suffix":""},{"dropping-particle":"","family":"Ganley","given":"Ian G","non-dropping-particle":"","parse-names":false,"suffix":""},{"dropping-particle":"","family":"Hundal","given":"Harinder S","non-dropping-particle":"","parse-names":false,"suffix":""}],"container-title":"The Biochemical journal","id":"ITEM-1","issue":"2","issued":{"date-parts":[["2015","9","1"]]},"page":"207-21","publisher":"Portland Press Ltd","title":"GSK3-mediated raptor phosphorylation supports amino-acid-dependent mTORC1-directed signalling.","type":"article-journal","volume":"470"},"uris":["http://www.mendeley.com/documents/?uuid=9dbfbe4f-bedc-3c09-8361-2cddb8e299b9"]}],"mendeley":{"formattedCitation":"(Stretton et al., 2015)","plainTextFormattedCitation":"(Stretton et al., 2015)"},"properties":{"noteIndex":0},"schema":"https://github.com/citation-style-language/schema/raw/master/csl-citation.json"}</w:instrText>
      </w:r>
      <w:r w:rsidR="0025746C">
        <w:fldChar w:fldCharType="separate"/>
      </w:r>
      <w:r w:rsidR="0025746C" w:rsidRPr="0025746C">
        <w:rPr>
          <w:noProof/>
        </w:rPr>
        <w:t>(Stretton et al., 2015)</w:t>
      </w:r>
      <w:r w:rsidR="0025746C">
        <w:fldChar w:fldCharType="end"/>
      </w:r>
      <w:r w:rsidR="0025746C">
        <w:t xml:space="preserve">. </w:t>
      </w:r>
      <w:r w:rsidR="0067278F">
        <w:t>And, i</w:t>
      </w:r>
      <w:r w:rsidR="0025746C">
        <w:t xml:space="preserve">n order to have a better idea of which of these phosphorylation target sites are present in our model of study </w:t>
      </w:r>
      <w:r w:rsidR="0025746C" w:rsidRPr="009B7B45">
        <w:rPr>
          <w:i/>
        </w:rPr>
        <w:t>A. thaliana</w:t>
      </w:r>
      <w:r w:rsidR="009B7B45">
        <w:t>,</w:t>
      </w:r>
      <w:r w:rsidR="0025746C">
        <w:t xml:space="preserve"> </w:t>
      </w:r>
      <w:r w:rsidR="009B7B45">
        <w:t>w</w:t>
      </w:r>
      <w:r w:rsidR="0025746C">
        <w:t>e first need to asses a good phylogenetic reconstruction</w:t>
      </w:r>
      <w:r w:rsidR="009B7B45">
        <w:t xml:space="preserve"> of the TORC components</w:t>
      </w:r>
      <w:r w:rsidR="0025746C">
        <w:t>.</w:t>
      </w:r>
    </w:p>
    <w:p w14:paraId="40FBC802" w14:textId="32996063" w:rsidR="0056412B" w:rsidRPr="005E4FDF" w:rsidRDefault="0056412B" w:rsidP="00903900">
      <w:pPr>
        <w:spacing w:line="240" w:lineRule="auto"/>
      </w:pPr>
      <w:r>
        <w:lastRenderedPageBreak/>
        <w:t xml:space="preserve">One of the main problems when assessing phylogenetic reconstruction of TORC components is that there is more than one database of homolog proteins, some of them are curated databases and some of them are only computational predictions and, the more the curated, the less </w:t>
      </w:r>
      <w:r w:rsidR="00A60638">
        <w:t>plant sequences are represented in the database.</w:t>
      </w:r>
      <w:r>
        <w:t xml:space="preserve"> </w:t>
      </w:r>
      <w:r w:rsidR="00A60638">
        <w:t xml:space="preserve">In this work we try to asses four different data sources for homolog proteins and evaluate which one of them is the most informative for us to use in a phosphorylation sites/domains conservation analysis in order to obtain candidate regulation sites for TORC in </w:t>
      </w:r>
      <w:r w:rsidR="00A60638" w:rsidRPr="00A60638">
        <w:rPr>
          <w:i/>
        </w:rPr>
        <w:t>A. thaliana</w:t>
      </w:r>
      <w:r w:rsidR="00A60638">
        <w:t>.</w:t>
      </w:r>
    </w:p>
    <w:p w14:paraId="73782917" w14:textId="49E29682" w:rsidR="00903900" w:rsidRDefault="002F174A" w:rsidP="00903900">
      <w:pPr>
        <w:spacing w:line="240" w:lineRule="auto"/>
        <w:rPr>
          <w:b/>
        </w:rPr>
      </w:pPr>
      <w:r w:rsidRPr="005E4FDF">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1100CE1E"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004248C0">
        <w:t>. The search was performed against the “</w:t>
      </w:r>
      <w:proofErr w:type="spellStart"/>
      <w:r w:rsidR="004248C0">
        <w:t>refseq_proteins</w:t>
      </w:r>
      <w:proofErr w:type="spellEnd"/>
      <w:r w:rsidR="004248C0">
        <w:t xml:space="preserve">” database </w:t>
      </w:r>
      <w:r w:rsidR="008971E0">
        <w:t xml:space="preserve">and </w:t>
      </w:r>
      <w:proofErr w:type="spellStart"/>
      <w:r w:rsidR="004248C0">
        <w:t>viridiplantae</w:t>
      </w:r>
      <w:proofErr w:type="spellEnd"/>
      <w:r w:rsidR="004248C0">
        <w:t xml:space="preserve"> </w:t>
      </w:r>
      <w:r w:rsidR="008971E0">
        <w:t>organism filter (</w:t>
      </w:r>
      <w:r w:rsidR="004248C0">
        <w:t>tax</w:t>
      </w:r>
      <w:r w:rsidR="008971E0">
        <w:t>id:33090)</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ENSEMBL Plants website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23616040"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w:t>
      </w:r>
      <w:r w:rsidR="0055637E">
        <w:t xml:space="preserve"> argument </w:t>
      </w:r>
      <w:r w:rsidR="004A4818">
        <w:t>for bootstrap. Each tree was constructed using either 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r w:rsidR="00754393">
        <w:t xml:space="preserve"> For each dataset, the lowest scoring sequence was selected as outgroup.</w:t>
      </w:r>
    </w:p>
    <w:p w14:paraId="10EF50A9" w14:textId="709FBF0E"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w:t>
      </w:r>
      <w:r w:rsidR="0055637E">
        <w:t xml:space="preserve">with </w:t>
      </w:r>
      <w:r w:rsidR="004C14CC">
        <w:t>the `--evaluate` function.</w:t>
      </w:r>
    </w:p>
    <w:p w14:paraId="24689826" w14:textId="23B0C121" w:rsidR="00411C23" w:rsidRDefault="00411C23" w:rsidP="00903900">
      <w:pPr>
        <w:spacing w:line="240" w:lineRule="auto"/>
      </w:pPr>
      <w:r>
        <w:t xml:space="preserve">Resulting trees were visualized using </w:t>
      </w:r>
      <w:proofErr w:type="spellStart"/>
      <w:r w:rsidR="005935D5">
        <w:t>Fig</w:t>
      </w:r>
      <w:r>
        <w:t>Tree</w:t>
      </w:r>
      <w:proofErr w:type="spellEnd"/>
      <w:r>
        <w:t xml:space="preserve"> version </w:t>
      </w:r>
      <w:r w:rsidR="005935D5">
        <w:t>1.4.4</w:t>
      </w:r>
      <w:r w:rsidR="00A42AB9">
        <w:t xml:space="preserve"> (</w:t>
      </w:r>
      <w:r w:rsidR="00A42AB9" w:rsidRPr="00A42AB9">
        <w:t>http://tree.bio.ed.ac.uk/software/figtree/</w:t>
      </w:r>
      <w:r w:rsidR="00A42AB9">
        <w:t>)</w:t>
      </w:r>
      <w:r>
        <w:t>.</w:t>
      </w:r>
    </w:p>
    <w:p w14:paraId="077CA2FD" w14:textId="3E43140B" w:rsidR="00411C23" w:rsidRDefault="00411C23" w:rsidP="00903900">
      <w:pPr>
        <w:spacing w:line="240" w:lineRule="auto"/>
        <w:rPr>
          <w:b/>
        </w:rPr>
      </w:pPr>
      <w:r w:rsidRPr="00453DE5">
        <w:rPr>
          <w:b/>
        </w:rPr>
        <w:t>Results</w:t>
      </w:r>
    </w:p>
    <w:p w14:paraId="2E64AD0F" w14:textId="38E7E166" w:rsidR="00453DE5" w:rsidRDefault="00EF626C" w:rsidP="00903900">
      <w:pPr>
        <w:spacing w:line="240" w:lineRule="auto"/>
      </w:pPr>
      <w:r>
        <w:t xml:space="preserve">Different databases give different </w:t>
      </w:r>
      <w:r w:rsidR="00453DE5" w:rsidRPr="00453DE5">
        <w:t xml:space="preserve">number of </w:t>
      </w:r>
      <w:r>
        <w:t xml:space="preserve">homolog </w:t>
      </w:r>
      <w:r w:rsidR="00453DE5" w:rsidRPr="00453DE5">
        <w:t>sequences and species represented</w:t>
      </w:r>
      <w:r w:rsidR="00453DE5">
        <w:t>.</w:t>
      </w:r>
    </w:p>
    <w:p w14:paraId="39D43B58" w14:textId="7AF30BF6" w:rsidR="00453DE5" w:rsidRDefault="00DD719E" w:rsidP="00903900">
      <w:pPr>
        <w:spacing w:line="240" w:lineRule="auto"/>
      </w:pPr>
      <w:r>
        <w:t xml:space="preserve">It was found that each </w:t>
      </w:r>
      <w:r w:rsidR="00B9133D">
        <w:t xml:space="preserve">queried </w:t>
      </w:r>
      <w:r>
        <w:t>database</w:t>
      </w:r>
      <w:r w:rsidR="00B9133D">
        <w:t xml:space="preserve"> </w:t>
      </w:r>
      <w:r>
        <w:t>provided a different list of proteins w</w:t>
      </w:r>
      <w:r w:rsidR="0055637E">
        <w:t>hen comparing the different datasets of homolog proteins for a specific protein</w:t>
      </w:r>
      <w:r>
        <w:t xml:space="preserve">. </w:t>
      </w:r>
      <w:r w:rsidR="00D87FA3">
        <w:t>When searching f</w:t>
      </w:r>
      <w:r>
        <w:t xml:space="preserve">or </w:t>
      </w:r>
      <w:r w:rsidRPr="00DD719E">
        <w:rPr>
          <w:i/>
        </w:rPr>
        <w:t>A. thaliana</w:t>
      </w:r>
      <w:r>
        <w:t xml:space="preserve"> RAPTOR1B </w:t>
      </w:r>
      <w:r>
        <w:lastRenderedPageBreak/>
        <w:t xml:space="preserve">protein </w:t>
      </w:r>
      <w:r w:rsidR="00D87FA3">
        <w:t xml:space="preserve">homologs, </w:t>
      </w:r>
      <w:r>
        <w:t xml:space="preserve">using BLAST gave us </w:t>
      </w:r>
      <w:r w:rsidR="00D87FA3">
        <w:t xml:space="preserve">100 sequences from 52 different species, using </w:t>
      </w:r>
      <w:proofErr w:type="spellStart"/>
      <w:r w:rsidR="00D87FA3">
        <w:t>HomoloGene</w:t>
      </w:r>
      <w:proofErr w:type="spellEnd"/>
      <w:r w:rsidR="00D87FA3">
        <w:t xml:space="preserve"> gave us 21 sequences from 20 different species, querying from ENSEMBL Plants gave us </w:t>
      </w:r>
      <w:r w:rsidR="00F109B5">
        <w:t>116 sequences from 62 different species</w:t>
      </w:r>
      <w:r w:rsidR="00B10DFC">
        <w:t xml:space="preserve"> and, using </w:t>
      </w:r>
      <w:proofErr w:type="spellStart"/>
      <w:r w:rsidR="00B10DFC">
        <w:t>Phytozome</w:t>
      </w:r>
      <w:proofErr w:type="spellEnd"/>
      <w:r w:rsidR="00B10DFC">
        <w:t xml:space="preserve"> information gave us 100 sequences from 60 different species.</w:t>
      </w:r>
      <w:r w:rsidR="00DE1EF7">
        <w:t xml:space="preserve"> For TOR protein, BLAST gave us 100 sequences from 56 different species, </w:t>
      </w:r>
      <w:proofErr w:type="spellStart"/>
      <w:r w:rsidR="00DE1EF7">
        <w:t>HomoloGene</w:t>
      </w:r>
      <w:proofErr w:type="spellEnd"/>
      <w:r w:rsidR="00DE1EF7">
        <w:t xml:space="preserve"> gave 19 sequences from 19 species, ENSEMBL Plants gave us 98 sequences from 53 different species, and </w:t>
      </w:r>
      <w:proofErr w:type="spellStart"/>
      <w:r w:rsidR="00DE1EF7">
        <w:t>Phytozome</w:t>
      </w:r>
      <w:proofErr w:type="spellEnd"/>
      <w:r w:rsidR="00DE1EF7">
        <w:t xml:space="preserve"> gave us 100 sequences from 63 different species. LST8-1 query gave 100 sequences from 76 different species using BLAST, 20 sequences from 20 different species in </w:t>
      </w:r>
      <w:proofErr w:type="spellStart"/>
      <w:r w:rsidR="00DE1EF7">
        <w:t>HomoloGene</w:t>
      </w:r>
      <w:proofErr w:type="spellEnd"/>
      <w:r w:rsidR="00DE1EF7">
        <w:t xml:space="preserve">, 85 sequences from 62 different species using ENSEMBL Plants, and 100 sequences from 64 different species in </w:t>
      </w:r>
      <w:proofErr w:type="spellStart"/>
      <w:r w:rsidR="00DE1EF7">
        <w:t>Phytozome</w:t>
      </w:r>
      <w:proofErr w:type="spellEnd"/>
      <w:r w:rsidR="00DE1EF7">
        <w:t xml:space="preserve"> (Table 1).</w:t>
      </w:r>
    </w:p>
    <w:p w14:paraId="591ED47A" w14:textId="67E0B4B0" w:rsidR="00D558AD" w:rsidRDefault="00D558AD" w:rsidP="00903900">
      <w:pPr>
        <w:spacing w:line="240" w:lineRule="auto"/>
      </w:pPr>
      <w:r>
        <w:t>Phylogenetic analysis on different datasets reveals strong difference</w:t>
      </w:r>
      <w:r w:rsidR="007D3BFB">
        <w:t>s</w:t>
      </w:r>
      <w:r>
        <w:t xml:space="preserve"> in likelihood</w:t>
      </w:r>
      <w:r w:rsidR="007D3BFB">
        <w:t>.</w:t>
      </w:r>
    </w:p>
    <w:p w14:paraId="3280B169" w14:textId="70DC8DE0" w:rsidR="007D3BFB" w:rsidRDefault="00982178" w:rsidP="00903900">
      <w:pPr>
        <w:spacing w:line="240" w:lineRule="auto"/>
      </w:pPr>
      <w:r>
        <w:t xml:space="preserve">Model testing revealed that, for every dataset, LG model </w:t>
      </w:r>
      <w:r w:rsidR="00E902EA">
        <w:t>gives</w:t>
      </w:r>
      <w:r>
        <w:t xml:space="preserve"> higher tree probability than BLOSUM62 (Table 2).</w:t>
      </w:r>
      <w:r w:rsidR="00802C52">
        <w:t xml:space="preserve"> </w:t>
      </w:r>
      <w:r>
        <w:t>M</w:t>
      </w:r>
      <w:r w:rsidR="007D3BFB">
        <w:t xml:space="preserve">aximum-likelihood (ML) </w:t>
      </w:r>
      <w:r>
        <w:t xml:space="preserve">phylogenetic analysis </w:t>
      </w:r>
      <w:r w:rsidR="007D3BFB">
        <w:t>revealed</w:t>
      </w:r>
      <w:r w:rsidR="0070066B">
        <w:t xml:space="preserve"> </w:t>
      </w:r>
      <w:r w:rsidR="000862FC">
        <w:t xml:space="preserve">a 3.5-fold difference in </w:t>
      </w:r>
      <w:proofErr w:type="spellStart"/>
      <w:r w:rsidR="000862FC">
        <w:t>logLikelihood</w:t>
      </w:r>
      <w:proofErr w:type="spellEnd"/>
      <w:r w:rsidR="000862FC">
        <w:t xml:space="preserve"> between datasets</w:t>
      </w:r>
      <w:r w:rsidR="0070066B">
        <w:t xml:space="preserve"> for RAPTOR1B</w:t>
      </w:r>
      <w:r w:rsidR="0083547E">
        <w:t>, a 5.</w:t>
      </w:r>
      <w:r w:rsidR="00802C52">
        <w:t>8</w:t>
      </w:r>
      <w:r w:rsidR="0083547E">
        <w:t>-fold difference for LST8-1</w:t>
      </w:r>
      <w:r w:rsidR="00802C52">
        <w:t xml:space="preserve"> datasets</w:t>
      </w:r>
      <w:r w:rsidR="0083547E">
        <w:t>, and a 5</w:t>
      </w:r>
      <w:r w:rsidR="00802C52">
        <w:t>.4</w:t>
      </w:r>
      <w:r w:rsidR="0083547E">
        <w:t>-fold difference for TOR</w:t>
      </w:r>
      <w:r w:rsidR="0001200B">
        <w:t xml:space="preserve"> </w:t>
      </w:r>
      <w:r w:rsidR="00802C52">
        <w:t xml:space="preserve">datasets </w:t>
      </w:r>
      <w:r w:rsidR="0001200B">
        <w:t>(Table 2)</w:t>
      </w:r>
      <w:r w:rsidR="000862FC">
        <w:t>.</w:t>
      </w:r>
      <w:r w:rsidR="0070066B">
        <w:t xml:space="preserve"> This suggest that different available datasets of homolog proteins </w:t>
      </w:r>
      <w:r w:rsidR="0053682C">
        <w:t xml:space="preserve">may </w:t>
      </w:r>
      <w:r w:rsidR="0070066B">
        <w:t>provide different information for phylogenetic reconstruction.</w:t>
      </w:r>
    </w:p>
    <w:p w14:paraId="576CB93E" w14:textId="36DD9959" w:rsidR="00B264CE" w:rsidRPr="00453DE5" w:rsidRDefault="00B264CE" w:rsidP="00903900">
      <w:pPr>
        <w:spacing w:line="240" w:lineRule="auto"/>
      </w:pPr>
      <w:r>
        <w:t>Reconstructed trees</w:t>
      </w:r>
    </w:p>
    <w:p w14:paraId="65E74A3D" w14:textId="77777777" w:rsidR="00AA126C" w:rsidRDefault="002F174A" w:rsidP="00903900">
      <w:pPr>
        <w:spacing w:line="240" w:lineRule="auto"/>
        <w:ind w:left="360"/>
      </w:pPr>
      <w:r w:rsidRPr="001924DE">
        <w:br/>
      </w:r>
    </w:p>
    <w:p w14:paraId="269CF7DA" w14:textId="0AA96A32" w:rsidR="007A442B" w:rsidRDefault="007A442B" w:rsidP="00AA126C">
      <w:pPr>
        <w:spacing w:line="240" w:lineRule="auto"/>
        <w:ind w:left="360"/>
      </w:pPr>
      <w:r>
        <w:t>species list</w:t>
      </w:r>
    </w:p>
    <w:p w14:paraId="59C7F2C7" w14:textId="77D0F6E7" w:rsidR="00844C0C" w:rsidRDefault="00844C0C" w:rsidP="00AA126C">
      <w:pPr>
        <w:spacing w:line="240" w:lineRule="auto"/>
        <w:ind w:left="360"/>
      </w:pPr>
      <w:proofErr w:type="spellStart"/>
      <w:r w:rsidRPr="00844C0C">
        <w:t>perl</w:t>
      </w:r>
      <w:proofErr w:type="spellEnd"/>
      <w:r w:rsidRPr="00844C0C">
        <w:t xml:space="preserve"> -ne '</w:t>
      </w:r>
      <w:proofErr w:type="gramStart"/>
      <w:r w:rsidRPr="00844C0C">
        <w:t>if(</w:t>
      </w:r>
      <w:proofErr w:type="gramEnd"/>
      <w:r w:rsidRPr="00844C0C">
        <w:t xml:space="preserve">/&gt;.*_(.*?)\//) {print $1."\n"}' </w:t>
      </w:r>
      <w:proofErr w:type="spellStart"/>
      <w:r w:rsidRPr="00844C0C">
        <w:t>RAPTORB_ENSEMBL_gene_tree.fa</w:t>
      </w:r>
      <w:proofErr w:type="spellEnd"/>
      <w:r w:rsidRPr="00844C0C">
        <w:t xml:space="preserve"> &gt; </w:t>
      </w:r>
      <w:proofErr w:type="spellStart"/>
      <w:r w:rsidRPr="00844C0C">
        <w:t>sp_list.RAPTORB_ENSEMBL_gene_tree.fa</w:t>
      </w:r>
      <w:proofErr w:type="spellEnd"/>
    </w:p>
    <w:p w14:paraId="7BB4AC5F" w14:textId="13F08CF1" w:rsidR="00AA126C" w:rsidRDefault="00AA126C" w:rsidP="00AA126C">
      <w:pPr>
        <w:spacing w:line="240" w:lineRule="auto"/>
        <w:ind w:left="360"/>
      </w:pPr>
      <w:proofErr w:type="spellStart"/>
      <w:r>
        <w:t>perl</w:t>
      </w:r>
      <w:proofErr w:type="spellEnd"/>
      <w:r>
        <w:t xml:space="preserve"> -ne 'if(/(Org</w:t>
      </w:r>
      <w:proofErr w:type="gramStart"/>
      <w:r>
        <w:t>_.*</w:t>
      </w:r>
      <w:proofErr w:type="gramEnd"/>
      <w:r>
        <w:t xml:space="preserve">?)\s/) {print $1."\n"}' RAPTORB_phytozome_top100.fasta &gt; </w:t>
      </w:r>
      <w:r w:rsidR="00844C0C" w:rsidRPr="00844C0C">
        <w:t>sp_list.RAPTORB_phytozome_top100.fasta</w:t>
      </w:r>
    </w:p>
    <w:p w14:paraId="1DB4A275" w14:textId="35725C77" w:rsidR="008C7D1D" w:rsidRDefault="008C7D1D" w:rsidP="00AA126C">
      <w:pPr>
        <w:spacing w:line="240" w:lineRule="auto"/>
        <w:ind w:left="360"/>
      </w:pPr>
      <w:r w:rsidRPr="008C7D1D">
        <w:t xml:space="preserve">gawk </w:t>
      </w:r>
      <w:proofErr w:type="gramStart"/>
      <w:r w:rsidRPr="008C7D1D">
        <w:t>'{ if</w:t>
      </w:r>
      <w:proofErr w:type="gramEnd"/>
      <w:r w:rsidRPr="008C7D1D">
        <w:t xml:space="preserve"> (match($0,/\[(.*)\]/,m)) print m[0] }' RAPTORB_NCBI_BLAST_viridiplantae100hits.fasta &gt; sp_list.RAPTORB_NCBI_BLAST_viridiplantae100hits.fasta</w:t>
      </w:r>
    </w:p>
    <w:p w14:paraId="780A77A1" w14:textId="651FAEA8" w:rsidR="007A442B" w:rsidRDefault="007A442B" w:rsidP="00903900">
      <w:pPr>
        <w:spacing w:line="240" w:lineRule="auto"/>
        <w:ind w:left="360"/>
      </w:pPr>
      <w:r>
        <w:t>Evaluate trees</w:t>
      </w:r>
    </w:p>
    <w:p w14:paraId="53CBB06F" w14:textId="205BAD0C" w:rsidR="00CE6B0E" w:rsidRDefault="002F174A" w:rsidP="00903900">
      <w:pPr>
        <w:spacing w:line="240" w:lineRule="auto"/>
        <w:ind w:left="360"/>
      </w:pPr>
      <w:proofErr w:type="spellStart"/>
      <w:r w:rsidRPr="001924DE">
        <w:t>raxml</w:t>
      </w:r>
      <w:proofErr w:type="spellEnd"/>
      <w:r w:rsidRPr="001924DE">
        <w:t>-ng --evaluate --</w:t>
      </w:r>
      <w:proofErr w:type="spellStart"/>
      <w:r w:rsidRPr="001924DE">
        <w:t>msa</w:t>
      </w:r>
      <w:proofErr w:type="spellEnd"/>
      <w:r w:rsidRPr="001924DE">
        <w:t xml:space="preserve"> TOR_phytozome_top100.fasta.ren.align --model LG+F --tree RAxML____________23_bestTree.result --prefix </w:t>
      </w:r>
      <w:proofErr w:type="spellStart"/>
      <w:r w:rsidRPr="001924DE">
        <w:t>TOR_phyto_LG</w:t>
      </w:r>
      <w:proofErr w:type="spellEnd"/>
      <w:r w:rsidRPr="001924DE">
        <w:br/>
      </w:r>
    </w:p>
    <w:p w14:paraId="3D5C8D74" w14:textId="07F293A6" w:rsidR="007A442B" w:rsidRDefault="007A442B" w:rsidP="00903900">
      <w:pPr>
        <w:spacing w:line="240" w:lineRule="auto"/>
        <w:ind w:left="360"/>
      </w:pPr>
      <w:r>
        <w:t>Fixing tree branch names</w:t>
      </w:r>
    </w:p>
    <w:p w14:paraId="72285AB4" w14:textId="0B7C5F31" w:rsidR="005D1242" w:rsidRDefault="005D1242" w:rsidP="00903900">
      <w:pPr>
        <w:spacing w:line="240" w:lineRule="auto"/>
        <w:ind w:left="360"/>
      </w:pPr>
      <w:r w:rsidRPr="005D1242">
        <w:t>grep "&gt;" RAPTORB_NCBI_BLAST_viridiplantae100hits_</w:t>
      </w:r>
      <w:proofErr w:type="gramStart"/>
      <w:r w:rsidRPr="005D1242">
        <w:t>renamed.fasta</w:t>
      </w:r>
      <w:proofErr w:type="gramEnd"/>
      <w:r w:rsidRPr="005D1242">
        <w:t xml:space="preserve"> &gt; blast_old_label.txt</w:t>
      </w:r>
    </w:p>
    <w:p w14:paraId="1C213F37" w14:textId="4BDC3907" w:rsidR="005D1242" w:rsidRDefault="005D1242" w:rsidP="005D1242">
      <w:pPr>
        <w:spacing w:line="240" w:lineRule="auto"/>
        <w:ind w:left="360"/>
      </w:pPr>
      <w:proofErr w:type="spellStart"/>
      <w:r w:rsidRPr="005D1242">
        <w:t>perl</w:t>
      </w:r>
      <w:proofErr w:type="spellEnd"/>
      <w:r w:rsidRPr="005D1242">
        <w:t xml:space="preserve"> -ne 'if(/ref\</w:t>
      </w:r>
      <w:proofErr w:type="gramStart"/>
      <w:r w:rsidRPr="005D1242">
        <w:t>|(</w:t>
      </w:r>
      <w:proofErr w:type="gramEnd"/>
      <w:r w:rsidRPr="005D1242">
        <w:t xml:space="preserve">.*?)\|.*\[(.*?)\]/) {print $1." </w:t>
      </w:r>
      <w:proofErr w:type="gramStart"/>
      <w:r w:rsidRPr="005D1242">
        <w:t>".$</w:t>
      </w:r>
      <w:proofErr w:type="gramEnd"/>
      <w:r w:rsidRPr="005D1242">
        <w:t xml:space="preserve">2."\n"}' </w:t>
      </w:r>
      <w:proofErr w:type="spellStart"/>
      <w:r w:rsidRPr="005D1242">
        <w:t>RAPTORB_NCBI_HomoloGene.fasta</w:t>
      </w:r>
      <w:proofErr w:type="spellEnd"/>
      <w:r w:rsidRPr="005D1242">
        <w:t xml:space="preserve"> &gt; homolo_new_label.txt</w:t>
      </w:r>
    </w:p>
    <w:p w14:paraId="64279504" w14:textId="0D694FA6" w:rsidR="005D1242" w:rsidRDefault="005D1242" w:rsidP="005D1242">
      <w:pPr>
        <w:spacing w:line="240" w:lineRule="auto"/>
        <w:ind w:left="360"/>
      </w:pPr>
      <w:proofErr w:type="spellStart"/>
      <w:r>
        <w:t>perl</w:t>
      </w:r>
      <w:proofErr w:type="spellEnd"/>
      <w:r>
        <w:t xml:space="preserve"> -ne '</w:t>
      </w:r>
      <w:proofErr w:type="gramStart"/>
      <w:r>
        <w:t>if(</w:t>
      </w:r>
      <w:proofErr w:type="gramEnd"/>
      <w:r>
        <w:t xml:space="preserve">/&gt;(.*?) </w:t>
      </w:r>
      <w:proofErr w:type="gramStart"/>
      <w:r>
        <w:t>.*</w:t>
      </w:r>
      <w:proofErr w:type="gramEnd"/>
      <w:r>
        <w:t xml:space="preserve">\[(.*?)\]/) {print $1." </w:t>
      </w:r>
      <w:proofErr w:type="gramStart"/>
      <w:r>
        <w:t>".$</w:t>
      </w:r>
      <w:proofErr w:type="gramEnd"/>
      <w:r>
        <w:t xml:space="preserve">2."\n"}' </w:t>
      </w:r>
      <w:proofErr w:type="spellStart"/>
      <w:r>
        <w:t>RAPTORB_NCBI_BLAST_viridiplant</w:t>
      </w:r>
      <w:proofErr w:type="spellEnd"/>
    </w:p>
    <w:p w14:paraId="05260DE8" w14:textId="0016F05F" w:rsidR="005D1242" w:rsidRDefault="005D1242" w:rsidP="005D1242">
      <w:pPr>
        <w:spacing w:line="240" w:lineRule="auto"/>
        <w:ind w:left="360"/>
      </w:pPr>
      <w:r>
        <w:t>ae100hits.fasta &gt; blast_new_label.txt</w:t>
      </w:r>
    </w:p>
    <w:p w14:paraId="0B10254D" w14:textId="439D122D" w:rsidR="007A442B" w:rsidRDefault="007A442B" w:rsidP="005D1242">
      <w:pPr>
        <w:spacing w:line="240" w:lineRule="auto"/>
        <w:ind w:left="360"/>
      </w:pPr>
      <w:proofErr w:type="spellStart"/>
      <w:r w:rsidRPr="007A442B">
        <w:t>perl</w:t>
      </w:r>
      <w:proofErr w:type="spellEnd"/>
      <w:r w:rsidRPr="007A442B">
        <w:t xml:space="preserve"> -ne 'if(/Org</w:t>
      </w:r>
      <w:proofErr w:type="gramStart"/>
      <w:r w:rsidRPr="007A442B">
        <w:t>_(</w:t>
      </w:r>
      <w:proofErr w:type="gramEnd"/>
      <w:r w:rsidRPr="007A442B">
        <w:t xml:space="preserve">.*?) </w:t>
      </w:r>
      <w:proofErr w:type="gramStart"/>
      <w:r w:rsidRPr="007A442B">
        <w:t>.*</w:t>
      </w:r>
      <w:proofErr w:type="gramEnd"/>
      <w:r w:rsidRPr="007A442B">
        <w:t xml:space="preserve">peptide: (.*?) /) {print $1." </w:t>
      </w:r>
      <w:proofErr w:type="gramStart"/>
      <w:r w:rsidRPr="007A442B">
        <w:t>".$</w:t>
      </w:r>
      <w:proofErr w:type="gramEnd"/>
      <w:r w:rsidRPr="007A442B">
        <w:t>2."\n"}' RAPTORB_phytozome_top100.fasta &gt; phyto_new_label.txt</w:t>
      </w:r>
    </w:p>
    <w:p w14:paraId="0151A39A" w14:textId="77777777" w:rsidR="0004346F" w:rsidRDefault="002F174A" w:rsidP="00903900">
      <w:pPr>
        <w:spacing w:line="240" w:lineRule="auto"/>
        <w:ind w:left="360"/>
      </w:pPr>
      <w:r w:rsidRPr="001924DE">
        <w:lastRenderedPageBreak/>
        <w:t>find -name *.raxml.log -exec grep -</w:t>
      </w:r>
      <w:proofErr w:type="spellStart"/>
      <w:r w:rsidRPr="001924DE">
        <w:t>i</w:t>
      </w:r>
      <w:proofErr w:type="spellEnd"/>
      <w:r w:rsidRPr="001924DE">
        <w:t xml:space="preserve"> 'AIC score' {} +</w:t>
      </w:r>
      <w:r w:rsidRPr="001924DE">
        <w:br/>
        <w:t xml:space="preserve">find -name *.raxml.log -exec grep 'Final </w:t>
      </w:r>
      <w:proofErr w:type="spellStart"/>
      <w:r w:rsidRPr="001924DE">
        <w:t>LogLikelihood</w:t>
      </w:r>
      <w:proofErr w:type="spellEnd"/>
      <w:r w:rsidRPr="001924DE">
        <w:t>' {} +</w:t>
      </w:r>
      <w:r w:rsidRPr="001924DE">
        <w:br/>
      </w:r>
    </w:p>
    <w:tbl>
      <w:tblPr>
        <w:tblW w:w="14580" w:type="dxa"/>
        <w:shd w:val="clear" w:color="auto" w:fill="FFFFFF"/>
        <w:tblCellMar>
          <w:top w:w="20" w:type="dxa"/>
          <w:left w:w="0" w:type="dxa"/>
          <w:bottom w:w="20" w:type="dxa"/>
          <w:right w:w="0" w:type="dxa"/>
        </w:tblCellMar>
        <w:tblLook w:val="04A0" w:firstRow="1" w:lastRow="0" w:firstColumn="1" w:lastColumn="0" w:noHBand="0" w:noVBand="1"/>
      </w:tblPr>
      <w:tblGrid>
        <w:gridCol w:w="2083"/>
        <w:gridCol w:w="12497"/>
      </w:tblGrid>
      <w:tr w:rsidR="0004346F" w:rsidRPr="0004346F" w14:paraId="1F59C232" w14:textId="77777777" w:rsidTr="00D426BC">
        <w:trPr>
          <w:trHeight w:val="375"/>
        </w:trPr>
        <w:tc>
          <w:tcPr>
            <w:tcW w:w="2083" w:type="dxa"/>
            <w:shd w:val="clear" w:color="auto" w:fill="D6E8FF"/>
            <w:vAlign w:val="center"/>
            <w:hideMark/>
          </w:tcPr>
          <w:p w14:paraId="745BB1D9" w14:textId="74998DC6" w:rsidR="00D426BC" w:rsidRDefault="00D426BC" w:rsidP="0004346F">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LST8</w:t>
            </w:r>
          </w:p>
          <w:p w14:paraId="33FE08B0" w14:textId="10D27192" w:rsidR="0004346F" w:rsidRPr="0004346F" w:rsidRDefault="0004346F" w:rsidP="0004346F">
            <w:pPr>
              <w:spacing w:after="0" w:line="240" w:lineRule="auto"/>
              <w:rPr>
                <w:rFonts w:ascii="Arial" w:eastAsia="Times New Roman" w:hAnsi="Arial" w:cs="Arial"/>
                <w:color w:val="000000"/>
                <w:sz w:val="18"/>
                <w:szCs w:val="18"/>
              </w:rPr>
            </w:pPr>
            <w:proofErr w:type="spellStart"/>
            <w:r w:rsidRPr="0004346F">
              <w:rPr>
                <w:rFonts w:ascii="Arial" w:eastAsia="Times New Roman" w:hAnsi="Arial" w:cs="Arial"/>
                <w:color w:val="000000"/>
                <w:sz w:val="18"/>
                <w:szCs w:val="18"/>
              </w:rPr>
              <w:t>Ath</w:t>
            </w:r>
            <w:proofErr w:type="spellEnd"/>
          </w:p>
        </w:tc>
        <w:tc>
          <w:tcPr>
            <w:tcW w:w="12497" w:type="dxa"/>
            <w:shd w:val="clear" w:color="auto" w:fill="D6E8FF"/>
            <w:vAlign w:val="center"/>
            <w:hideMark/>
          </w:tcPr>
          <w:p w14:paraId="33A01531" w14:textId="77777777" w:rsidR="0004346F" w:rsidRPr="0004346F" w:rsidRDefault="0004346F" w:rsidP="0004346F">
            <w:pPr>
              <w:spacing w:after="0" w:line="240" w:lineRule="auto"/>
              <w:rPr>
                <w:rFonts w:ascii="Arial" w:eastAsia="Times New Roman" w:hAnsi="Arial" w:cs="Arial"/>
                <w:color w:val="000000"/>
                <w:sz w:val="18"/>
                <w:szCs w:val="18"/>
              </w:rPr>
            </w:pPr>
            <w:r w:rsidRPr="0004346F">
              <w:rPr>
                <w:rFonts w:ascii="Arial" w:eastAsia="Times New Roman" w:hAnsi="Arial" w:cs="Arial"/>
                <w:color w:val="000000"/>
                <w:sz w:val="18"/>
                <w:szCs w:val="18"/>
              </w:rPr>
              <w:t xml:space="preserve">AT3G49660.1 - </w:t>
            </w:r>
            <w:proofErr w:type="spellStart"/>
            <w:r w:rsidRPr="0004346F">
              <w:rPr>
                <w:rFonts w:ascii="Arial" w:eastAsia="Times New Roman" w:hAnsi="Arial" w:cs="Arial"/>
                <w:color w:val="000000"/>
                <w:sz w:val="18"/>
                <w:szCs w:val="18"/>
              </w:rPr>
              <w:t>Transducin</w:t>
            </w:r>
            <w:proofErr w:type="spellEnd"/>
            <w:r w:rsidRPr="0004346F">
              <w:rPr>
                <w:rFonts w:ascii="Arial" w:eastAsia="Times New Roman" w:hAnsi="Arial" w:cs="Arial"/>
                <w:color w:val="000000"/>
                <w:sz w:val="18"/>
                <w:szCs w:val="18"/>
              </w:rPr>
              <w:t xml:space="preserve">/WD40 repeat-like </w:t>
            </w:r>
            <w:proofErr w:type="spellStart"/>
            <w:r w:rsidRPr="0004346F">
              <w:rPr>
                <w:rFonts w:ascii="Arial" w:eastAsia="Times New Roman" w:hAnsi="Arial" w:cs="Arial"/>
                <w:color w:val="000000"/>
                <w:sz w:val="18"/>
                <w:szCs w:val="18"/>
              </w:rPr>
              <w:t>supe</w:t>
            </w:r>
            <w:proofErr w:type="spellEnd"/>
          </w:p>
        </w:tc>
      </w:tr>
      <w:tr w:rsidR="00D426BC" w:rsidRPr="00D426BC" w14:paraId="79B38256" w14:textId="77777777" w:rsidTr="00D426BC">
        <w:trPr>
          <w:trHeight w:val="375"/>
        </w:trPr>
        <w:tc>
          <w:tcPr>
            <w:tcW w:w="2083" w:type="dxa"/>
            <w:shd w:val="clear" w:color="auto" w:fill="D6E8FF"/>
            <w:vAlign w:val="center"/>
            <w:hideMark/>
          </w:tcPr>
          <w:p w14:paraId="56089694" w14:textId="77777777" w:rsidR="00D426BC" w:rsidRPr="00D426BC" w:rsidRDefault="00D426BC" w:rsidP="00D426BC">
            <w:pPr>
              <w:spacing w:after="0" w:line="240" w:lineRule="auto"/>
              <w:rPr>
                <w:rFonts w:ascii="Arial" w:eastAsia="Times New Roman" w:hAnsi="Arial" w:cs="Arial"/>
                <w:color w:val="000000"/>
                <w:sz w:val="18"/>
                <w:szCs w:val="18"/>
              </w:rPr>
            </w:pPr>
            <w:proofErr w:type="spellStart"/>
            <w:r w:rsidRPr="00D426BC">
              <w:rPr>
                <w:rFonts w:ascii="Arial" w:eastAsia="Times New Roman" w:hAnsi="Arial" w:cs="Arial"/>
                <w:color w:val="000000"/>
                <w:sz w:val="18"/>
                <w:szCs w:val="18"/>
              </w:rPr>
              <w:t>Spo</w:t>
            </w:r>
            <w:proofErr w:type="spellEnd"/>
          </w:p>
        </w:tc>
        <w:tc>
          <w:tcPr>
            <w:tcW w:w="12497" w:type="dxa"/>
            <w:shd w:val="clear" w:color="auto" w:fill="D6E8FF"/>
            <w:vAlign w:val="center"/>
            <w:hideMark/>
          </w:tcPr>
          <w:p w14:paraId="2285950B" w14:textId="77777777" w:rsidR="00D426BC" w:rsidRPr="00D426BC" w:rsidRDefault="00D426BC" w:rsidP="00D426BC">
            <w:pPr>
              <w:spacing w:after="0" w:line="240" w:lineRule="auto"/>
              <w:rPr>
                <w:rFonts w:ascii="Arial" w:eastAsia="Times New Roman" w:hAnsi="Arial" w:cs="Arial"/>
                <w:color w:val="000000"/>
                <w:sz w:val="18"/>
                <w:szCs w:val="18"/>
              </w:rPr>
            </w:pPr>
            <w:r w:rsidRPr="00D426BC">
              <w:rPr>
                <w:rFonts w:ascii="Arial" w:eastAsia="Times New Roman" w:hAnsi="Arial" w:cs="Arial"/>
                <w:color w:val="000000"/>
                <w:sz w:val="18"/>
                <w:szCs w:val="18"/>
              </w:rPr>
              <w:t>Spipo2G0106900 - WD repeat-containing protein</w:t>
            </w:r>
          </w:p>
        </w:tc>
      </w:tr>
      <w:tr w:rsidR="00D426BC" w:rsidRPr="00D426BC" w14:paraId="391A9CDD" w14:textId="77777777" w:rsidTr="00D426BC">
        <w:trPr>
          <w:trHeight w:val="375"/>
        </w:trPr>
        <w:tc>
          <w:tcPr>
            <w:tcW w:w="2083" w:type="dxa"/>
            <w:shd w:val="clear" w:color="auto" w:fill="D6E8FF"/>
            <w:vAlign w:val="center"/>
            <w:hideMark/>
          </w:tcPr>
          <w:p w14:paraId="061306E7" w14:textId="5D228844" w:rsidR="00D426BC" w:rsidRDefault="00D426BC" w:rsidP="00D426BC">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TOR</w:t>
            </w:r>
          </w:p>
          <w:p w14:paraId="2FF005ED" w14:textId="07BA0308" w:rsidR="00D426BC" w:rsidRPr="00D426BC" w:rsidRDefault="00D426BC" w:rsidP="00D426BC">
            <w:pPr>
              <w:spacing w:after="0" w:line="240" w:lineRule="auto"/>
              <w:rPr>
                <w:rFonts w:ascii="Arial" w:eastAsia="Times New Roman" w:hAnsi="Arial" w:cs="Arial"/>
                <w:color w:val="000000"/>
                <w:sz w:val="18"/>
                <w:szCs w:val="18"/>
              </w:rPr>
            </w:pPr>
            <w:r w:rsidRPr="00D426BC">
              <w:rPr>
                <w:rFonts w:ascii="Arial" w:eastAsia="Times New Roman" w:hAnsi="Arial" w:cs="Arial"/>
                <w:color w:val="000000"/>
                <w:sz w:val="18"/>
                <w:szCs w:val="18"/>
              </w:rPr>
              <w:t>Bra</w:t>
            </w:r>
          </w:p>
        </w:tc>
        <w:tc>
          <w:tcPr>
            <w:tcW w:w="12497" w:type="dxa"/>
            <w:shd w:val="clear" w:color="auto" w:fill="D6E8FF"/>
            <w:vAlign w:val="center"/>
            <w:hideMark/>
          </w:tcPr>
          <w:p w14:paraId="26201D8E" w14:textId="77777777" w:rsidR="00D426BC" w:rsidRPr="00D426BC" w:rsidRDefault="00D426BC" w:rsidP="00D426BC">
            <w:pPr>
              <w:spacing w:after="0" w:line="240" w:lineRule="auto"/>
              <w:rPr>
                <w:rFonts w:ascii="Arial" w:eastAsia="Times New Roman" w:hAnsi="Arial" w:cs="Arial"/>
                <w:color w:val="000000"/>
                <w:sz w:val="18"/>
                <w:szCs w:val="18"/>
              </w:rPr>
            </w:pPr>
            <w:r w:rsidRPr="00D426BC">
              <w:rPr>
                <w:rFonts w:ascii="Arial" w:eastAsia="Times New Roman" w:hAnsi="Arial" w:cs="Arial"/>
                <w:color w:val="000000"/>
                <w:sz w:val="18"/>
                <w:szCs w:val="18"/>
              </w:rPr>
              <w:t>Brara.D01241.1 - (1 of 1) K06640 - serine/threonine-protein kinase ATR (ATR)</w:t>
            </w:r>
          </w:p>
        </w:tc>
      </w:tr>
      <w:tr w:rsidR="004248C0" w:rsidRPr="004248C0" w14:paraId="00D1E673" w14:textId="77777777" w:rsidTr="004248C0">
        <w:trPr>
          <w:trHeight w:val="375"/>
        </w:trPr>
        <w:tc>
          <w:tcPr>
            <w:tcW w:w="2083" w:type="dxa"/>
            <w:shd w:val="clear" w:color="auto" w:fill="D6E8FF"/>
            <w:vAlign w:val="center"/>
            <w:hideMark/>
          </w:tcPr>
          <w:p w14:paraId="2FA5509D" w14:textId="77777777" w:rsidR="004248C0" w:rsidRPr="004248C0" w:rsidRDefault="004248C0" w:rsidP="004248C0">
            <w:pPr>
              <w:spacing w:after="0" w:line="240" w:lineRule="auto"/>
              <w:rPr>
                <w:rFonts w:ascii="Arial" w:eastAsia="Times New Roman" w:hAnsi="Arial" w:cs="Arial"/>
                <w:color w:val="000000"/>
                <w:sz w:val="18"/>
                <w:szCs w:val="18"/>
              </w:rPr>
            </w:pPr>
            <w:proofErr w:type="spellStart"/>
            <w:r w:rsidRPr="004248C0">
              <w:rPr>
                <w:rFonts w:ascii="Arial" w:eastAsia="Times New Roman" w:hAnsi="Arial" w:cs="Arial"/>
                <w:color w:val="000000"/>
                <w:sz w:val="18"/>
                <w:szCs w:val="18"/>
              </w:rPr>
              <w:t>Cgr</w:t>
            </w:r>
            <w:proofErr w:type="spellEnd"/>
          </w:p>
        </w:tc>
        <w:tc>
          <w:tcPr>
            <w:tcW w:w="12497" w:type="dxa"/>
            <w:shd w:val="clear" w:color="auto" w:fill="D6E8FF"/>
            <w:vAlign w:val="center"/>
            <w:hideMark/>
          </w:tcPr>
          <w:p w14:paraId="741265A2" w14:textId="77777777" w:rsidR="004248C0" w:rsidRPr="004248C0" w:rsidRDefault="004248C0" w:rsidP="004248C0">
            <w:pPr>
              <w:spacing w:after="0" w:line="240" w:lineRule="auto"/>
              <w:rPr>
                <w:rFonts w:ascii="Arial" w:eastAsia="Times New Roman" w:hAnsi="Arial" w:cs="Arial"/>
                <w:color w:val="000000"/>
                <w:sz w:val="18"/>
                <w:szCs w:val="18"/>
              </w:rPr>
            </w:pPr>
            <w:r w:rsidRPr="004248C0">
              <w:rPr>
                <w:rFonts w:ascii="Arial" w:eastAsia="Times New Roman" w:hAnsi="Arial" w:cs="Arial"/>
                <w:color w:val="000000"/>
                <w:sz w:val="18"/>
                <w:szCs w:val="18"/>
              </w:rPr>
              <w:t>Cagra.18315s0001.1 - (1 of 1) K06640 - serine/threonine-protein kinase ATR (ATR)</w:t>
            </w:r>
          </w:p>
        </w:tc>
      </w:tr>
    </w:tbl>
    <w:p w14:paraId="52D7645E" w14:textId="73B1E1A6" w:rsidR="00CE6B0E" w:rsidRDefault="00AE17AA" w:rsidP="00D426BC">
      <w:pPr>
        <w:spacing w:line="240" w:lineRule="auto"/>
      </w:pPr>
      <w:r>
        <w:t>RAPTOR</w:t>
      </w:r>
    </w:p>
    <w:tbl>
      <w:tblPr>
        <w:tblW w:w="15330" w:type="dxa"/>
        <w:shd w:val="clear" w:color="auto" w:fill="FFFFFF"/>
        <w:tblCellMar>
          <w:top w:w="20" w:type="dxa"/>
          <w:left w:w="0" w:type="dxa"/>
          <w:bottom w:w="20" w:type="dxa"/>
          <w:right w:w="0" w:type="dxa"/>
        </w:tblCellMar>
        <w:tblLook w:val="04A0" w:firstRow="1" w:lastRow="0" w:firstColumn="1" w:lastColumn="0" w:noHBand="0" w:noVBand="1"/>
      </w:tblPr>
      <w:tblGrid>
        <w:gridCol w:w="1890"/>
        <w:gridCol w:w="13440"/>
      </w:tblGrid>
      <w:tr w:rsidR="00AE17AA" w:rsidRPr="00AE17AA" w14:paraId="20CAAA08" w14:textId="77777777" w:rsidTr="00AE17AA">
        <w:trPr>
          <w:trHeight w:val="375"/>
        </w:trPr>
        <w:tc>
          <w:tcPr>
            <w:tcW w:w="1890" w:type="dxa"/>
            <w:shd w:val="clear" w:color="auto" w:fill="D6E8FF"/>
            <w:vAlign w:val="center"/>
            <w:hideMark/>
          </w:tcPr>
          <w:p w14:paraId="10B62DA1" w14:textId="77777777" w:rsidR="00AE17AA" w:rsidRPr="00AE17AA" w:rsidRDefault="00AE17AA" w:rsidP="00AE17AA">
            <w:pPr>
              <w:spacing w:after="0" w:line="240" w:lineRule="auto"/>
              <w:rPr>
                <w:rFonts w:ascii="Arial" w:eastAsia="Times New Roman" w:hAnsi="Arial" w:cs="Arial"/>
                <w:color w:val="000000"/>
                <w:sz w:val="18"/>
                <w:szCs w:val="18"/>
              </w:rPr>
            </w:pPr>
            <w:r w:rsidRPr="00AE17AA">
              <w:rPr>
                <w:rFonts w:ascii="Arial" w:eastAsia="Times New Roman" w:hAnsi="Arial" w:cs="Arial"/>
                <w:color w:val="000000"/>
                <w:sz w:val="18"/>
                <w:szCs w:val="18"/>
              </w:rPr>
              <w:t>CCM</w:t>
            </w:r>
          </w:p>
        </w:tc>
        <w:tc>
          <w:tcPr>
            <w:tcW w:w="13440" w:type="dxa"/>
            <w:shd w:val="clear" w:color="auto" w:fill="D6E8FF"/>
            <w:vAlign w:val="center"/>
            <w:hideMark/>
          </w:tcPr>
          <w:p w14:paraId="3801313C" w14:textId="77777777" w:rsidR="00AE17AA" w:rsidRPr="00AE17AA" w:rsidRDefault="00AE17AA" w:rsidP="00AE17AA">
            <w:pPr>
              <w:spacing w:after="0" w:line="240" w:lineRule="auto"/>
              <w:rPr>
                <w:rFonts w:ascii="Arial" w:eastAsia="Times New Roman" w:hAnsi="Arial" w:cs="Arial"/>
                <w:color w:val="000000"/>
                <w:sz w:val="18"/>
                <w:szCs w:val="18"/>
              </w:rPr>
            </w:pPr>
            <w:r w:rsidRPr="00AE17AA">
              <w:rPr>
                <w:rFonts w:ascii="Arial" w:eastAsia="Times New Roman" w:hAnsi="Arial" w:cs="Arial"/>
                <w:color w:val="000000"/>
                <w:sz w:val="18"/>
                <w:szCs w:val="18"/>
              </w:rPr>
              <w:t>17707 - (1 of 1) K07204 - regulatory associated protein of</w:t>
            </w:r>
          </w:p>
        </w:tc>
      </w:tr>
      <w:tr w:rsidR="00AE17AA" w:rsidRPr="00AE17AA" w14:paraId="0D40F1B9" w14:textId="77777777" w:rsidTr="00AE17AA">
        <w:trPr>
          <w:trHeight w:val="375"/>
        </w:trPr>
        <w:tc>
          <w:tcPr>
            <w:tcW w:w="1890" w:type="dxa"/>
            <w:shd w:val="clear" w:color="auto" w:fill="D6E8FF"/>
            <w:vAlign w:val="center"/>
            <w:hideMark/>
          </w:tcPr>
          <w:p w14:paraId="395B861C" w14:textId="77777777" w:rsidR="00AE17AA" w:rsidRPr="00AE17AA" w:rsidRDefault="00AE17AA" w:rsidP="00AE17AA">
            <w:pPr>
              <w:spacing w:after="0" w:line="240" w:lineRule="auto"/>
              <w:rPr>
                <w:rFonts w:ascii="Arial" w:eastAsia="Times New Roman" w:hAnsi="Arial" w:cs="Arial"/>
                <w:color w:val="000000"/>
                <w:sz w:val="18"/>
                <w:szCs w:val="18"/>
              </w:rPr>
            </w:pPr>
            <w:proofErr w:type="spellStart"/>
            <w:r w:rsidRPr="00AE17AA">
              <w:rPr>
                <w:rFonts w:ascii="Arial" w:eastAsia="Times New Roman" w:hAnsi="Arial" w:cs="Arial"/>
                <w:color w:val="000000"/>
                <w:sz w:val="18"/>
                <w:szCs w:val="18"/>
              </w:rPr>
              <w:t>Cre</w:t>
            </w:r>
            <w:proofErr w:type="spellEnd"/>
          </w:p>
        </w:tc>
        <w:tc>
          <w:tcPr>
            <w:tcW w:w="13440" w:type="dxa"/>
            <w:shd w:val="clear" w:color="auto" w:fill="D6E8FF"/>
            <w:vAlign w:val="center"/>
            <w:hideMark/>
          </w:tcPr>
          <w:p w14:paraId="0734BCF0" w14:textId="77777777" w:rsidR="00AE17AA" w:rsidRPr="00AE17AA" w:rsidRDefault="00AE17AA" w:rsidP="00AE17AA">
            <w:pPr>
              <w:spacing w:after="0" w:line="240" w:lineRule="auto"/>
              <w:rPr>
                <w:rFonts w:ascii="Arial" w:eastAsia="Times New Roman" w:hAnsi="Arial" w:cs="Arial"/>
                <w:color w:val="000000"/>
                <w:sz w:val="18"/>
                <w:szCs w:val="18"/>
              </w:rPr>
            </w:pPr>
            <w:r w:rsidRPr="00AE17AA">
              <w:rPr>
                <w:rFonts w:ascii="Arial" w:eastAsia="Times New Roman" w:hAnsi="Arial" w:cs="Arial"/>
                <w:color w:val="000000"/>
                <w:sz w:val="18"/>
                <w:szCs w:val="18"/>
              </w:rPr>
              <w:t xml:space="preserve">Cre08.g371957.t1.1 - (1 of 1) K07204 - regulatory </w:t>
            </w:r>
            <w:proofErr w:type="spellStart"/>
            <w:r w:rsidRPr="00AE17AA">
              <w:rPr>
                <w:rFonts w:ascii="Arial" w:eastAsia="Times New Roman" w:hAnsi="Arial" w:cs="Arial"/>
                <w:color w:val="000000"/>
                <w:sz w:val="18"/>
                <w:szCs w:val="18"/>
              </w:rPr>
              <w:t>associa</w:t>
            </w:r>
            <w:proofErr w:type="spellEnd"/>
          </w:p>
        </w:tc>
      </w:tr>
    </w:tbl>
    <w:p w14:paraId="0A2AA381" w14:textId="77777777" w:rsidR="00AE17AA" w:rsidRDefault="00AE17AA" w:rsidP="00D426BC">
      <w:pPr>
        <w:spacing w:line="240" w:lineRule="auto"/>
      </w:pPr>
    </w:p>
    <w:p w14:paraId="220F4532" w14:textId="483C7814" w:rsidR="001C73D3" w:rsidRPr="001924DE" w:rsidRDefault="002F174A" w:rsidP="00903900">
      <w:pPr>
        <w:spacing w:line="240" w:lineRule="auto"/>
        <w:ind w:left="360"/>
      </w:pPr>
      <w:r w:rsidRPr="001924DE">
        <w:t>## Hypothesis</w:t>
      </w:r>
      <w:r w:rsidRPr="001924DE">
        <w:br/>
        <w:t>By performing a phylogenetic analysis on the obtained sequence windows from our phospho-</w:t>
      </w:r>
      <w:proofErr w:type="spellStart"/>
      <w:r w:rsidRPr="001924DE">
        <w:t>preoteomics</w:t>
      </w:r>
      <w:proofErr w:type="spellEnd"/>
      <w:r w:rsidRPr="001924DE">
        <w:t xml:space="preserve"> dataset we can identify novel BIN2 target proteins.  </w:t>
      </w:r>
      <w:r w:rsidRPr="001924DE">
        <w:br/>
      </w:r>
      <w:r w:rsidRPr="001924DE">
        <w:br/>
        <w:t>## Methodology  </w:t>
      </w:r>
      <w:r w:rsidRPr="001924DE">
        <w:br/>
      </w:r>
      <w:r w:rsidRPr="001924DE">
        <w:br/>
      </w:r>
      <w:r w:rsidRPr="001924DE">
        <w:br/>
        <w:t xml:space="preserve">1. Write a script to extract, from our dataset, the sequence window for each </w:t>
      </w:r>
      <w:proofErr w:type="gramStart"/>
      <w:r w:rsidRPr="001924DE">
        <w:t>phosphorylated-site</w:t>
      </w:r>
      <w:proofErr w:type="gramEnd"/>
      <w:r w:rsidRPr="001924DE">
        <w:t xml:space="preserve"> tagged as upregulated in response to BIN2 activity and to output these sequences as a multi-FASTA file. </w:t>
      </w:r>
      <w:r w:rsidRPr="001924DE">
        <w:br/>
        <w:t>2. A multiple sequence alignment (MSA) will be performed on these sequences using either MUSCLE of MAFFT.  </w:t>
      </w:r>
      <w:r w:rsidRPr="001924DE">
        <w:br/>
        <w:t>3. The obtained MSA will be used to infer a phylogenetic tree (still don't know the method I will use for this)</w:t>
      </w:r>
      <w:r w:rsidRPr="001924DE">
        <w:br/>
        <w:t xml:space="preserve">4. The obtained cluster </w:t>
      </w:r>
      <w:proofErr w:type="spellStart"/>
      <w:r w:rsidRPr="001924DE">
        <w:t>o</w:t>
      </w:r>
      <w:proofErr w:type="spellEnd"/>
      <w:r w:rsidRPr="001924DE">
        <w:t xml:space="preserve"> motifs will be used to further determine conserved sequence motifs, possible novel BIN2 targets and novel phosphorylation motifs.</w:t>
      </w:r>
    </w:p>
    <w:sectPr w:rsidR="001C73D3" w:rsidRPr="001924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CB110" w14:textId="77777777" w:rsidR="0025368C" w:rsidRDefault="0025368C" w:rsidP="002F174A">
      <w:pPr>
        <w:spacing w:after="0" w:line="240" w:lineRule="auto"/>
      </w:pPr>
      <w:r>
        <w:separator/>
      </w:r>
    </w:p>
  </w:endnote>
  <w:endnote w:type="continuationSeparator" w:id="0">
    <w:p w14:paraId="2771A7ED" w14:textId="77777777" w:rsidR="0025368C" w:rsidRDefault="0025368C"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F1133" w14:textId="77777777" w:rsidR="0025368C" w:rsidRDefault="0025368C" w:rsidP="002F174A">
      <w:pPr>
        <w:spacing w:after="0" w:line="240" w:lineRule="auto"/>
      </w:pPr>
      <w:r>
        <w:separator/>
      </w:r>
    </w:p>
  </w:footnote>
  <w:footnote w:type="continuationSeparator" w:id="0">
    <w:p w14:paraId="60AD8026" w14:textId="77777777" w:rsidR="0025368C" w:rsidRDefault="0025368C"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01200B"/>
    <w:rsid w:val="0004346F"/>
    <w:rsid w:val="00055C1F"/>
    <w:rsid w:val="000862FC"/>
    <w:rsid w:val="00167E41"/>
    <w:rsid w:val="001924DE"/>
    <w:rsid w:val="001A52AA"/>
    <w:rsid w:val="001C73D3"/>
    <w:rsid w:val="002336C1"/>
    <w:rsid w:val="0025368C"/>
    <w:rsid w:val="0025746C"/>
    <w:rsid w:val="002D354F"/>
    <w:rsid w:val="002F174A"/>
    <w:rsid w:val="00357990"/>
    <w:rsid w:val="003A251E"/>
    <w:rsid w:val="003D23FA"/>
    <w:rsid w:val="00411C23"/>
    <w:rsid w:val="00411F25"/>
    <w:rsid w:val="004248C0"/>
    <w:rsid w:val="00453DE5"/>
    <w:rsid w:val="00463B29"/>
    <w:rsid w:val="004A4818"/>
    <w:rsid w:val="004C14CC"/>
    <w:rsid w:val="004E56B9"/>
    <w:rsid w:val="00517F8C"/>
    <w:rsid w:val="00520D6F"/>
    <w:rsid w:val="0053682C"/>
    <w:rsid w:val="0055637E"/>
    <w:rsid w:val="0056412B"/>
    <w:rsid w:val="005935D5"/>
    <w:rsid w:val="005D0451"/>
    <w:rsid w:val="005D1242"/>
    <w:rsid w:val="005E3E1A"/>
    <w:rsid w:val="005E4FDF"/>
    <w:rsid w:val="00655BAF"/>
    <w:rsid w:val="0067278F"/>
    <w:rsid w:val="006A5DFD"/>
    <w:rsid w:val="0070066B"/>
    <w:rsid w:val="00754393"/>
    <w:rsid w:val="007623E5"/>
    <w:rsid w:val="00790AD9"/>
    <w:rsid w:val="007A442B"/>
    <w:rsid w:val="007D3BFB"/>
    <w:rsid w:val="00802C52"/>
    <w:rsid w:val="0083547E"/>
    <w:rsid w:val="00835ED3"/>
    <w:rsid w:val="00844C0C"/>
    <w:rsid w:val="008454AA"/>
    <w:rsid w:val="00883E87"/>
    <w:rsid w:val="008971E0"/>
    <w:rsid w:val="008C7D1D"/>
    <w:rsid w:val="00903900"/>
    <w:rsid w:val="00980C04"/>
    <w:rsid w:val="00982178"/>
    <w:rsid w:val="009B7B45"/>
    <w:rsid w:val="00A20A9C"/>
    <w:rsid w:val="00A42AB9"/>
    <w:rsid w:val="00A60638"/>
    <w:rsid w:val="00A632AB"/>
    <w:rsid w:val="00A73FEC"/>
    <w:rsid w:val="00AA126C"/>
    <w:rsid w:val="00AE17AA"/>
    <w:rsid w:val="00B07F31"/>
    <w:rsid w:val="00B10DFC"/>
    <w:rsid w:val="00B13B64"/>
    <w:rsid w:val="00B264CE"/>
    <w:rsid w:val="00B44C7A"/>
    <w:rsid w:val="00B9133D"/>
    <w:rsid w:val="00BD166B"/>
    <w:rsid w:val="00C463C3"/>
    <w:rsid w:val="00C50D6B"/>
    <w:rsid w:val="00C616BC"/>
    <w:rsid w:val="00CE6B0E"/>
    <w:rsid w:val="00D008FF"/>
    <w:rsid w:val="00D26243"/>
    <w:rsid w:val="00D426BC"/>
    <w:rsid w:val="00D558AD"/>
    <w:rsid w:val="00D87FA3"/>
    <w:rsid w:val="00DD719E"/>
    <w:rsid w:val="00DE1EF7"/>
    <w:rsid w:val="00E05B9A"/>
    <w:rsid w:val="00E45020"/>
    <w:rsid w:val="00E80A0E"/>
    <w:rsid w:val="00E82BEA"/>
    <w:rsid w:val="00E902EA"/>
    <w:rsid w:val="00EF626C"/>
    <w:rsid w:val="00F109B5"/>
    <w:rsid w:val="00F57AFD"/>
    <w:rsid w:val="00F9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5446">
      <w:bodyDiv w:val="1"/>
      <w:marLeft w:val="0"/>
      <w:marRight w:val="0"/>
      <w:marTop w:val="0"/>
      <w:marBottom w:val="0"/>
      <w:divBdr>
        <w:top w:val="none" w:sz="0" w:space="0" w:color="auto"/>
        <w:left w:val="none" w:sz="0" w:space="0" w:color="auto"/>
        <w:bottom w:val="none" w:sz="0" w:space="0" w:color="auto"/>
        <w:right w:val="none" w:sz="0" w:space="0" w:color="auto"/>
      </w:divBdr>
      <w:divsChild>
        <w:div w:id="812257255">
          <w:marLeft w:val="0"/>
          <w:marRight w:val="0"/>
          <w:marTop w:val="0"/>
          <w:marBottom w:val="0"/>
          <w:divBdr>
            <w:top w:val="none" w:sz="0" w:space="0" w:color="auto"/>
            <w:left w:val="none" w:sz="0" w:space="0" w:color="auto"/>
            <w:bottom w:val="none" w:sz="0" w:space="0" w:color="auto"/>
            <w:right w:val="none" w:sz="0" w:space="0" w:color="auto"/>
          </w:divBdr>
        </w:div>
        <w:div w:id="474757310">
          <w:marLeft w:val="0"/>
          <w:marRight w:val="0"/>
          <w:marTop w:val="0"/>
          <w:marBottom w:val="0"/>
          <w:divBdr>
            <w:top w:val="none" w:sz="0" w:space="0" w:color="auto"/>
            <w:left w:val="none" w:sz="0" w:space="0" w:color="auto"/>
            <w:bottom w:val="none" w:sz="0" w:space="0" w:color="auto"/>
            <w:right w:val="none" w:sz="0" w:space="0" w:color="auto"/>
          </w:divBdr>
        </w:div>
      </w:divsChild>
    </w:div>
    <w:div w:id="340937053">
      <w:bodyDiv w:val="1"/>
      <w:marLeft w:val="0"/>
      <w:marRight w:val="0"/>
      <w:marTop w:val="0"/>
      <w:marBottom w:val="0"/>
      <w:divBdr>
        <w:top w:val="none" w:sz="0" w:space="0" w:color="auto"/>
        <w:left w:val="none" w:sz="0" w:space="0" w:color="auto"/>
        <w:bottom w:val="none" w:sz="0" w:space="0" w:color="auto"/>
        <w:right w:val="none" w:sz="0" w:space="0" w:color="auto"/>
      </w:divBdr>
      <w:divsChild>
        <w:div w:id="1852335079">
          <w:marLeft w:val="0"/>
          <w:marRight w:val="0"/>
          <w:marTop w:val="0"/>
          <w:marBottom w:val="0"/>
          <w:divBdr>
            <w:top w:val="none" w:sz="0" w:space="0" w:color="auto"/>
            <w:left w:val="none" w:sz="0" w:space="0" w:color="auto"/>
            <w:bottom w:val="none" w:sz="0" w:space="0" w:color="auto"/>
            <w:right w:val="none" w:sz="0" w:space="0" w:color="auto"/>
          </w:divBdr>
        </w:div>
        <w:div w:id="901333279">
          <w:marLeft w:val="0"/>
          <w:marRight w:val="0"/>
          <w:marTop w:val="0"/>
          <w:marBottom w:val="0"/>
          <w:divBdr>
            <w:top w:val="none" w:sz="0" w:space="0" w:color="auto"/>
            <w:left w:val="none" w:sz="0" w:space="0" w:color="auto"/>
            <w:bottom w:val="none" w:sz="0" w:space="0" w:color="auto"/>
            <w:right w:val="none" w:sz="0" w:space="0" w:color="auto"/>
          </w:divBdr>
        </w:div>
      </w:divsChild>
    </w:div>
    <w:div w:id="663431595">
      <w:bodyDiv w:val="1"/>
      <w:marLeft w:val="0"/>
      <w:marRight w:val="0"/>
      <w:marTop w:val="0"/>
      <w:marBottom w:val="0"/>
      <w:divBdr>
        <w:top w:val="none" w:sz="0" w:space="0" w:color="auto"/>
        <w:left w:val="none" w:sz="0" w:space="0" w:color="auto"/>
        <w:bottom w:val="none" w:sz="0" w:space="0" w:color="auto"/>
        <w:right w:val="none" w:sz="0" w:space="0" w:color="auto"/>
      </w:divBdr>
    </w:div>
    <w:div w:id="805705624">
      <w:bodyDiv w:val="1"/>
      <w:marLeft w:val="0"/>
      <w:marRight w:val="0"/>
      <w:marTop w:val="0"/>
      <w:marBottom w:val="0"/>
      <w:divBdr>
        <w:top w:val="none" w:sz="0" w:space="0" w:color="auto"/>
        <w:left w:val="none" w:sz="0" w:space="0" w:color="auto"/>
        <w:bottom w:val="none" w:sz="0" w:space="0" w:color="auto"/>
        <w:right w:val="none" w:sz="0" w:space="0" w:color="auto"/>
      </w:divBdr>
      <w:divsChild>
        <w:div w:id="877939022">
          <w:marLeft w:val="0"/>
          <w:marRight w:val="0"/>
          <w:marTop w:val="0"/>
          <w:marBottom w:val="0"/>
          <w:divBdr>
            <w:top w:val="none" w:sz="0" w:space="0" w:color="auto"/>
            <w:left w:val="none" w:sz="0" w:space="0" w:color="auto"/>
            <w:bottom w:val="none" w:sz="0" w:space="0" w:color="auto"/>
            <w:right w:val="none" w:sz="0" w:space="0" w:color="auto"/>
          </w:divBdr>
        </w:div>
        <w:div w:id="1231844706">
          <w:marLeft w:val="0"/>
          <w:marRight w:val="0"/>
          <w:marTop w:val="0"/>
          <w:marBottom w:val="0"/>
          <w:divBdr>
            <w:top w:val="none" w:sz="0" w:space="0" w:color="auto"/>
            <w:left w:val="none" w:sz="0" w:space="0" w:color="auto"/>
            <w:bottom w:val="none" w:sz="0" w:space="0" w:color="auto"/>
            <w:right w:val="none" w:sz="0" w:space="0" w:color="auto"/>
          </w:divBdr>
        </w:div>
      </w:divsChild>
    </w:div>
    <w:div w:id="931164012">
      <w:bodyDiv w:val="1"/>
      <w:marLeft w:val="0"/>
      <w:marRight w:val="0"/>
      <w:marTop w:val="0"/>
      <w:marBottom w:val="0"/>
      <w:divBdr>
        <w:top w:val="none" w:sz="0" w:space="0" w:color="auto"/>
        <w:left w:val="none" w:sz="0" w:space="0" w:color="auto"/>
        <w:bottom w:val="none" w:sz="0" w:space="0" w:color="auto"/>
        <w:right w:val="none" w:sz="0" w:space="0" w:color="auto"/>
      </w:divBdr>
      <w:divsChild>
        <w:div w:id="732315827">
          <w:marLeft w:val="0"/>
          <w:marRight w:val="0"/>
          <w:marTop w:val="0"/>
          <w:marBottom w:val="0"/>
          <w:divBdr>
            <w:top w:val="none" w:sz="0" w:space="0" w:color="auto"/>
            <w:left w:val="none" w:sz="0" w:space="0" w:color="auto"/>
            <w:bottom w:val="none" w:sz="0" w:space="0" w:color="auto"/>
            <w:right w:val="none" w:sz="0" w:space="0" w:color="auto"/>
          </w:divBdr>
        </w:div>
        <w:div w:id="573663918">
          <w:marLeft w:val="0"/>
          <w:marRight w:val="0"/>
          <w:marTop w:val="0"/>
          <w:marBottom w:val="0"/>
          <w:divBdr>
            <w:top w:val="none" w:sz="0" w:space="0" w:color="auto"/>
            <w:left w:val="none" w:sz="0" w:space="0" w:color="auto"/>
            <w:bottom w:val="none" w:sz="0" w:space="0" w:color="auto"/>
            <w:right w:val="none" w:sz="0" w:space="0" w:color="auto"/>
          </w:divBdr>
        </w:div>
      </w:divsChild>
    </w:div>
    <w:div w:id="1181160997">
      <w:bodyDiv w:val="1"/>
      <w:marLeft w:val="0"/>
      <w:marRight w:val="0"/>
      <w:marTop w:val="0"/>
      <w:marBottom w:val="0"/>
      <w:divBdr>
        <w:top w:val="none" w:sz="0" w:space="0" w:color="auto"/>
        <w:left w:val="none" w:sz="0" w:space="0" w:color="auto"/>
        <w:bottom w:val="none" w:sz="0" w:space="0" w:color="auto"/>
        <w:right w:val="none" w:sz="0" w:space="0" w:color="auto"/>
      </w:divBdr>
      <w:divsChild>
        <w:div w:id="228268431">
          <w:marLeft w:val="0"/>
          <w:marRight w:val="0"/>
          <w:marTop w:val="0"/>
          <w:marBottom w:val="0"/>
          <w:divBdr>
            <w:top w:val="none" w:sz="0" w:space="0" w:color="auto"/>
            <w:left w:val="none" w:sz="0" w:space="0" w:color="auto"/>
            <w:bottom w:val="none" w:sz="0" w:space="0" w:color="auto"/>
            <w:right w:val="none" w:sz="0" w:space="0" w:color="auto"/>
          </w:divBdr>
        </w:div>
        <w:div w:id="35275204">
          <w:marLeft w:val="0"/>
          <w:marRight w:val="0"/>
          <w:marTop w:val="0"/>
          <w:marBottom w:val="0"/>
          <w:divBdr>
            <w:top w:val="none" w:sz="0" w:space="0" w:color="auto"/>
            <w:left w:val="none" w:sz="0" w:space="0" w:color="auto"/>
            <w:bottom w:val="none" w:sz="0" w:space="0" w:color="auto"/>
            <w:right w:val="none" w:sz="0" w:space="0" w:color="auto"/>
          </w:divBdr>
        </w:div>
      </w:divsChild>
    </w:div>
    <w:div w:id="1353532201">
      <w:bodyDiv w:val="1"/>
      <w:marLeft w:val="0"/>
      <w:marRight w:val="0"/>
      <w:marTop w:val="0"/>
      <w:marBottom w:val="0"/>
      <w:divBdr>
        <w:top w:val="none" w:sz="0" w:space="0" w:color="auto"/>
        <w:left w:val="none" w:sz="0" w:space="0" w:color="auto"/>
        <w:bottom w:val="none" w:sz="0" w:space="0" w:color="auto"/>
        <w:right w:val="none" w:sz="0" w:space="0" w:color="auto"/>
      </w:divBdr>
      <w:divsChild>
        <w:div w:id="2124230893">
          <w:marLeft w:val="0"/>
          <w:marRight w:val="0"/>
          <w:marTop w:val="0"/>
          <w:marBottom w:val="0"/>
          <w:divBdr>
            <w:top w:val="none" w:sz="0" w:space="0" w:color="auto"/>
            <w:left w:val="none" w:sz="0" w:space="0" w:color="auto"/>
            <w:bottom w:val="none" w:sz="0" w:space="0" w:color="auto"/>
            <w:right w:val="none" w:sz="0" w:space="0" w:color="auto"/>
          </w:divBdr>
        </w:div>
        <w:div w:id="405958841">
          <w:marLeft w:val="0"/>
          <w:marRight w:val="0"/>
          <w:marTop w:val="0"/>
          <w:marBottom w:val="0"/>
          <w:divBdr>
            <w:top w:val="none" w:sz="0" w:space="0" w:color="auto"/>
            <w:left w:val="none" w:sz="0" w:space="0" w:color="auto"/>
            <w:bottom w:val="none" w:sz="0" w:space="0" w:color="auto"/>
            <w:right w:val="none" w:sz="0" w:space="0" w:color="auto"/>
          </w:divBdr>
        </w:div>
      </w:divsChild>
    </w:div>
    <w:div w:id="1794980353">
      <w:bodyDiv w:val="1"/>
      <w:marLeft w:val="0"/>
      <w:marRight w:val="0"/>
      <w:marTop w:val="0"/>
      <w:marBottom w:val="0"/>
      <w:divBdr>
        <w:top w:val="none" w:sz="0" w:space="0" w:color="auto"/>
        <w:left w:val="none" w:sz="0" w:space="0" w:color="auto"/>
        <w:bottom w:val="none" w:sz="0" w:space="0" w:color="auto"/>
        <w:right w:val="none" w:sz="0" w:space="0" w:color="auto"/>
      </w:divBdr>
      <w:divsChild>
        <w:div w:id="1616866036">
          <w:marLeft w:val="0"/>
          <w:marRight w:val="0"/>
          <w:marTop w:val="0"/>
          <w:marBottom w:val="0"/>
          <w:divBdr>
            <w:top w:val="none" w:sz="0" w:space="0" w:color="auto"/>
            <w:left w:val="none" w:sz="0" w:space="0" w:color="auto"/>
            <w:bottom w:val="none" w:sz="0" w:space="0" w:color="auto"/>
            <w:right w:val="none" w:sz="0" w:space="0" w:color="auto"/>
          </w:divBdr>
        </w:div>
        <w:div w:id="1010182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7A354-2578-4FDC-A80C-E7535333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4</Pages>
  <Words>14564</Words>
  <Characters>83015</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44</cp:revision>
  <dcterms:created xsi:type="dcterms:W3CDTF">2019-04-19T00:33:00Z</dcterms:created>
  <dcterms:modified xsi:type="dcterms:W3CDTF">2019-04-21T01:21:00Z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