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9208AC">
      <w:pPr>
        <w:pStyle w:val="831"/>
        <w:pBdr/>
        <w:spacing/>
        <w:ind/>
        <w:rPr>
          <w:highlight w:val="none"/>
        </w:rPr>
      </w:pPr>
      <w:r>
        <w:rPr>
          <w:highlight w:val="none"/>
        </w:rPr>
        <w:t xml:space="preserve">Explanation</w:t>
      </w:r>
      <w:r>
        <w:rPr>
          <w:highlight w:val="none"/>
        </w:rPr>
      </w:r>
      <w:r>
        <w:rPr>
          <w:highlight w:val="none"/>
        </w:rPr>
      </w:r>
    </w:p>
    <w:p w14:paraId="635DDD36">
      <w:pPr>
        <w:pBdr/>
        <w:spacing/>
        <w:ind/>
        <w:rPr>
          <w:highlight w:val="none"/>
        </w:rPr>
      </w:pPr>
      <w:r>
        <w:t xml:space="preserve">This document is designed to test all aspects of the Document Generation program including:</w:t>
      </w:r>
      <w:r>
        <w:rPr>
          <w:highlight w:val="none"/>
        </w:rPr>
      </w:r>
      <w:r>
        <w:rPr>
          <w:highlight w:val="none"/>
        </w:rPr>
      </w:r>
    </w:p>
    <w:p w14:paraId="648A2FA4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Formatting</w:t>
      </w:r>
      <w:r/>
    </w:p>
    <w:p w14:paraId="1753F667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Dynamic gender swapping</w:t>
      </w:r>
      <w:r/>
    </w:p>
    <w:p w14:paraId="1BF07599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Dynamic variables grabbed from the dynamicpleadingresponses.xlsx</w:t>
      </w:r>
      <w:r/>
    </w:p>
    <w:p w14:paraId="4EA20284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Client variables</w:t>
      </w:r>
      <w:r/>
    </w:p>
    <w:p w14:paraId="2AF4A6FF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Opposing Attorney assignments to a matter, and the variables</w:t>
      </w:r>
      <w:r/>
    </w:p>
    <w:p w14:paraId="4B47E05E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Variable tags such as _upper for UPPERCASE, etc.</w:t>
      </w:r>
      <w:r/>
    </w:p>
    <w:p w14:paraId="38DE09A2">
      <w:pPr>
        <w:pBdr/>
        <w:spacing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  <w14:ligatures w14:val="none"/>
        </w:rPr>
        <w:t xml:space="preserve">This test should all be for a singular, female client; tenses, 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62EF9D97">
      <w:pPr>
        <w:pBdr/>
        <w:spacing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  <w14:ligatures w14:val="none"/>
        </w:rPr>
        <w:t xml:space="preserve">pronouns, etc. should grammatically 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0EC8F1A9">
      <w:pPr>
        <w:pBdr/>
        <w:spacing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  <w14:ligatures w14:val="none"/>
        </w:rPr>
        <w:t xml:space="preserve">match if Document Generation worked appropriately.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3250AC85">
      <w:pPr>
        <w:pStyle w:val="831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Initial variable test</w:t>
      </w:r>
      <w:r>
        <w:rPr>
          <w14:ligatures w14:val="none"/>
        </w:rPr>
      </w:r>
      <w:r>
        <w:rPr>
          <w14:ligatures w14:val="none"/>
        </w:rPr>
      </w:r>
    </w:p>
    <w:p w14:paraId="72D4112D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{{firstname}} {{lastname}} – client’s two names with a space between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EC44DD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{{clientname_combo}} – same as before; but user should have been prompted to create a “combo variable”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E3923DA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{{firstname_spouse}} {{lastname_spouse}} – client’s spouses legal names with a space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755A77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{{clientname_spouse}} - </w:t>
      </w:r>
      <w:r>
        <w:rPr>
          <w:highlight w:val="none"/>
        </w:rPr>
        <w:t xml:space="preserve">same as before; but user should have been prompted to create a “combo variable”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2B53A5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{{defendantscaption_</w:t>
      </w:r>
      <w:r>
        <w:rPr>
          <w:highlight w:val="none"/>
          <w14:ligatures w14:val="none"/>
        </w:rPr>
        <w:t xml:space="preserve">derived}} – this should NOT add the spouse to the variable; but the plural one should.  E.g. it returns “Jane Smith” and NOT “John Smith and Jane Smith”  the opposite will be true in the plural document.</w:t>
      </w:r>
      <w:r>
        <w:rPr>
          <w:highlight w:val="none"/>
          <w14:ligatures w14:val="none"/>
        </w:rPr>
      </w:r>
    </w:p>
    <w:p w14:paraId="3BF4DDB4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&lt;&lt;jurisdiction_upper&gt;&gt; – e.g. DISTRICT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9F9960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&lt;&lt;venue_upper&gt;&gt; – e.g. selection was “Arthur” (or whatever) but should be ARTHUR COUNTY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2B5AC67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In the &lt;&lt;jurisdiction&gt;&gt; Court of &lt;&lt;venue&gt;&gt;, Nebraska. – to test if venue and jurisdiction are captured correctly from _upper tag test but applied appropriately later in the document.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DD2CDAC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My (@clients@) (@is_are@) ready to vindicate (@his_her_their@) rights – should appropriately pluralize: </w:t>
      </w:r>
      <w:r>
        <w:rPr>
          <w:highlight w:val="none"/>
        </w:rPr>
        <w:t xml:space="preserve">e.g. “My client is ready to vindicate his rights” (correct) vs. “My clients are ready to vindicate their rights”</w:t>
      </w:r>
      <w:r>
        <w:rPr>
          <w:highlight w:val="none"/>
        </w:rPr>
        <w:t xml:space="preserve"> (incorrect)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818343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D701255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My (@clients@) state(@standard-s_plural@) (@he_she_they@) (@have_has@) rights – should appropriately pluralize: </w:t>
      </w:r>
      <w:r>
        <w:rPr>
          <w:highlight w:val="none"/>
        </w:rPr>
        <w:t xml:space="preserve">e.g. “My clients state they have rights” (correct) vs. “My client states he has rights.”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09C2FC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DC2588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The token belonged to (@him_her_them) – should appropriately use correct pronoun, e.g. “The token belonged to him” vs. “The token belonged to them”; this is testing both singular as well as gender.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14B8D02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7F1FF6B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20D590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Table test: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05"/>
        <w:tblW w:w="80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6E97FA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{{plaintiffname}},</w:t>
              <w:br/>
              <w:br/>
              <w:tab/>
              <w:t xml:space="preserve">{{plaintiffplural_upper}},</w:t>
              <w:br/>
              <w:br/>
              <w:t xml:space="preserve">v.</w:t>
              <w:br/>
              <w:br/>
              <w:t xml:space="preserve">{{defendantscaption_derived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}},</w:t>
              <w:br/>
              <w:br/>
              <w:tab/>
              <w:t xml:space="preserve">{{defendantplural_upper}}.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6" w:type="dxa"/>
            <w:textDirection w:val="lrTb"/>
            <w:noWrap w:val="false"/>
          </w:tcPr>
          <w:p w14:paraId="36DCE0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425" w:type="dxa"/>
            <w:textDirection w:val="lrTb"/>
            <w:noWrap w:val="false"/>
          </w:tcPr>
          <w:p w14:paraId="53D91A2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Case No. CI {{XX25}}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/>
              <w:t xml:space="preserve">ENTRY OF APPEARANCE, ANSWER OF {{defendantplural_upper}}, &amp; AFFIRMATIVE DEFENSE{{affirmdefplrl_upper}}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65354DEC">
      <w:pPr>
        <w:pBdr/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D6975CF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This should fill without breaking the table and formatting.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8C3D7C3">
      <w:pPr>
        <w:pBdr/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1DC256C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B9F1AF9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Signature block test: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7729467">
      <w:pPr>
        <w:pBdr/>
        <w:spacing w:before="120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DATED this {{currentday}} day of {{currentmonth}}, {{year}}.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0B2ED4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Respectfully submitted,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34CDFA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Counsel for {{defendantplural}}: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669A0C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8EE955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4BDA49">
      <w:pPr>
        <w:pBdr/>
        <w:tabs>
          <w:tab w:val="left" w:leader="underscore" w:pos="7830"/>
        </w:tabs>
        <w:spacing w:after="0" w:line="240" w:lineRule="auto"/>
        <w:ind w:hanging="450" w:left="32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By: </w:t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EBC256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8A2534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Law Offices of Robert S. Gitmeid </w:t>
        <w:br/>
        <w:t xml:space="preserve">&amp; Assoc., PLLC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F7863B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180 Maiden Lane, 27th Floor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198D6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York, NY 10038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4D8BB3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Tel: (866) 707-4595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06030F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Fax: (855) 637-2499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95493D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christian.go@gitmeidlaw.com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C2C7BC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Our file number: {{CCID}}</w:t>
      </w:r>
      <w:r>
        <w:rPr>
          <w:rFonts w:ascii="Times New Roman" w:hAnsi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 w14:paraId="42D457D9">
      <w:pPr>
        <w:pBdr/>
        <w:spacing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B16BB7E">
      <w:pPr>
        <w:pBdr/>
        <w:spacing w:after="20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OF SERVICE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6BD3794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The undersigned hereby certifies that on {{currentmonth}}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{{currentday}}, {{year}}, a true and correct copy of this Entry of Appearance, Answer of {{defendantplural}}, &amp; Affirmative Defense{{affirmdefplrl}} was electronically filed in the &lt;&lt;jurisdiction&gt;&gt; Court of &lt;&lt;venue&gt;&gt;, with ((servmethod)) to the following: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4518DC9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A5EF00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22BB0F">
      <w:pPr>
        <w:pBdr/>
        <w:tabs>
          <w:tab w:val="left" w:leader="none" w:pos="4320"/>
          <w:tab w:val="left" w:leader="underscore" w:pos="79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((plaintifffirmname))</w:t>
        <w:tab/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E93724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((plaintiffattorneyfullname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_combo))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E3A86E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((plaintifffirmaddress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Counsel for {{defendantplural}}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7848D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((plaintifffirmSt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((plaintifffirmZip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5FEA4D">
      <w:pPr>
        <w:pBdr/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((plaintiffattorneyeserviceemail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80C3DF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((plaintiffbusPhone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63C9B3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((plaintifffaxPhone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73FE60">
      <w:pPr>
        <w:pBdr/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4B6564F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Test/review: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B6AC155">
      <w:pPr>
        <w:pStyle w:val="894"/>
        <w:numPr>
          <w:ilvl w:val="0"/>
          <w:numId w:val="2"/>
        </w:numPr>
        <w:pBdr/>
        <w:spacing/>
        <w:ind w:right="0"/>
        <w:rPr>
          <w:highlight w:val="none"/>
          <w14:ligatures w14:val="none"/>
        </w:rPr>
      </w:pPr>
      <w:r>
        <w:rPr>
          <w:highlight w:val="none"/>
        </w:rPr>
        <w:t xml:space="preserve">Ensure that the first sentence appropriately used the ordinal values (e.g. 1</w:t>
      </w:r>
      <w:r>
        <w:rPr>
          <w:b/>
          <w:bCs/>
          <w:highlight w:val="none"/>
        </w:rPr>
        <w:t xml:space="preserve">st</w:t>
      </w:r>
      <w:r>
        <w:rPr>
          <w:highlight w:val="none"/>
        </w:rPr>
        <w:t xml:space="preserve"> vs. 3</w:t>
      </w:r>
      <w:r>
        <w:rPr>
          <w:b/>
          <w:bCs/>
          <w:highlight w:val="none"/>
        </w:rPr>
        <w:t xml:space="preserve">rd</w:t>
      </w:r>
      <w:r>
        <w:rPr>
          <w:highlight w:val="none"/>
        </w:rPr>
        <w:t xml:space="preserve">);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9E1FDA3">
      <w:pPr>
        <w:pStyle w:val="894"/>
        <w:numPr>
          <w:ilvl w:val="0"/>
          <w:numId w:val="2"/>
        </w:numPr>
        <w:pBdr/>
        <w:spacing/>
        <w:ind w:right="0"/>
        <w:rPr>
          <w14:ligatures w14:val="none"/>
        </w:rPr>
      </w:pPr>
      <w:r>
        <w:rPr>
          <w:highlight w:val="none"/>
        </w:rPr>
        <w:t xml:space="preserve">Did the </w:t>
      </w:r>
      <w:r>
        <w:t xml:space="preserve">&lt;&lt;&gt;&gt; variables show up right?</w:t>
      </w:r>
      <w:r>
        <w:rPr>
          <w14:ligatures w14:val="none"/>
        </w:rPr>
      </w:r>
      <w:r>
        <w:rPr>
          <w14:ligatures w14:val="none"/>
        </w:rPr>
      </w:r>
    </w:p>
    <w:p w14:paraId="470A4B8A">
      <w:pPr>
        <w:pStyle w:val="894"/>
        <w:numPr>
          <w:ilvl w:val="0"/>
          <w:numId w:val="2"/>
        </w:numPr>
        <w:pBdr/>
        <w:spacing/>
        <w:ind w:right="0"/>
        <w:rPr>
          <w14:ligatures w14:val="none"/>
        </w:rPr>
      </w:pPr>
      <w:r>
        <w:rPr>
          <w:highlight w:val="none"/>
        </w:rPr>
        <w:t xml:space="preserve">Did the correct attorney table variables fill in?</w:t>
      </w:r>
      <w:r>
        <w:rPr>
          <w14:ligatures w14:val="none"/>
        </w:rPr>
      </w:r>
      <w:r>
        <w:rPr>
          <w14:ligatures w14:val="none"/>
        </w:rPr>
      </w:r>
    </w:p>
    <w:p w14:paraId="5274027D">
      <w:pPr>
        <w:pStyle w:val="894"/>
        <w:numPr>
          <w:ilvl w:val="0"/>
          <w:numId w:val="2"/>
        </w:numPr>
        <w:pBdr/>
        <w:spacing/>
        <w:ind w:right="0"/>
        <w:rPr>
          <w14:ligatures w14:val="none"/>
        </w:rPr>
      </w:pPr>
      <w:r>
        <w:rPr>
          <w:highlight w:val="none"/>
        </w:rPr>
        <w:t xml:space="preserve">If the client did not have an assigned attorney, did it prompt the user to assign one or create one?</w:t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2160" w:right="2160" w:bottom="2160" w:left="21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735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55C4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2026-02-04T20:21:52Z</dcterms:modified>
</cp:coreProperties>
</file>