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pPr>
    </w:p>
    <w:p>
      <w:pPr>
        <w:spacing w:after="100"/>
      </w:pPr>
      <w:r>
        <w:rPr>
          <w:rFonts w:ascii="Arial" w:cs="Arial" w:eastAsia="Arial" w:hAnsi="Arial"/>
          <w:b/>
          <w:bCs/>
          <w:color w:val="1B3A6B"/>
          <w:sz w:val="48"/>
          <w:szCs w:val="48"/>
        </w:rPr>
        <w:t xml:space="preserve">RAG Boilerplate</w:t>
      </w:r>
    </w:p>
    <w:p>
      <w:pPr>
        <w:spacing w:after="360"/>
      </w:pPr>
      <w:r>
        <w:rPr>
          <w:rFonts w:ascii="Arial" w:cs="Arial" w:eastAsia="Arial" w:hAnsi="Arial"/>
          <w:b/>
          <w:bCs/>
          <w:color w:val="2E86C1"/>
          <w:sz w:val="60"/>
          <w:szCs w:val="60"/>
        </w:rPr>
        <w:t xml:space="preserve">Vertical ICP Analysis — Developer Lens</w:t>
      </w:r>
    </w:p>
    <w:p>
      <w:pPr>
        <w:pBdr>
          <w:bottom w:val="single" w:color="2E86C1" w:sz="8"/>
        </w:pBdr>
        <w:spacing w:after="360"/>
      </w:pPr>
    </w:p>
    <w:p>
      <w:pPr>
        <w:spacing w:before="160"/>
      </w:pPr>
    </w:p>
    <w:p>
      <w:pPr>
        <w:spacing w:before="60" w:after="100"/>
      </w:pPr>
      <w:r>
        <w:rPr>
          <w:rFonts w:ascii="Arial" w:cs="Arial" w:eastAsia="Arial" w:hAnsi="Arial"/>
          <w:color w:val="1C1C1C"/>
          <w:sz w:val="20"/>
          <w:szCs w:val="20"/>
        </w:rPr>
        <w:t xml:space="preserve">Which vertical should this boilerplate be positioned for — not as a SaaS product to sell to end users, but as a developer tool? Who is the developer buying the boilerplate, what community do they live in, and what vertical-specific scaffolding makes the kit genuinely more valuable than a generic RAG starter?</w:t>
      </w:r>
    </w:p>
    <w:p>
      <w:pPr>
        <w:spacing w:before="80"/>
      </w:pPr>
    </w:p>
    <w:p>
      <w:pPr>
        <w:spacing w:before="60" w:after="100"/>
      </w:pPr>
      <w:r>
        <w:rPr>
          <w:rFonts w:ascii="Arial" w:cs="Arial" w:eastAsia="Arial" w:hAnsi="Arial"/>
          <w:color w:val="5D6D7E"/>
          <w:sz w:val="20"/>
          <w:szCs w:val="20"/>
        </w:rPr>
        <w:t xml:space="preserve">February 2026 · Tier Tech International / Internal Strategy</w:t>
      </w:r>
    </w:p>
    <w:p>
      <w:r>
        <w:br w:type="page"/>
      </w:r>
    </w:p>
    <w:p>
      <w:pPr>
        <w:pStyle w:val="Heading1"/>
        <w:spacing w:before="320" w:after="160"/>
      </w:pPr>
      <w:r>
        <w:rPr>
          <w:rFonts w:ascii="Arial" w:cs="Arial" w:eastAsia="Arial" w:hAnsi="Arial"/>
          <w:b/>
          <w:bCs/>
          <w:color w:val="1B3A6B"/>
          <w:sz w:val="36"/>
          <w:szCs w:val="36"/>
        </w:rPr>
        <w:t xml:space="preserve">The Right Question</w:t>
      </w:r>
    </w:p>
    <w:p>
      <w:pPr>
        <w:spacing w:before="60" w:after="100"/>
      </w:pPr>
      <w:r>
        <w:rPr>
          <w:rFonts w:ascii="Arial" w:cs="Arial" w:eastAsia="Arial" w:hAnsi="Arial"/>
          <w:color w:val="1C1C1C"/>
          <w:sz w:val="20"/>
          <w:szCs w:val="20"/>
        </w:rPr>
        <w:t xml:space="preserve">The previous analysis (v1) asked: "which vertical has the best end-market opportunity for a SaaS product?" This document asks a different question: "which vertical should the boilerplate itself be marketed toward?" These are related but distinct.</w:t>
      </w:r>
    </w:p>
    <w:p>
      <w:pPr>
        <w:spacing w:before="80"/>
      </w:pPr>
    </w:p>
    <w:p>
      <w:pPr>
        <w:spacing w:before="60" w:after="100"/>
      </w:pPr>
      <w:r>
        <w:rPr>
          <w:rFonts w:ascii="Arial" w:cs="Arial" w:eastAsia="Arial" w:hAnsi="Arial"/>
          <w:color w:val="1C1C1C"/>
          <w:sz w:val="20"/>
          <w:szCs w:val="20"/>
        </w:rPr>
        <w:t xml:space="preserve">When the buyer is a developer building a vertical product, the scoring criteria change entirely:</w:t>
      </w:r>
    </w:p>
    <w:p>
      <w:pPr>
        <w:spacing w:before="40"/>
      </w:pPr>
    </w:p>
    <w:p>
      <w:pPr>
        <w:pStyle w:val="ListParagraph"/>
        <w:numPr>
          <w:ilvl w:val="0"/>
          <w:numId w:val="2"/>
        </w:numPr>
        <w:spacing w:before="40" w:after="50"/>
      </w:pPr>
      <w:r>
        <w:rPr>
          <w:rFonts w:ascii="Arial" w:cs="Arial" w:eastAsia="Arial" w:hAnsi="Arial"/>
          <w:color w:val="1C1C1C"/>
          <w:sz w:val="19"/>
          <w:szCs w:val="19"/>
        </w:rPr>
        <w:t xml:space="preserve">Dev Ecosystem Activity — are there enough commercially-motivated developers building in this vertical to constitute a reachable buyer audience?</w:t>
      </w:r>
    </w:p>
    <w:p>
      <w:pPr>
        <w:pStyle w:val="ListParagraph"/>
        <w:numPr>
          <w:ilvl w:val="0"/>
          <w:numId w:val="2"/>
        </w:numPr>
        <w:spacing w:before="40" w:after="50"/>
      </w:pPr>
      <w:r>
        <w:rPr>
          <w:rFonts w:ascii="Arial" w:cs="Arial" w:eastAsia="Arial" w:hAnsi="Arial"/>
          <w:color w:val="1C1C1C"/>
          <w:sz w:val="19"/>
          <w:szCs w:val="19"/>
        </w:rPr>
        <w:t xml:space="preserve">Demo Appeal — does the boilerplate ship with a demo that makes developers say "I need this"?</w:t>
      </w:r>
    </w:p>
    <w:p>
      <w:pPr>
        <w:pStyle w:val="ListParagraph"/>
        <w:numPr>
          <w:ilvl w:val="0"/>
          <w:numId w:val="2"/>
        </w:numPr>
        <w:spacing w:before="40" w:after="50"/>
      </w:pPr>
      <w:r>
        <w:rPr>
          <w:rFonts w:ascii="Arial" w:cs="Arial" w:eastAsia="Arial" w:hAnsi="Arial"/>
          <w:color w:val="1C1C1C"/>
          <w:sz w:val="19"/>
          <w:szCs w:val="19"/>
        </w:rPr>
        <w:t xml:space="preserve">Differentiation — does a vertical-flavored RAG boilerplate offer meaningfully more than a generic one, or is the use case already in every tutorial?</w:t>
      </w:r>
    </w:p>
    <w:p>
      <w:pPr>
        <w:pStyle w:val="ListParagraph"/>
        <w:numPr>
          <w:ilvl w:val="0"/>
          <w:numId w:val="2"/>
        </w:numPr>
        <w:spacing w:before="40" w:after="50"/>
      </w:pPr>
      <w:r>
        <w:rPr>
          <w:rFonts w:ascii="Arial" w:cs="Arial" w:eastAsia="Arial" w:hAnsi="Arial"/>
          <w:color w:val="1C1C1C"/>
          <w:sz w:val="19"/>
          <w:szCs w:val="19"/>
        </w:rPr>
        <w:t xml:space="preserve">Starter Template Fit — how much vertical-specific scaffolding (schemas, sample docs, prompts) can be pre-built, saving the developer hours?</w:t>
      </w:r>
    </w:p>
    <w:p>
      <w:pPr>
        <w:pStyle w:val="ListParagraph"/>
        <w:numPr>
          <w:ilvl w:val="0"/>
          <w:numId w:val="2"/>
        </w:numPr>
        <w:spacing w:before="40" w:after="50"/>
      </w:pPr>
      <w:r>
        <w:rPr>
          <w:rFonts w:ascii="Arial" w:cs="Arial" w:eastAsia="Arial" w:hAnsi="Arial"/>
          <w:color w:val="1C1C1C"/>
          <w:sz w:val="19"/>
          <w:szCs w:val="19"/>
        </w:rPr>
        <w:t xml:space="preserve">Buyer Reach — where do developers building for this vertical congregate, and can they be reached at low cost?</w:t>
      </w:r>
    </w:p>
    <w:p>
      <w:pPr>
        <w:spacing w:before="120"/>
      </w:pPr>
    </w:p>
    <w:p>
      <w:pPr>
        <w:spacing w:before="60" w:after="100"/>
      </w:pPr>
      <w:r>
        <w:rPr>
          <w:rFonts w:ascii="Arial" w:cs="Arial" w:eastAsia="Arial" w:hAnsi="Arial"/>
          <w:color w:val="1B3A6B"/>
          <w:sz w:val="20"/>
          <w:szCs w:val="20"/>
        </w:rPr>
        <w:t xml:space="preserve">The buyer is not a real estate agent or an attorney. The buyer is a developer who wants to build a tool for real estate agents or attorneys — and wants a starting point that speaks their language and solves their document problem out of the box.</w:t>
      </w:r>
    </w:p>
    <w:p>
      <w:pPr>
        <w:spacing w:before="200"/>
      </w:pPr>
    </w:p>
    <w:p>
      <w:pPr>
        <w:pStyle w:val="Heading2"/>
        <w:pBdr>
          <w:bottom w:val="single" w:color="2E86C1" w:sz="4" w:space="4"/>
        </w:pBdr>
        <w:spacing w:before="240" w:after="100"/>
      </w:pPr>
      <w:r>
        <w:rPr>
          <w:rFonts w:ascii="Arial" w:cs="Arial" w:eastAsia="Arial" w:hAnsi="Arial"/>
          <w:b/>
          <w:bCs/>
          <w:color w:val="1B3A6B"/>
          <w:sz w:val="26"/>
          <w:szCs w:val="26"/>
        </w:rPr>
        <w:t xml:space="preserve">Verdict Guide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single" w:color="C5D3E0" w:sz="1"/>
              <w:left w:val="single" w:color="C5D3E0" w:sz="1"/>
              <w:bottom w:val="single" w:color="C5D3E0" w:sz="1"/>
              <w:right w:val="single" w:color="C5D3E0" w:sz="1"/>
            </w:tcBorders>
            <w:shd w:fill="1A7A4A"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TOP PICK</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High dev activity, compelling demo, strong differentiation — lead with this vertical in your marketing</w:t>
            </w:r>
          </w:p>
        </w:tc>
      </w:tr>
      <w:tr>
        <w:tc>
          <w:tcPr>
            <w:tcBorders>
              <w:top w:val="single" w:color="C5D3E0" w:sz="1"/>
              <w:left w:val="single" w:color="C5D3E0" w:sz="1"/>
              <w:bottom w:val="single" w:color="C5D3E0" w:sz="1"/>
              <w:right w:val="single" w:color="C5D3E0" w:sz="1"/>
            </w:tcBorders>
            <w:shd w:fill="2E86C1"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STRONG</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Good fit with one or two meaningful caveats — excellent secondary positioning</w:t>
            </w:r>
          </w:p>
        </w:tc>
      </w:tr>
      <w:tr>
        <w:tc>
          <w:tcPr>
            <w:tcBorders>
              <w:top w:val="single" w:color="C5D3E0" w:sz="1"/>
              <w:left w:val="single" w:color="C5D3E0" w:sz="1"/>
              <w:bottom w:val="single" w:color="C5D3E0" w:sz="1"/>
              <w:right w:val="single" w:color="C5D3E0" w:sz="1"/>
            </w:tcBorders>
            <w:shd w:fill="6C3483"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SOLID</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Viable with the right angle — worth supporting but not the headline vertical</w:t>
            </w:r>
          </w:p>
        </w:tc>
      </w:tr>
      <w:tr>
        <w:tc>
          <w:tcPr>
            <w:tcBorders>
              <w:top w:val="single" w:color="C5D3E0" w:sz="1"/>
              <w:left w:val="single" w:color="C5D3E0" w:sz="1"/>
              <w:bottom w:val="single" w:color="C5D3E0" w:sz="1"/>
              <w:right w:val="single" w:color="C5D3E0" w:sz="1"/>
            </w:tcBorders>
            <w:shd w:fill="C07A00"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CONSIDER</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Has real merit but differentiation is weak — requires a more specific sub-niche focus</w:t>
            </w:r>
          </w:p>
        </w:tc>
      </w:tr>
      <w:tr>
        <w:tc>
          <w:tcPr>
            <w:tcBorders>
              <w:top w:val="single" w:color="C5D3E0" w:sz="1"/>
              <w:left w:val="single" w:color="C5D3E0" w:sz="1"/>
              <w:bottom w:val="single" w:color="C5D3E0" w:sz="1"/>
              <w:right w:val="single" w:color="C5D3E0" w:sz="1"/>
            </w:tcBorders>
            <w:shd w:fill="C0392B"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SKIP</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Either too generic, wrong buyer profile, or too competitive for a vertical boilerplate to differentiate</w:t>
            </w:r>
          </w:p>
        </w:tc>
      </w:tr>
    </w:tbl>
    <w:p>
      <w:pPr>
        <w:spacing w:before="200"/>
      </w:pPr>
    </w:p>
    <w:p>
      <w:pPr>
        <w:pStyle w:val="Heading2"/>
        <w:pBdr>
          <w:bottom w:val="single" w:color="2E86C1" w:sz="4" w:space="4"/>
        </w:pBdr>
        <w:spacing w:before="240" w:after="100"/>
      </w:pPr>
      <w:r>
        <w:rPr>
          <w:rFonts w:ascii="Arial" w:cs="Arial" w:eastAsia="Arial" w:hAnsi="Arial"/>
          <w:b/>
          <w:bCs/>
          <w:color w:val="1B3A6B"/>
          <w:sz w:val="26"/>
          <w:szCs w:val="26"/>
        </w:rPr>
        <w:t xml:space="preserve">Scoring Criteria</w:t>
      </w:r>
    </w:p>
    <w:p>
      <w:pPr>
        <w:spacing w:before="60" w:after="100"/>
      </w:pPr>
      <w:r>
        <w:rPr>
          <w:rFonts w:ascii="Arial" w:cs="Arial" w:eastAsia="Arial" w:hAnsi="Arial"/>
          <w:color w:val="1C1C1C"/>
          <w:sz w:val="20"/>
          <w:szCs w:val="20"/>
        </w:rPr>
        <w:t xml:space="preserve">All seven criteria are scored 1–5 and weighted equally. Scores reflect the experience of a solo developer publishing a vertical RAG boilerplate and selling it to other developers.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Criterion</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What It Measures for the Boilerplate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Score 5</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Score 1</w:t>
            </w:r>
          </w:p>
        </w:tc>
      </w:tr>
      <w:tr>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bCs/>
                <w:color w:val="1B3A6B"/>
                <w:sz w:val="18"/>
                <w:szCs w:val="18"/>
              </w:rPr>
              <w:t xml:space="preserve">Dev Ecosystem</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How many developers are actively building products in this vertical? (More devs = more potential buyers)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Large, commercially-motivated dev community actively building vertical products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Tiny or grant/civic-motivated community with few commercial builders</w:t>
            </w:r>
          </w:p>
        </w:tc>
      </w:tr>
      <w:tr>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bCs/>
                <w:color w:val="1B3A6B"/>
                <w:sz w:val="18"/>
                <w:szCs w:val="18"/>
              </w:rPr>
              <w:t xml:space="preserve">Demo Appeal</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How compelling and shareable is the example use case that ships with the boilerplate?</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Instantly obvious value; strong "demo moment" non-developers also understand</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Abstract or niche; hard to show value quickly in a Product Hunt post or tweet</w:t>
            </w:r>
          </w:p>
        </w:tc>
      </w:tr>
      <w:tr>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bCs/>
                <w:color w:val="1B3A6B"/>
                <w:sz w:val="18"/>
                <w:szCs w:val="18"/>
              </w:rPr>
              <w:t xml:space="preserve">Doc Clarity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How well-defined and uniform is the document type? Can a clean template be pre-built?</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Standard document formats (leases, contracts) with consistent structure across instances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Highly variable doc types; complex tables/drawings; no standard structure</w:t>
            </w:r>
          </w:p>
        </w:tc>
      </w:tr>
      <w:tr>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bCs/>
                <w:color w:val="1B3A6B"/>
                <w:sz w:val="18"/>
                <w:szCs w:val="18"/>
              </w:rPr>
              <w:t xml:space="preserve">Template Fit</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How much vertical-specific scaffolding (schemas, sample docs, prompts) can ship in the boilerplate?</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Rich starter: sample docs, pre-built metadata schema, vertical-aware prompts ready to use</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Generic content only; little value added by vertical scaffolding vs baseline boilerplate</w:t>
            </w:r>
          </w:p>
        </w:tc>
      </w:tr>
      <w:tr>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bCs/>
                <w:color w:val="1B3A6B"/>
                <w:sz w:val="18"/>
                <w:szCs w:val="18"/>
              </w:rPr>
              <w:t xml:space="preserve">Search Demand</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Are developers actively searching for "RAG for [vertical]" or "[vertical] AI document tool"?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High search volume; developers actively seeking a vertical-specific solution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No meaningful search demand; developers don't think vertically about this problem yet</w:t>
            </w:r>
          </w:p>
        </w:tc>
      </w:tr>
      <w:tr>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bCs/>
                <w:color w:val="1B3A6B"/>
                <w:sz w:val="18"/>
                <w:szCs w:val="18"/>
              </w:rPr>
              <w:t xml:space="preserve">Buyer Reach</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Are the developers who would buy this boilerplate reachable through known channels?</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Active communities on Product Hunt, GitHub, Indie Hackers, or vertical-specific forums</w:t>
            </w:r>
          </w:p>
        </w:tc>
        <w:tc>
          <w:tcPr>
            <w:tcBorders>
              <w:top w:val="single" w:color="C5D3E0" w:sz="1"/>
              <w:left w:val="single" w:color="C5D3E0" w:sz="1"/>
              <w:bottom w:val="single" w:color="C5D3E0" w:sz="1"/>
              <w:right w:val="single" w:color="C5D3E0" w:sz="1"/>
            </w:tcBorders>
            <w:shd w:fill="F5F8FC" w:val="clear"/>
            <w:tcMar>
              <w:top w:type="dxa" w:w="55"/>
              <w:left w:type="dxa" w:w="110"/>
              <w:bottom w:type="dxa" w:w="55"/>
              <w:right w:type="dxa" w:w="110"/>
            </w:tcMar>
          </w:tcPr>
          <w:p>
            <w:r>
              <w:rPr>
                <w:rFonts w:ascii="Arial" w:cs="Arial" w:eastAsia="Arial" w:hAnsi="Arial"/>
                <w:b w:val="false"/>
                <w:bCs w:val="false"/>
                <w:color w:val="1C1C1C"/>
                <w:sz w:val="18"/>
                <w:szCs w:val="18"/>
              </w:rPr>
              <w:t xml:space="preserve">No consolidated community; cold outreach only</w:t>
            </w:r>
          </w:p>
        </w:tc>
      </w:tr>
      <w:tr>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How meaningfully different is a vertical-flavored boilerplate vs a generic RAG kit?</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Vertical document structure so specialized that generic kits clearly fall short</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b w:val="false"/>
                <w:bCs w:val="false"/>
                <w:color w:val="1C1C1C"/>
                <w:sz w:val="18"/>
                <w:szCs w:val="18"/>
              </w:rPr>
              <w:t xml:space="preserve">Use case already covered by generic RAG tutorials and demo apps; no differentiation</w:t>
            </w:r>
          </w:p>
        </w:tc>
      </w:tr>
    </w:tbl>
    <w:p>
      <w:r>
        <w:br w:type="page"/>
      </w:r>
    </w:p>
    <w:p>
      <w:pPr>
        <w:pStyle w:val="Heading1"/>
        <w:spacing w:before="320" w:after="160"/>
      </w:pPr>
      <w:r>
        <w:rPr>
          <w:rFonts w:ascii="Arial" w:cs="Arial" w:eastAsia="Arial" w:hAnsi="Arial"/>
          <w:b/>
          <w:bCs/>
          <w:color w:val="1B3A6B"/>
          <w:sz w:val="36"/>
          <w:szCs w:val="36"/>
        </w:rPr>
        <w:t xml:space="preserve">Vertical Comparison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40"/>
        <w:gridCol w:w="640"/>
        <w:gridCol w:w="640"/>
        <w:gridCol w:w="640"/>
        <w:gridCol w:w="700"/>
        <w:gridCol w:w="640"/>
        <w:gridCol w:w="780"/>
        <w:gridCol w:w="620"/>
        <w:gridCol w:w="9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Vertical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Dev Ecosystem</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Demo Appeal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Doc Clarity</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Template Fit</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Search Demand</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Buyer Reach</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Differentiation</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Total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Verdict</w:t>
            </w:r>
          </w:p>
        </w:tc>
      </w:tr>
      <w:tr>
        <w:tc>
          <w:tcPr>
            <w:gridSpan w:val="10"/>
            <w:tcBorders>
              <w:top w:val="single" w:color="C5D3E0" w:sz="1"/>
              <w:left w:val="single" w:color="C5D3E0" w:sz="1"/>
              <w:bottom w:val="single" w:color="C5D3E0" w:sz="1"/>
              <w:right w:val="single" w:color="C5D3E0" w:sz="1"/>
            </w:tcBorders>
            <w:shd w:fill="D6E4F0" w:val="clear"/>
            <w:tcMar>
              <w:top w:type="dxa" w:w="50"/>
              <w:left w:type="dxa" w:w="110"/>
              <w:bottom w:type="dxa" w:w="50"/>
              <w:right w:type="dxa" w:w="110"/>
            </w:tcMar>
          </w:tcPr>
          <w:p>
            <w:r>
              <w:rPr>
                <w:rFonts w:ascii="Arial" w:cs="Arial" w:eastAsia="Arial" w:hAnsi="Arial"/>
                <w:color w:val="5D6D7E"/>
                <w:sz w:val="17"/>
                <w:szCs w:val="17"/>
              </w:rPr>
              <w:t xml:space="preserve">Scores 1–5 from the developer/boilerplate-buyer perspective. Total out of 35.</w:t>
            </w:r>
          </w:p>
        </w:tc>
      </w:tr>
      <w:tr>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r>
              <w:rPr>
                <w:rFonts w:ascii="Arial" w:cs="Arial" w:eastAsia="Arial" w:hAnsi="Arial"/>
                <w:b/>
                <w:bCs/>
                <w:color w:val="1B3A6B"/>
                <w:sz w:val="20"/>
                <w:szCs w:val="20"/>
              </w:rPr>
              <w:t xml:space="preserve">PropTech / Real Estate</w:t>
            </w:r>
          </w:p>
          <w:p>
            <w:r>
              <w:rPr>
                <w:rFonts w:ascii="Arial" w:cs="Arial" w:eastAsia="Arial" w:hAnsi="Arial"/>
                <w:color w:val="5D6D7E"/>
                <w:sz w:val="16"/>
                <w:szCs w:val="16"/>
              </w:rPr>
              <w:t xml:space="preserve">Developers building tools for agents, property managers, landlords</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1A7A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33/35</w:t>
            </w:r>
          </w:p>
        </w:tc>
        <w:tc>
          <w:tcPr>
            <w:tcBorders>
              <w:top w:val="single" w:color="C5D3E0" w:sz="1"/>
              <w:left w:val="single" w:color="C5D3E0" w:sz="1"/>
              <w:bottom w:val="single" w:color="C5D3E0" w:sz="1"/>
              <w:right w:val="single" w:color="C5D3E0" w:sz="1"/>
            </w:tcBorders>
            <w:shd w:fill="1A7A4A"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TOP PICK</w:t>
            </w:r>
          </w:p>
        </w:tc>
      </w:tr>
      <w:tr>
        <w:tc>
          <w:tcPr>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r>
              <w:rPr>
                <w:rFonts w:ascii="Arial" w:cs="Arial" w:eastAsia="Arial" w:hAnsi="Arial"/>
                <w:b/>
                <w:bCs/>
                <w:color w:val="1B3A6B"/>
                <w:sz w:val="20"/>
                <w:szCs w:val="20"/>
              </w:rPr>
              <w:t xml:space="preserve">LegalTech</w:t>
            </w:r>
          </w:p>
          <w:p>
            <w:r>
              <w:rPr>
                <w:rFonts w:ascii="Arial" w:cs="Arial" w:eastAsia="Arial" w:hAnsi="Arial"/>
                <w:color w:val="5D6D7E"/>
                <w:sz w:val="16"/>
                <w:szCs w:val="16"/>
              </w:rPr>
              <w:t xml:space="preserve">Developers building tools for law firms, legal ops, and contract management</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1A7A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32/35</w:t>
            </w:r>
          </w:p>
        </w:tc>
        <w:tc>
          <w:tcPr>
            <w:tcBorders>
              <w:top w:val="single" w:color="C5D3E0" w:sz="1"/>
              <w:left w:val="single" w:color="C5D3E0" w:sz="1"/>
              <w:bottom w:val="single" w:color="C5D3E0" w:sz="1"/>
              <w:right w:val="single" w:color="C5D3E0" w:sz="1"/>
            </w:tcBorders>
            <w:shd w:fill="1A7A4A"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TOP PICK</w:t>
            </w:r>
          </w:p>
        </w:tc>
      </w:tr>
      <w:tr>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r>
              <w:rPr>
                <w:rFonts w:ascii="Arial" w:cs="Arial" w:eastAsia="Arial" w:hAnsi="Arial"/>
                <w:b/>
                <w:bCs/>
                <w:color w:val="1B3A6B"/>
                <w:sz w:val="20"/>
                <w:szCs w:val="20"/>
              </w:rPr>
              <w:t xml:space="preserve">InsurTech</w:t>
            </w:r>
          </w:p>
          <w:p>
            <w:r>
              <w:rPr>
                <w:rFonts w:ascii="Arial" w:cs="Arial" w:eastAsia="Arial" w:hAnsi="Arial"/>
                <w:color w:val="5D6D7E"/>
                <w:sz w:val="16"/>
                <w:szCs w:val="16"/>
              </w:rPr>
              <w:t xml:space="preserve">Developers building tools for insurance agencies, brokers, and carriers</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1A7A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27/35</w:t>
            </w:r>
          </w:p>
        </w:tc>
        <w:tc>
          <w:tcPr>
            <w:tcBorders>
              <w:top w:val="single" w:color="C5D3E0" w:sz="1"/>
              <w:left w:val="single" w:color="C5D3E0" w:sz="1"/>
              <w:bottom w:val="single" w:color="C5D3E0" w:sz="1"/>
              <w:right w:val="single" w:color="C5D3E0" w:sz="1"/>
            </w:tcBorders>
            <w:shd w:fill="2E86C1"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STRONG</w:t>
            </w:r>
          </w:p>
        </w:tc>
      </w:tr>
      <w:tr>
        <w:tc>
          <w:tcPr>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r>
              <w:rPr>
                <w:rFonts w:ascii="Arial" w:cs="Arial" w:eastAsia="Arial" w:hAnsi="Arial"/>
                <w:b/>
                <w:bCs/>
                <w:color w:val="1B3A6B"/>
                <w:sz w:val="20"/>
                <w:szCs w:val="20"/>
              </w:rPr>
              <w:t xml:space="preserve">ConTech / Construction</w:t>
            </w:r>
          </w:p>
          <w:p>
            <w:r>
              <w:rPr>
                <w:rFonts w:ascii="Arial" w:cs="Arial" w:eastAsia="Arial" w:hAnsi="Arial"/>
                <w:color w:val="5D6D7E"/>
                <w:sz w:val="16"/>
                <w:szCs w:val="16"/>
              </w:rPr>
              <w:t xml:space="preserve">Developers building tools for general contractors, project managers, engineers</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C07A0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23/35</w:t>
            </w:r>
          </w:p>
        </w:tc>
        <w:tc>
          <w:tcPr>
            <w:tcBorders>
              <w:top w:val="single" w:color="C5D3E0" w:sz="1"/>
              <w:left w:val="single" w:color="C5D3E0" w:sz="1"/>
              <w:bottom w:val="single" w:color="C5D3E0" w:sz="1"/>
              <w:right w:val="single" w:color="C5D3E0" w:sz="1"/>
            </w:tcBorders>
            <w:shd w:fill="6C3483"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SOLID</w:t>
            </w:r>
          </w:p>
        </w:tc>
      </w:tr>
      <w:tr>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r>
              <w:rPr>
                <w:rFonts w:ascii="Arial" w:cs="Arial" w:eastAsia="Arial" w:hAnsi="Arial"/>
                <w:b/>
                <w:bCs/>
                <w:color w:val="1B3A6B"/>
                <w:sz w:val="20"/>
                <w:szCs w:val="20"/>
              </w:rPr>
              <w:t xml:space="preserve">EdTech / E-Learning</w:t>
            </w:r>
          </w:p>
          <w:p>
            <w:r>
              <w:rPr>
                <w:rFonts w:ascii="Arial" w:cs="Arial" w:eastAsia="Arial" w:hAnsi="Arial"/>
                <w:color w:val="5D6D7E"/>
                <w:sz w:val="16"/>
                <w:szCs w:val="16"/>
              </w:rPr>
              <w:t xml:space="preserve">Developers building AI tutors, course assistants, and institutional knowledge tools</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1A7A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29/35</w:t>
            </w:r>
          </w:p>
        </w:tc>
        <w:tc>
          <w:tcPr>
            <w:tcBorders>
              <w:top w:val="single" w:color="C5D3E0" w:sz="1"/>
              <w:left w:val="single" w:color="C5D3E0" w:sz="1"/>
              <w:bottom w:val="single" w:color="C5D3E0" w:sz="1"/>
              <w:right w:val="single" w:color="C5D3E0" w:sz="1"/>
            </w:tcBorders>
            <w:shd w:fill="C07A00"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CONSIDER</w:t>
            </w:r>
          </w:p>
        </w:tc>
      </w:tr>
      <w:tr>
        <w:tc>
          <w:tcPr>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r>
              <w:rPr>
                <w:rFonts w:ascii="Arial" w:cs="Arial" w:eastAsia="Arial" w:hAnsi="Arial"/>
                <w:b/>
                <w:bCs/>
                <w:color w:val="1B3A6B"/>
                <w:sz w:val="20"/>
                <w:szCs w:val="20"/>
              </w:rPr>
              <w:t xml:space="preserve">GovTech / Public Sector</w:t>
            </w:r>
          </w:p>
          <w:p>
            <w:r>
              <w:rPr>
                <w:rFonts w:ascii="Arial" w:cs="Arial" w:eastAsia="Arial" w:hAnsi="Arial"/>
                <w:color w:val="5D6D7E"/>
                <w:sz w:val="16"/>
                <w:szCs w:val="16"/>
              </w:rPr>
              <w:t xml:space="preserve">Developers building tools for government agencies, municipalities, compliance teams</w:t>
            </w:r>
          </w:p>
        </w:tc>
        <w:tc>
          <w:tcPr>
            <w:gridSpan w:val="1"/>
            <w:tcBorders>
              <w:top w:val="single" w:color="C5D3E0" w:sz="1"/>
              <w:left w:val="single" w:color="C5D3E0" w:sz="1"/>
              <w:bottom w:val="single" w:color="C5D3E0" w:sz="1"/>
              <w:right w:val="single" w:color="C5D3E0" w:sz="1"/>
            </w:tcBorders>
            <w:shd w:fill="FDDCDC" w:val="clear"/>
            <w:tcMar>
              <w:top w:type="dxa" w:w="70"/>
              <w:left w:type="dxa" w:w="110"/>
              <w:bottom w:type="dxa" w:w="70"/>
              <w:right w:type="dxa" w:w="11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DDCDC" w:val="clear"/>
            <w:tcMar>
              <w:top w:type="dxa" w:w="70"/>
              <w:left w:type="dxa" w:w="110"/>
              <w:bottom w:type="dxa" w:w="70"/>
              <w:right w:type="dxa" w:w="11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FDDCDC" w:val="clear"/>
            <w:tcMar>
              <w:top w:type="dxa" w:w="70"/>
              <w:left w:type="dxa" w:w="110"/>
              <w:bottom w:type="dxa" w:w="70"/>
              <w:right w:type="dxa" w:w="11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C0392B"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20/35</w:t>
            </w:r>
          </w:p>
        </w:tc>
        <w:tc>
          <w:tcPr>
            <w:tcBorders>
              <w:top w:val="single" w:color="C5D3E0" w:sz="1"/>
              <w:left w:val="single" w:color="C5D3E0" w:sz="1"/>
              <w:bottom w:val="single" w:color="C5D3E0" w:sz="1"/>
              <w:right w:val="single" w:color="C5D3E0"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SKIP</w:t>
            </w:r>
          </w:p>
        </w:tc>
      </w:tr>
      <w:tr>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r>
              <w:rPr>
                <w:rFonts w:ascii="Arial" w:cs="Arial" w:eastAsia="Arial" w:hAnsi="Arial"/>
                <w:b/>
                <w:bCs/>
                <w:color w:val="1B3A6B"/>
                <w:sz w:val="20"/>
                <w:szCs w:val="20"/>
              </w:rPr>
              <w:t xml:space="preserve">HealthTech (non-HIPAA)</w:t>
            </w:r>
          </w:p>
          <w:p>
            <w:r>
              <w:rPr>
                <w:rFonts w:ascii="Arial" w:cs="Arial" w:eastAsia="Arial" w:hAnsi="Arial"/>
                <w:color w:val="5D6D7E"/>
                <w:sz w:val="16"/>
                <w:szCs w:val="16"/>
              </w:rPr>
              <w:t xml:space="preserve">Developers building wellness, nutrition, fitness, or patient-education tools</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3C7" w:val="clear"/>
            <w:tcMar>
              <w:top w:type="dxa" w:w="70"/>
              <w:left w:type="dxa" w:w="110"/>
              <w:bottom w:type="dxa" w:w="70"/>
              <w:right w:type="dxa" w:w="11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C07A0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23/35</w:t>
            </w:r>
          </w:p>
        </w:tc>
        <w:tc>
          <w:tcPr>
            <w:tcBorders>
              <w:top w:val="single" w:color="C5D3E0" w:sz="1"/>
              <w:left w:val="single" w:color="C5D3E0" w:sz="1"/>
              <w:bottom w:val="single" w:color="C5D3E0" w:sz="1"/>
              <w:right w:val="single" w:color="C5D3E0"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SKIP</w:t>
            </w:r>
          </w:p>
        </w:tc>
      </w:tr>
      <w:tr>
        <w:tc>
          <w:tcPr>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r>
              <w:rPr>
                <w:rFonts w:ascii="Arial" w:cs="Arial" w:eastAsia="Arial" w:hAnsi="Arial"/>
                <w:b/>
                <w:bCs/>
                <w:color w:val="1B3A6B"/>
                <w:sz w:val="20"/>
                <w:szCs w:val="20"/>
              </w:rPr>
              <w:t xml:space="preserve">HR / People Ops Tools</w:t>
            </w:r>
          </w:p>
          <w:p>
            <w:r>
              <w:rPr>
                <w:rFonts w:ascii="Arial" w:cs="Arial" w:eastAsia="Arial" w:hAnsi="Arial"/>
                <w:color w:val="5D6D7E"/>
                <w:sz w:val="16"/>
                <w:szCs w:val="16"/>
              </w:rPr>
              <w:t xml:space="preserve">Developers building employee handbook assistants, policy bots, HR automation</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70"/>
              <w:left w:type="dxa" w:w="110"/>
              <w:bottom w:type="dxa" w:w="70"/>
              <w:right w:type="dxa" w:w="11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DDCDC" w:val="clear"/>
            <w:tcMar>
              <w:top w:type="dxa" w:w="70"/>
              <w:left w:type="dxa" w:w="110"/>
              <w:bottom w:type="dxa" w:w="70"/>
              <w:right w:type="dxa" w:w="11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C07A00"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26/35</w:t>
            </w:r>
          </w:p>
        </w:tc>
        <w:tc>
          <w:tcPr>
            <w:tcBorders>
              <w:top w:val="single" w:color="C5D3E0" w:sz="1"/>
              <w:left w:val="single" w:color="C5D3E0" w:sz="1"/>
              <w:bottom w:val="single" w:color="C5D3E0" w:sz="1"/>
              <w:right w:val="single" w:color="C5D3E0" w:sz="1"/>
            </w:tcBorders>
            <w:shd w:fill="C0392B" w:val="clear"/>
            <w:tcMar>
              <w:top w:type="dxa" w:w="70"/>
              <w:left w:type="dxa" w:w="80"/>
              <w:bottom w:type="dxa" w:w="70"/>
              <w:right w:type="dxa" w:w="80"/>
            </w:tcMar>
            <w:vAlign w:val="center"/>
          </w:tcPr>
          <w:p>
            <w:pPr>
              <w:jc w:val="center"/>
            </w:pPr>
            <w:r>
              <w:rPr>
                <w:rFonts w:ascii="Arial" w:cs="Arial" w:eastAsia="Arial" w:hAnsi="Arial"/>
                <w:b/>
                <w:bCs/>
                <w:color w:val="FFFFFF"/>
                <w:sz w:val="16"/>
                <w:szCs w:val="16"/>
              </w:rPr>
              <w:t xml:space="preserve">SKIP</w:t>
            </w:r>
          </w:p>
        </w:tc>
      </w:tr>
    </w:tbl>
    <w:p>
      <w:pPr>
        <w:spacing w:before="160"/>
      </w:pPr>
    </w:p>
    <w:p>
      <w:pPr>
        <w:spacing w:before="60" w:after="100"/>
      </w:pPr>
      <w:r>
        <w:rPr>
          <w:rFonts w:ascii="Arial" w:cs="Arial" w:eastAsia="Arial" w:hAnsi="Arial"/>
          <w:color w:val="5D6D7E"/>
          <w:sz w:val="20"/>
          <w:szCs w:val="20"/>
        </w:rPr>
        <w:t xml:space="preserve">Sorted by recommendation tier, then by score within tier.</w:t>
      </w:r>
    </w:p>
    <w:p>
      <w:r>
        <w:br w:type="page"/>
      </w:r>
    </w:p>
    <w:p>
      <w:pPr>
        <w:pStyle w:val="Heading1"/>
        <w:spacing w:before="320" w:after="160"/>
      </w:pPr>
      <w:r>
        <w:rPr>
          <w:rFonts w:ascii="Arial" w:cs="Arial" w:eastAsia="Arial" w:hAnsi="Arial"/>
          <w:b/>
          <w:bCs/>
          <w:color w:val="1B3A6B"/>
          <w:sz w:val="36"/>
          <w:szCs w:val="36"/>
        </w:rPr>
        <w:t xml:space="preserve">Vertical Deep Dives</w:t>
      </w:r>
    </w:p>
    <w:p>
      <w:pPr>
        <w:spacing w:before="160"/>
      </w:pPr>
    </w:p>
    <w:p>
      <w:pPr>
        <w:pBdr>
          <w:left w:val="single" w:color="1A7A4A" w:sz="16" w:space="12"/>
        </w:pBdr>
        <w:spacing w:before="160" w:after="80"/>
        <w:ind w:left="280"/>
      </w:pPr>
      <w:r>
        <w:rPr>
          <w:rFonts w:ascii="Arial" w:cs="Arial" w:eastAsia="Arial" w:hAnsi="Arial"/>
          <w:b/>
          <w:bCs/>
          <w:color w:val="1B3A6B"/>
          <w:sz w:val="28"/>
          <w:szCs w:val="28"/>
        </w:rPr>
        <w:t xml:space="preserve">PropTech / Real Estate  </w:t>
      </w:r>
      <w:r>
        <w:rPr>
          <w:rFonts w:ascii="Arial" w:cs="Arial" w:eastAsia="Arial" w:hAnsi="Arial"/>
          <w:b/>
          <w:bCs/>
          <w:color w:val="1A7A4A"/>
          <w:sz w:val="22"/>
          <w:szCs w:val="22"/>
        </w:rPr>
        <w:t xml:space="preserve">[TOP PICK]</w:t>
      </w:r>
    </w:p>
    <w:p>
      <w:pPr>
        <w:spacing w:after="140"/>
        <w:ind w:left="280"/>
      </w:pPr>
      <w:r>
        <w:rPr>
          <w:rFonts w:ascii="Arial" w:cs="Arial" w:eastAsia="Arial" w:hAnsi="Arial"/>
          <w:color w:val="5D6D7E"/>
          <w:sz w:val="19"/>
          <w:szCs w:val="19"/>
        </w:rPr>
        <w:t xml:space="preserve">Developers building tools for agents, property managers, landlords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"Lease &amp; HOA document Q&amp;A" — upload a lease, ask it anything</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BiggerPockets Dev Forum, PropTech Slack communities, YC PropTech cohort, r/realestateinvesting</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Sample lease PDF, HOA rules doc, property disclosure form, pre-built schema with unit/property metadata</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High — "AI for property management", "chatbot for real estate documents", "RAG for lease agreements"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Strong — generic RAG kits have no concept of lease clauses, property metadata, or tenant/unit data models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Most PropTech startups are built by developers who are also landlords or agents — they want to solve their own problem and sell to their industry. The boilerplate becomes the foundation for their product.</w:t>
            </w:r>
          </w:p>
        </w:tc>
      </w:tr>
    </w:tbl>
    <w:p>
      <w:pPr>
        <w:spacing w:before="100"/>
      </w:pPr>
    </w:p>
    <w:p>
      <w:pPr>
        <w:spacing w:before="60" w:after="100"/>
      </w:pPr>
      <w:r>
        <w:rPr>
          <w:rFonts w:ascii="Arial" w:cs="Arial" w:eastAsia="Arial" w:hAnsi="Arial"/>
          <w:color w:val="1C1C1C"/>
          <w:sz w:val="20"/>
          <w:szCs w:val="20"/>
        </w:rPr>
        <w:t xml:space="preserve">PropTech has one of the most active indie developer communities of any vertical. There are 73+ YC-backed PropTech startups, active Slack communities for property management developers, and a massive sub-ecosystem of solo landlords who also code. The document use case is extremely clean: leases, HOA bylaws, and property disclosures are dense PDFs that people constantly need to query. A boilerplate that ships with sample leases, a pre-built property/unit/tenant schema, and an example lease Q&amp;A demo is immediately useful and highly shareable. The "demo moment" — uploading a lease and asking "Can my landlord enter without notice?" — is viral-worthy.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1A7A4A"/>
                <w:sz w:val="18"/>
                <w:szCs w:val="18"/>
              </w:rPr>
              <w:t xml:space="preserve">5/5</w:t>
            </w:r>
          </w:p>
        </w:tc>
      </w:tr>
    </w:tbl>
    <w:p>
      <w:pPr>
        <w:spacing w:before="100"/>
      </w:pPr>
    </w:p>
    <w:p>
      <w:pPr>
        <w:spacing w:before="160"/>
      </w:pPr>
    </w:p>
    <w:p>
      <w:pPr>
        <w:pBdr>
          <w:left w:val="single" w:color="1A7A4A" w:sz="16" w:space="12"/>
        </w:pBdr>
        <w:spacing w:before="160" w:after="80"/>
        <w:ind w:left="280"/>
      </w:pPr>
      <w:r>
        <w:rPr>
          <w:rFonts w:ascii="Arial" w:cs="Arial" w:eastAsia="Arial" w:hAnsi="Arial"/>
          <w:b/>
          <w:bCs/>
          <w:color w:val="1B3A6B"/>
          <w:sz w:val="28"/>
          <w:szCs w:val="28"/>
        </w:rPr>
        <w:t xml:space="preserve">LegalTech  </w:t>
      </w:r>
      <w:r>
        <w:rPr>
          <w:rFonts w:ascii="Arial" w:cs="Arial" w:eastAsia="Arial" w:hAnsi="Arial"/>
          <w:b/>
          <w:bCs/>
          <w:color w:val="1A7A4A"/>
          <w:sz w:val="22"/>
          <w:szCs w:val="22"/>
        </w:rPr>
        <w:t xml:space="preserve">[TOP PICK]</w:t>
      </w:r>
    </w:p>
    <w:p>
      <w:pPr>
        <w:spacing w:after="140"/>
        <w:ind w:left="280"/>
      </w:pPr>
      <w:r>
        <w:rPr>
          <w:rFonts w:ascii="Arial" w:cs="Arial" w:eastAsia="Arial" w:hAnsi="Arial"/>
          <w:color w:val="5D6D7E"/>
          <w:sz w:val="19"/>
          <w:szCs w:val="19"/>
        </w:rPr>
        <w:t xml:space="preserve">Developers building tools for law firms, legal ops, and contract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"Contract Q&amp;A assistant" — upload any contract, ask about obligations, clauses, deadlines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Legal Hackers (global community), LegalTech Hub Slack, r/legaltech, ProductHunt LegalTech, Harvard Law Innovation Lab network</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Sample NDA/MSA/SLA contracts, pre-built clause-extraction schema, citation-first output template</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Very high — "AI for contract review", "RAG for legal documents", "contract Q&amp;A chatbot", "Harvey alternative for small firms"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Strong — legal document structure (parties, obligations, dates, clauses) warrants a dedicated schema and chunking strategy vs generic boilerplate</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Harvey raised $100M targeting BigLaw. Thousands of developers are trying to build "Harvey for small firms." They need a starting point that handles legal doc structure well.</w:t>
            </w:r>
          </w:p>
        </w:tc>
      </w:tr>
    </w:tbl>
    <w:p>
      <w:pPr>
        <w:spacing w:before="100"/>
      </w:pPr>
    </w:p>
    <w:p>
      <w:pPr>
        <w:spacing w:before="60" w:after="100"/>
      </w:pPr>
      <w:r>
        <w:rPr>
          <w:rFonts w:ascii="Arial" w:cs="Arial" w:eastAsia="Arial" w:hAnsi="Arial"/>
          <w:color w:val="1C1C1C"/>
          <w:sz w:val="20"/>
          <w:szCs w:val="20"/>
        </w:rPr>
        <w:t xml:space="preserve">LegalTech is arguably the hottest vertical for AI developer activity right now. The narrative is established — Harvey for BigLaw, nothing for everyone else — and thousands of developers are actively searching for ways to build contract and document tools for small firms. Legal Hackers is a global community of lawyers who code (180+ chapters worldwide), and there's significant overlap between that community and people who would buy a boilerplate. The document problem is perfectly scoped for RAG: contracts have clear structure, defined parties, enumerable clauses, and date-based obligations. A boilerplate with citation-first output design (always show the source clause) and a schema that understands contract metadata is genuinely different from a generic RAG kit.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1A7A4A"/>
                <w:sz w:val="18"/>
                <w:szCs w:val="18"/>
              </w:rPr>
              <w:t xml:space="preserve">4/5</w:t>
            </w:r>
          </w:p>
        </w:tc>
      </w:tr>
    </w:tbl>
    <w:p>
      <w:pPr>
        <w:spacing w:before="100"/>
      </w:pPr>
    </w:p>
    <w:p>
      <w:pPr>
        <w:spacing w:before="160"/>
      </w:pPr>
    </w:p>
    <w:p>
      <w:pPr>
        <w:pBdr>
          <w:left w:val="single" w:color="2E86C1" w:sz="16" w:space="12"/>
        </w:pBdr>
        <w:spacing w:before="160" w:after="80"/>
        <w:ind w:left="280"/>
      </w:pPr>
      <w:r>
        <w:rPr>
          <w:rFonts w:ascii="Arial" w:cs="Arial" w:eastAsia="Arial" w:hAnsi="Arial"/>
          <w:b/>
          <w:bCs/>
          <w:color w:val="1B3A6B"/>
          <w:sz w:val="28"/>
          <w:szCs w:val="28"/>
        </w:rPr>
        <w:t xml:space="preserve">InsurTech  </w:t>
      </w:r>
      <w:r>
        <w:rPr>
          <w:rFonts w:ascii="Arial" w:cs="Arial" w:eastAsia="Arial" w:hAnsi="Arial"/>
          <w:b/>
          <w:bCs/>
          <w:color w:val="2E86C1"/>
          <w:sz w:val="22"/>
          <w:szCs w:val="22"/>
        </w:rPr>
        <w:t xml:space="preserve">[STRONG]</w:t>
      </w:r>
    </w:p>
    <w:p>
      <w:pPr>
        <w:spacing w:after="140"/>
        <w:ind w:left="280"/>
      </w:pPr>
      <w:r>
        <w:rPr>
          <w:rFonts w:ascii="Arial" w:cs="Arial" w:eastAsia="Arial" w:hAnsi="Arial"/>
          <w:color w:val="5D6D7E"/>
          <w:sz w:val="19"/>
          <w:szCs w:val="19"/>
        </w:rPr>
        <w:t xml:space="preserve">Developers building tools for insurance agencies, brokers, and carriers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"Policy Q&amp;A assistant" — query carrier guidelines and coverage rules during client calls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InsurTech Connect, Applied Client Network developer forums, r/insurtech (small but active), Insurance Nerds community</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Sample insurance policy PDF (homeowners/auto), carrier guideline doc, pre-built policy/coverage schema</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Medium — less explicit dev search demand, but "AI for insurance documents" and "policy chatbot" growing</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Very strong — insurance documents have highly specific structure (declarations page, coverage sections, exclusions) that generic kits don't model</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Independent insurance agencies are one of the least-digitized professional services. Developers who crack the document Q&amp;A problem for this vertical have almost no competition.</w:t>
            </w:r>
          </w:p>
        </w:tc>
      </w:tr>
    </w:tbl>
    <w:p>
      <w:pPr>
        <w:spacing w:before="100"/>
      </w:pPr>
    </w:p>
    <w:p>
      <w:pPr>
        <w:spacing w:before="60" w:after="100"/>
      </w:pPr>
      <w:r>
        <w:rPr>
          <w:rFonts w:ascii="Arial" w:cs="Arial" w:eastAsia="Arial" w:hAnsi="Arial"/>
          <w:color w:val="1C1C1C"/>
          <w:sz w:val="20"/>
          <w:szCs w:val="20"/>
        </w:rPr>
        <w:t xml:space="preserve">InsurTech developer activity is lower than LegalTech or PropTech, but the document fit is exceptional — insurance policies are structured, dense, and constantly referenced by agents during client calls. The differentiation opportunity is high because insurance policy structure (declarations, insuring agreement, exclusions, conditions) is so specific that a generic RAG boilerplate misses it entirely. A boilerplate that ships with example policy PDFs and a schema that models coverage types and exclusion categories would be immediately compelling to the small number of developers actively building in this space. The buyer reach challenge is real — the insurtech developer community is smaller and harder to find.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1A7A4A"/>
                <w:sz w:val="18"/>
                <w:szCs w:val="18"/>
              </w:rPr>
              <w:t xml:space="preserve">5/5</w:t>
            </w:r>
          </w:p>
        </w:tc>
      </w:tr>
    </w:tbl>
    <w:p>
      <w:pPr>
        <w:spacing w:before="100"/>
      </w:pPr>
    </w:p>
    <w:p>
      <w:pPr>
        <w:spacing w:before="160"/>
      </w:pPr>
    </w:p>
    <w:p>
      <w:pPr>
        <w:pBdr>
          <w:left w:val="single" w:color="6C3483" w:sz="16" w:space="12"/>
        </w:pBdr>
        <w:spacing w:before="160" w:after="80"/>
        <w:ind w:left="280"/>
      </w:pPr>
      <w:r>
        <w:rPr>
          <w:rFonts w:ascii="Arial" w:cs="Arial" w:eastAsia="Arial" w:hAnsi="Arial"/>
          <w:b/>
          <w:bCs/>
          <w:color w:val="1B3A6B"/>
          <w:sz w:val="28"/>
          <w:szCs w:val="28"/>
        </w:rPr>
        <w:t xml:space="preserve">ConTech / Construction  </w:t>
      </w:r>
      <w:r>
        <w:rPr>
          <w:rFonts w:ascii="Arial" w:cs="Arial" w:eastAsia="Arial" w:hAnsi="Arial"/>
          <w:b/>
          <w:bCs/>
          <w:color w:val="6C3483"/>
          <w:sz w:val="22"/>
          <w:szCs w:val="22"/>
        </w:rPr>
        <w:t xml:space="preserve">[SOLID]</w:t>
      </w:r>
    </w:p>
    <w:p>
      <w:pPr>
        <w:spacing w:after="140"/>
        <w:ind w:left="280"/>
      </w:pPr>
      <w:r>
        <w:rPr>
          <w:rFonts w:ascii="Arial" w:cs="Arial" w:eastAsia="Arial" w:hAnsi="Arial"/>
          <w:color w:val="5D6D7E"/>
          <w:sz w:val="19"/>
          <w:szCs w:val="19"/>
        </w:rPr>
        <w:t xml:space="preserve">Developers building tools for general contractors, project managers,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"Spec section Q&amp;A" — query construction specifications and RFI logs by trade section</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ConTech Crew community, Autodesk developer network, Procore developer ecosystem (API partners), r/construction</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Sample CSI spec section, RFI log, submittal register — but doc complexity limits template quality</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Low-medium — "AI for construction documents", "RFI chatbot", "spec search tool" emerging</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Moderate — construction docs are complex (tabular, cross-referenced) so a specialized boilerplate has value, but document parsing is harder to demo cleanly</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Procore has 14,000+ developer integrations and a very active partner ecosystem. Developers building Procore add-ons are a reachable audience actively looking for AI document tools.</w:t>
            </w:r>
          </w:p>
        </w:tc>
      </w:tr>
    </w:tbl>
    <w:p>
      <w:pPr>
        <w:spacing w:before="100"/>
      </w:pPr>
    </w:p>
    <w:p>
      <w:pPr>
        <w:spacing w:before="60" w:after="100"/>
      </w:pPr>
      <w:r>
        <w:rPr>
          <w:rFonts w:ascii="Arial" w:cs="Arial" w:eastAsia="Arial" w:hAnsi="Arial"/>
          <w:color w:val="1C1C1C"/>
          <w:sz w:val="20"/>
          <w:szCs w:val="20"/>
        </w:rPr>
        <w:t xml:space="preserve">The ConTech developer ecosystem is smaller but growing, driven heavily by the Procore and Autodesk partner networks. The document problem is real — spec books and RFI logs are exactly what RAG is built for — but construction documents are often table-heavy and cross-referenced in ways that make clean chunking harder. The "demo moment" is less crisp than LegalTech or PropTech as a result. The strongest angle here is targeting Procore developers specifically: they already have customers (GCs and project managers) and are looking for AI-powered add-ons to differentiate their products. Position the boilerplate as "RAG for Procore data + spec documents."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1A7A4A"/>
                <w:sz w:val="18"/>
                <w:szCs w:val="18"/>
              </w:rPr>
              <w:t xml:space="preserve">4/5</w:t>
            </w:r>
          </w:p>
        </w:tc>
      </w:tr>
    </w:tbl>
    <w:p>
      <w:pPr>
        <w:spacing w:before="100"/>
      </w:pPr>
    </w:p>
    <w:p>
      <w:pPr>
        <w:spacing w:before="160"/>
      </w:pPr>
    </w:p>
    <w:p>
      <w:pPr>
        <w:pBdr>
          <w:left w:val="single" w:color="C07A00" w:sz="16" w:space="12"/>
        </w:pBdr>
        <w:spacing w:before="160" w:after="80"/>
        <w:ind w:left="280"/>
      </w:pPr>
      <w:r>
        <w:rPr>
          <w:rFonts w:ascii="Arial" w:cs="Arial" w:eastAsia="Arial" w:hAnsi="Arial"/>
          <w:b/>
          <w:bCs/>
          <w:color w:val="1B3A6B"/>
          <w:sz w:val="28"/>
          <w:szCs w:val="28"/>
        </w:rPr>
        <w:t xml:space="preserve">EdTech / E-Learning  </w:t>
      </w:r>
      <w:r>
        <w:rPr>
          <w:rFonts w:ascii="Arial" w:cs="Arial" w:eastAsia="Arial" w:hAnsi="Arial"/>
          <w:b/>
          <w:bCs/>
          <w:color w:val="C07A00"/>
          <w:sz w:val="22"/>
          <w:szCs w:val="22"/>
        </w:rPr>
        <w:t xml:space="preserve">[CONSIDER]</w:t>
      </w:r>
    </w:p>
    <w:p>
      <w:pPr>
        <w:spacing w:after="140"/>
        <w:ind w:left="280"/>
      </w:pPr>
      <w:r>
        <w:rPr>
          <w:rFonts w:ascii="Arial" w:cs="Arial" w:eastAsia="Arial" w:hAnsi="Arial"/>
          <w:color w:val="5D6D7E"/>
          <w:sz w:val="19"/>
          <w:szCs w:val="19"/>
        </w:rPr>
        <w:t xml:space="preserve">Developers building AI tutors, course assistants, and institutional knowledge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"Course material Q&amp;A" — students ask questions about course content, get cited answers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EdTech developers on ProductHunt, Dev.to EdTech tag, r/edtech, Indie Hackers EdTech discussions, Learning Engineering community</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Sample course syllabus, lecture notes, textbook chapter — very accessible content</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High — "AI tutor", "ChatGPT for course materials", "RAG for education" are heavily searched</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Moderate — education is a common RAG demo use case, so many generic kits already use it. Differentiation requires specific curriculum metadata modeling.</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Every university, bootcamp, and online course creator wants an AI assistant for their content. Developer demand is high but so is generic competition.</w:t>
            </w:r>
          </w:p>
        </w:tc>
      </w:tr>
    </w:tbl>
    <w:p>
      <w:pPr>
        <w:spacing w:before="100"/>
      </w:pPr>
    </w:p>
    <w:p>
      <w:pPr>
        <w:spacing w:before="60" w:after="100"/>
      </w:pPr>
      <w:r>
        <w:rPr>
          <w:rFonts w:ascii="Arial" w:cs="Arial" w:eastAsia="Arial" w:hAnsi="Arial"/>
          <w:color w:val="1C1C1C"/>
          <w:sz w:val="20"/>
          <w:szCs w:val="20"/>
        </w:rPr>
        <w:t xml:space="preserve">EdTech has high developer activity and the demo use case is extremely accessible — everyone has been a student and immediately understands "AI Q&amp;A over course materials." The challenge is that this is one of the most common RAG demo use cases in existence, which means generic RAG boilerplates already target it. Differentiation is harder here. The angle that works is going narrower: not "education RAG" but "RAG for online course creators" or "RAG for corporate training and compliance documentation." The latter (corporate training) has much better WTP and less competition from generic tools.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C07A00"/>
                <w:sz w:val="18"/>
                <w:szCs w:val="18"/>
              </w:rPr>
              <w:t xml:space="preserve">3/5</w:t>
            </w:r>
          </w:p>
        </w:tc>
      </w:tr>
    </w:tbl>
    <w:p>
      <w:pPr>
        <w:spacing w:before="100"/>
      </w:pPr>
    </w:p>
    <w:p>
      <w:pPr>
        <w:spacing w:before="160"/>
      </w:pPr>
    </w:p>
    <w:p>
      <w:pPr>
        <w:pBdr>
          <w:left w:val="single" w:color="C0392B" w:sz="16" w:space="12"/>
        </w:pBdr>
        <w:spacing w:before="160" w:after="80"/>
        <w:ind w:left="280"/>
      </w:pPr>
      <w:r>
        <w:rPr>
          <w:rFonts w:ascii="Arial" w:cs="Arial" w:eastAsia="Arial" w:hAnsi="Arial"/>
          <w:b/>
          <w:bCs/>
          <w:color w:val="1B3A6B"/>
          <w:sz w:val="28"/>
          <w:szCs w:val="28"/>
        </w:rPr>
        <w:t xml:space="preserve">GovTech / Public Sector  </w:t>
      </w:r>
      <w:r>
        <w:rPr>
          <w:rFonts w:ascii="Arial" w:cs="Arial" w:eastAsia="Arial" w:hAnsi="Arial"/>
          <w:b/>
          <w:bCs/>
          <w:color w:val="C0392B"/>
          <w:sz w:val="22"/>
          <w:szCs w:val="22"/>
        </w:rPr>
        <w:t xml:space="preserve">[SKIP]</w:t>
      </w:r>
    </w:p>
    <w:p>
      <w:pPr>
        <w:spacing w:after="140"/>
        <w:ind w:left="280"/>
      </w:pPr>
      <w:r>
        <w:rPr>
          <w:rFonts w:ascii="Arial" w:cs="Arial" w:eastAsia="Arial" w:hAnsi="Arial"/>
          <w:color w:val="5D6D7E"/>
          <w:sz w:val="19"/>
          <w:szCs w:val="19"/>
        </w:rPr>
        <w:t xml:space="preserve">Developers building tools for government agencies, municipalities, compliance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"Municipal code Q&amp;A" — query city ordinances, zoning codes, and public records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Code for America, civic tech Slack, very niche and small</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Public domain government docs are available but procurement complexity limits template relevance</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Low — developer activity focused on compliance, not commercial boilerplate tooling</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Strong content fit but procurement cycles and grant-based funding models don't align with boilerplate sales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Regulatory document Q&amp;A is technically compelling, but the buyer profile (government agencies) is a poor fit for boilerplate sales.</w:t>
            </w:r>
          </w:p>
        </w:tc>
      </w:tr>
    </w:tbl>
    <w:p>
      <w:pPr>
        <w:spacing w:before="100"/>
      </w:pPr>
    </w:p>
    <w:p>
      <w:pPr>
        <w:spacing w:before="60" w:after="100"/>
      </w:pPr>
      <w:r>
        <w:rPr>
          <w:rFonts w:ascii="Arial" w:cs="Arial" w:eastAsia="Arial" w:hAnsi="Arial"/>
          <w:color w:val="1C1C1C"/>
          <w:sz w:val="20"/>
          <w:szCs w:val="20"/>
        </w:rPr>
        <w:t xml:space="preserve">GovTech has strong document fit — government regulations, municipal codes, and public records are exactly the kind of dense text that RAG handles well — but the developer ecosystem is civic-focused rather than commercially-motivated. Developers in this space tend to build for grant funding or open-source contributions rather than purchasing commercial tooling. The procurement cycle for actual government customers is measured in months or years. This vertical has little overlap with the developer persona most likely to buy a boilerplate.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1A7A4A"/>
                <w:sz w:val="18"/>
                <w:szCs w:val="18"/>
              </w:rPr>
              <w:t xml:space="preserve">4/5</w:t>
            </w:r>
          </w:p>
        </w:tc>
      </w:tr>
    </w:tbl>
    <w:p>
      <w:pPr>
        <w:spacing w:before="100"/>
      </w:pPr>
    </w:p>
    <w:p>
      <w:pPr>
        <w:spacing w:before="160"/>
      </w:pPr>
    </w:p>
    <w:p>
      <w:pPr>
        <w:pBdr>
          <w:left w:val="single" w:color="C0392B" w:sz="16" w:space="12"/>
        </w:pBdr>
        <w:spacing w:before="160" w:after="80"/>
        <w:ind w:left="280"/>
      </w:pPr>
      <w:r>
        <w:rPr>
          <w:rFonts w:ascii="Arial" w:cs="Arial" w:eastAsia="Arial" w:hAnsi="Arial"/>
          <w:b/>
          <w:bCs/>
          <w:color w:val="1B3A6B"/>
          <w:sz w:val="28"/>
          <w:szCs w:val="28"/>
        </w:rPr>
        <w:t xml:space="preserve">HealthTech (non-HIPAA)  </w:t>
      </w:r>
      <w:r>
        <w:rPr>
          <w:rFonts w:ascii="Arial" w:cs="Arial" w:eastAsia="Arial" w:hAnsi="Arial"/>
          <w:b/>
          <w:bCs/>
          <w:color w:val="C0392B"/>
          <w:sz w:val="22"/>
          <w:szCs w:val="22"/>
        </w:rPr>
        <w:t xml:space="preserve">[SKIP]</w:t>
      </w:r>
    </w:p>
    <w:p>
      <w:pPr>
        <w:spacing w:after="140"/>
        <w:ind w:left="280"/>
      </w:pPr>
      <w:r>
        <w:rPr>
          <w:rFonts w:ascii="Arial" w:cs="Arial" w:eastAsia="Arial" w:hAnsi="Arial"/>
          <w:color w:val="5D6D7E"/>
          <w:sz w:val="19"/>
          <w:szCs w:val="19"/>
        </w:rPr>
        <w:t xml:space="preserve">Developers building wellness, nutrition, fitness, or patient-education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"Clinical guideline Q&amp;A" — query non-PHI health content like nutrition guides or fitness protocols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HealthTech community on Indie Hackers, r/digitalhealth (small), ProductHunt Health</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Non-PHI health content (nutrition guidelines, fitness protocols) available but document clarity is mixed</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Medium — but heavily weighted toward HIPAA-compliant use cases that the boilerplate shouldn't target</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Weak — the non-PHI use cases are generic enough that no vertical-specific scaffolding creates strong differentiation</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Wellness and patient-education tools avoid HIPAA, but the document problem isn't distinctive enough to anchor a vertical boilerplate.</w:t>
            </w:r>
          </w:p>
        </w:tc>
      </w:tr>
    </w:tbl>
    <w:p>
      <w:pPr>
        <w:spacing w:before="100"/>
      </w:pPr>
    </w:p>
    <w:p>
      <w:pPr>
        <w:spacing w:before="60" w:after="100"/>
      </w:pPr>
      <w:r>
        <w:rPr>
          <w:rFonts w:ascii="Arial" w:cs="Arial" w:eastAsia="Arial" w:hAnsi="Arial"/>
          <w:color w:val="1C1C1C"/>
          <w:sz w:val="20"/>
          <w:szCs w:val="20"/>
        </w:rPr>
        <w:t xml:space="preserve">The HealthTech developer community is active, but the vertical bifurcates badly for boilerplate positioning. Clinical/PHI use cases require HIPAA infrastructure the boilerplate shouldn't imply it handles. Non-PHI use cases (wellness apps, nutrition guides, fitness protocols) are generic enough that a health-themed boilerplate doesn't offer meaningful differentiation over a standard RAG kit. The best developers building in health are either HIPAA-serious (wrong buyer) or building consumer wellness tools where the document problem isn't the core value prop.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C07A00"/>
                <w:sz w:val="18"/>
                <w:szCs w:val="18"/>
              </w:rPr>
              <w:t xml:space="preserve">3/5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C07A00"/>
                <w:sz w:val="18"/>
                <w:szCs w:val="18"/>
              </w:rPr>
              <w:t xml:space="preserve">3/5</w:t>
            </w:r>
          </w:p>
        </w:tc>
      </w:tr>
    </w:tbl>
    <w:p>
      <w:pPr>
        <w:spacing w:before="100"/>
      </w:pPr>
    </w:p>
    <w:p>
      <w:pPr>
        <w:spacing w:before="160"/>
      </w:pPr>
    </w:p>
    <w:p>
      <w:pPr>
        <w:pBdr>
          <w:left w:val="single" w:color="C0392B" w:sz="16" w:space="12"/>
        </w:pBdr>
        <w:spacing w:before="160" w:after="80"/>
        <w:ind w:left="280"/>
      </w:pPr>
      <w:r>
        <w:rPr>
          <w:rFonts w:ascii="Arial" w:cs="Arial" w:eastAsia="Arial" w:hAnsi="Arial"/>
          <w:b/>
          <w:bCs/>
          <w:color w:val="1B3A6B"/>
          <w:sz w:val="28"/>
          <w:szCs w:val="28"/>
        </w:rPr>
        <w:t xml:space="preserve">HR / People Ops Tools  </w:t>
      </w:r>
      <w:r>
        <w:rPr>
          <w:rFonts w:ascii="Arial" w:cs="Arial" w:eastAsia="Arial" w:hAnsi="Arial"/>
          <w:b/>
          <w:bCs/>
          <w:color w:val="C0392B"/>
          <w:sz w:val="22"/>
          <w:szCs w:val="22"/>
        </w:rPr>
        <w:t xml:space="preserve">[SKIP]</w:t>
      </w:r>
    </w:p>
    <w:p>
      <w:pPr>
        <w:spacing w:after="140"/>
        <w:ind w:left="280"/>
      </w:pPr>
      <w:r>
        <w:rPr>
          <w:rFonts w:ascii="Arial" w:cs="Arial" w:eastAsia="Arial" w:hAnsi="Arial"/>
          <w:color w:val="5D6D7E"/>
          <w:sz w:val="19"/>
          <w:szCs w:val="19"/>
        </w:rPr>
        <w:t xml:space="preserve">Developers building employee handbook assistants, policy bots, HR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Demo Use Case</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"Employee handbook assistant" — staff self-serve HR policy questions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Developer Communities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HRTech community, Indie Hackers HR discussions, r/humanresources, ProductHunt HR tools</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Starter Assets</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Sample employee handbook, PTO policy, benefits summary — very easy starter content</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Search Signal</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High — "AI for HR policies", "employee handbook chatbot" are heavily searched</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Differentiation</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C1C1C"/>
                <w:sz w:val="18"/>
                <w:szCs w:val="18"/>
              </w:rPr>
              <w:t xml:space="preserve">Very weak — this is the most common RAG product demo in existence. Guru, Notion AI, and 20+ others already target it.</w:t>
            </w:r>
          </w:p>
        </w:tc>
      </w:tr>
      <w:tr>
        <w:tc>
          <w:tcPr>
            <w:tcBorders>
              <w:top w:val="single" w:color="C5D3E0" w:sz="1"/>
              <w:left w:val="single" w:color="C5D3E0" w:sz="1"/>
              <w:bottom w:val="single" w:color="C5D3E0" w:sz="1"/>
              <w:right w:val="single" w:color="C5D3E0" w:sz="1"/>
            </w:tcBorders>
            <w:shd w:fill="EBF2FA" w:val="clear"/>
            <w:tcMar>
              <w:top w:type="dxa" w:w="55"/>
              <w:left w:type="dxa" w:w="110"/>
              <w:bottom w:type="dxa" w:w="55"/>
              <w:right w:type="dxa" w:w="110"/>
            </w:tcMar>
          </w:tcPr>
          <w:p>
            <w:r>
              <w:rPr>
                <w:rFonts w:ascii="Arial" w:cs="Arial" w:eastAsia="Arial" w:hAnsi="Arial"/>
                <w:b/>
                <w:bCs/>
                <w:color w:val="1B3A6B"/>
                <w:sz w:val="18"/>
                <w:szCs w:val="18"/>
              </w:rPr>
              <w:t xml:space="preserve">Big Opportunity</w:t>
            </w:r>
          </w:p>
        </w:tc>
        <w:tc>
          <w:tcPr>
            <w:tcBorders>
              <w:top w:val="single" w:color="C5D3E0" w:sz="1"/>
              <w:left w:val="single" w:color="C5D3E0" w:sz="1"/>
              <w:bottom w:val="single" w:color="C5D3E0" w:sz="1"/>
              <w:right w:val="single" w:color="C5D3E0" w:sz="1"/>
            </w:tcBorders>
            <w:shd w:fill="FFFFFF" w:val="clear"/>
            <w:tcMar>
              <w:top w:type="dxa" w:w="55"/>
              <w:left w:type="dxa" w:w="110"/>
              <w:bottom w:type="dxa" w:w="55"/>
              <w:right w:type="dxa" w:w="110"/>
            </w:tcMar>
          </w:tcPr>
          <w:p>
            <w:r>
              <w:rPr>
                <w:rFonts w:ascii="Arial" w:cs="Arial" w:eastAsia="Arial" w:hAnsi="Arial"/>
                <w:color w:val="1A7A4A"/>
                <w:sz w:val="18"/>
                <w:szCs w:val="18"/>
              </w:rPr>
              <w:t xml:space="preserve">Large market, but won by incumbents. A vertical boilerplate here competes directly against generic RAG kits that already use HR as their primary demo.</w:t>
            </w:r>
          </w:p>
        </w:tc>
      </w:tr>
    </w:tbl>
    <w:p>
      <w:pPr>
        <w:spacing w:before="100"/>
      </w:pPr>
    </w:p>
    <w:p>
      <w:pPr>
        <w:spacing w:before="60" w:after="100"/>
      </w:pPr>
      <w:r>
        <w:rPr>
          <w:rFonts w:ascii="Arial" w:cs="Arial" w:eastAsia="Arial" w:hAnsi="Arial"/>
          <w:color w:val="1C1C1C"/>
          <w:sz w:val="20"/>
          <w:szCs w:val="20"/>
        </w:rPr>
        <w:t xml:space="preserve">HR policy Q&amp;A is the "Hello World" of RAG product demos. It's the use case in every RAG tutorial, every boilerplate example, and every AI product launch video. This means developers searching for RAG boilerplates have already seen this use case — it is not a differentiator. Guru and Notion AI have marketing budgets targeting this exact use case. A vertically positioned HR boilerplate would be competing against the baseline expectation for what any RAG kit should demonstrate. Strong on almost every criterion except the one that matters most for boilerplate differentiation.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Dev Ecosystem</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Demo Appeal</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Doc Clarity</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Template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Search Demand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Buyer Reach</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BF2FA" w:val="clear"/>
            <w:tcMar>
              <w:top w:type="dxa" w:w="55"/>
              <w:left w:type="dxa" w:w="60"/>
              <w:bottom w:type="dxa" w:w="55"/>
              <w:right w:type="dxa" w:w="60"/>
            </w:tcMar>
            <w:vAlign w:val="center"/>
          </w:tcPr>
          <w:p>
            <w:pPr>
              <w:jc w:val="center"/>
            </w:pPr>
            <w:r>
              <w:rPr>
                <w:rFonts w:ascii="Arial" w:cs="Arial" w:eastAsia="Arial" w:hAnsi="Arial"/>
                <w:b/>
                <w:bCs/>
                <w:color w:val="1B3A6B"/>
                <w:sz w:val="15"/>
                <w:szCs w:val="15"/>
              </w:rPr>
              <w:t xml:space="preserve">Differentiation</w:t>
            </w:r>
          </w:p>
          <w:p>
            <w:pPr>
              <w:jc w:val="center"/>
            </w:pPr>
            <w:r>
              <w:rPr>
                <w:rFonts w:ascii="Arial" w:cs="Arial" w:eastAsia="Arial" w:hAnsi="Arial"/>
                <w:b/>
                <w:bCs/>
                <w:color w:val="C0392B"/>
                <w:sz w:val="18"/>
                <w:szCs w:val="18"/>
              </w:rPr>
              <w:t xml:space="preserve">2/5</w:t>
            </w:r>
          </w:p>
        </w:tc>
      </w:tr>
    </w:tbl>
    <w:p>
      <w:pPr>
        <w:spacing w:before="40"/>
      </w:pPr>
    </w:p>
    <w:p>
      <w:r>
        <w:br w:type="page"/>
      </w:r>
    </w:p>
    <w:p>
      <w:pPr>
        <w:pStyle w:val="Heading1"/>
        <w:spacing w:before="320" w:after="160"/>
      </w:pPr>
      <w:r>
        <w:rPr>
          <w:rFonts w:ascii="Arial" w:cs="Arial" w:eastAsia="Arial" w:hAnsi="Arial"/>
          <w:b/>
          <w:bCs/>
          <w:color w:val="1B3A6B"/>
          <w:sz w:val="36"/>
          <w:szCs w:val="36"/>
        </w:rPr>
        <w:t xml:space="preserve">Positioning the Boilerplate</w:t>
      </w:r>
    </w:p>
    <w:p>
      <w:pPr>
        <w:spacing w:before="60" w:after="100"/>
      </w:pPr>
      <w:r>
        <w:rPr>
          <w:rFonts w:ascii="Arial" w:cs="Arial" w:eastAsia="Arial" w:hAnsi="Arial"/>
          <w:color w:val="1C1C1C"/>
          <w:sz w:val="20"/>
          <w:szCs w:val="20"/>
        </w:rPr>
        <w:t xml:space="preserve">Choosing a vertical changes how the boilerplate is packaged, not just marketed. The following table summarizes the practical implications of going vertical with a boilerplate product.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5D3E0" w:sz="1"/>
              <w:left w:val="single" w:color="C5D3E0" w:sz="1"/>
              <w:bottom w:val="single" w:color="C5D3E0" w:sz="1"/>
              <w:right w:val="single" w:color="C5D3E0" w:sz="1"/>
            </w:tcBorders>
            <w:shd w:fill="EBF2FA" w:val="clear"/>
            <w:tcMar>
              <w:top w:type="dxa" w:w="70"/>
              <w:left w:type="dxa" w:w="110"/>
              <w:bottom w:type="dxa" w:w="70"/>
              <w:right w:type="dxa" w:w="110"/>
            </w:tcMar>
          </w:tcPr>
          <w:p>
            <w:r>
              <w:rPr>
                <w:rFonts w:ascii="Arial" w:cs="Arial" w:eastAsia="Arial" w:hAnsi="Arial"/>
                <w:b/>
                <w:bCs/>
                <w:color w:val="1B3A6B"/>
                <w:sz w:val="18"/>
                <w:szCs w:val="18"/>
              </w:rPr>
              <w:t xml:space="preserve">Naming / Branding</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"RAG Boilerplate for LegalTech" or "PropTech RAG Starter" — the vertical name in the title is the primary SEO signal and positions it immediately in buyers' minds.</w:t>
            </w:r>
          </w:p>
        </w:tc>
      </w:tr>
      <w:tr>
        <w:tc>
          <w:tcPr>
            <w:tcBorders>
              <w:top w:val="single" w:color="C5D3E0" w:sz="1"/>
              <w:left w:val="single" w:color="C5D3E0" w:sz="1"/>
              <w:bottom w:val="single" w:color="C5D3E0" w:sz="1"/>
              <w:right w:val="single" w:color="C5D3E0" w:sz="1"/>
            </w:tcBorders>
            <w:shd w:fill="D6E4F0" w:val="clear"/>
            <w:tcMar>
              <w:top w:type="dxa" w:w="70"/>
              <w:left w:type="dxa" w:w="110"/>
              <w:bottom w:type="dxa" w:w="70"/>
              <w:right w:type="dxa" w:w="110"/>
            </w:tcMar>
          </w:tcPr>
          <w:p>
            <w:r>
              <w:rPr>
                <w:rFonts w:ascii="Arial" w:cs="Arial" w:eastAsia="Arial" w:hAnsi="Arial"/>
                <w:b/>
                <w:bCs/>
                <w:color w:val="1B3A6B"/>
                <w:sz w:val="18"/>
                <w:szCs w:val="18"/>
              </w:rPr>
              <w:t xml:space="preserve">README Demo</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Ship a working demo with vertical-specific sample documents. A lawyer clicking into a GitHub repo should see a contract Q&amp;A demo, not a generic chat-over-PDF example.</w:t>
            </w:r>
          </w:p>
        </w:tc>
      </w:tr>
      <w:tr>
        <w:tc>
          <w:tcPr>
            <w:tcBorders>
              <w:top w:val="single" w:color="C5D3E0" w:sz="1"/>
              <w:left w:val="single" w:color="C5D3E0" w:sz="1"/>
              <w:bottom w:val="single" w:color="C5D3E0" w:sz="1"/>
              <w:right w:val="single" w:color="C5D3E0" w:sz="1"/>
            </w:tcBorders>
            <w:shd w:fill="EBF2FA" w:val="clear"/>
            <w:tcMar>
              <w:top w:type="dxa" w:w="70"/>
              <w:left w:type="dxa" w:w="110"/>
              <w:bottom w:type="dxa" w:w="70"/>
              <w:right w:type="dxa" w:w="110"/>
            </w:tcMar>
          </w:tcPr>
          <w:p>
            <w:r>
              <w:rPr>
                <w:rFonts w:ascii="Arial" w:cs="Arial" w:eastAsia="Arial" w:hAnsi="Arial"/>
                <w:b/>
                <w:bCs/>
                <w:color w:val="1B3A6B"/>
                <w:sz w:val="18"/>
                <w:szCs w:val="18"/>
              </w:rPr>
              <w:t xml:space="preserve">Sample Document Pack</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Include 2–3 real-world (or realistic sample) documents from the vertical. This is the single highest-value addition vs a generic kit.</w:t>
            </w:r>
          </w:p>
        </w:tc>
      </w:tr>
      <w:tr>
        <w:tc>
          <w:tcPr>
            <w:tcBorders>
              <w:top w:val="single" w:color="C5D3E0" w:sz="1"/>
              <w:left w:val="single" w:color="C5D3E0" w:sz="1"/>
              <w:bottom w:val="single" w:color="C5D3E0" w:sz="1"/>
              <w:right w:val="single" w:color="C5D3E0" w:sz="1"/>
            </w:tcBorders>
            <w:shd w:fill="D6E4F0" w:val="clear"/>
            <w:tcMar>
              <w:top w:type="dxa" w:w="70"/>
              <w:left w:type="dxa" w:w="110"/>
              <w:bottom w:type="dxa" w:w="70"/>
              <w:right w:type="dxa" w:w="110"/>
            </w:tcMar>
          </w:tcPr>
          <w:p>
            <w:r>
              <w:rPr>
                <w:rFonts w:ascii="Arial" w:cs="Arial" w:eastAsia="Arial" w:hAnsi="Arial"/>
                <w:b/>
                <w:bCs/>
                <w:color w:val="1B3A6B"/>
                <w:sz w:val="18"/>
                <w:szCs w:val="18"/>
              </w:rPr>
              <w:t xml:space="preserve">Schema Scaffolding</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Pre-build the Supabase schema with vertical-aware metadata columns (e.g., for LegalTech: contract_type, parties[], effective_date, expiry_date). This saves the developer hours.</w:t>
            </w:r>
          </w:p>
        </w:tc>
      </w:tr>
      <w:tr>
        <w:tc>
          <w:tcPr>
            <w:tcBorders>
              <w:top w:val="single" w:color="C5D3E0" w:sz="1"/>
              <w:left w:val="single" w:color="C5D3E0" w:sz="1"/>
              <w:bottom w:val="single" w:color="C5D3E0" w:sz="1"/>
              <w:right w:val="single" w:color="C5D3E0" w:sz="1"/>
            </w:tcBorders>
            <w:shd w:fill="EBF2FA" w:val="clear"/>
            <w:tcMar>
              <w:top w:type="dxa" w:w="70"/>
              <w:left w:type="dxa" w:w="110"/>
              <w:bottom w:type="dxa" w:w="70"/>
              <w:right w:type="dxa" w:w="110"/>
            </w:tcMar>
          </w:tcPr>
          <w:p>
            <w:r>
              <w:rPr>
                <w:rFonts w:ascii="Arial" w:cs="Arial" w:eastAsia="Arial" w:hAnsi="Arial"/>
                <w:b/>
                <w:bCs/>
                <w:color w:val="1B3A6B"/>
                <w:sz w:val="18"/>
                <w:szCs w:val="18"/>
              </w:rPr>
              <w:t xml:space="preserve">Prompt Templates</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Include vertical-specific system prompts. Legal prompts should instruct the model to cite clause numbers. Real estate prompts should reference property and unit context.</w:t>
            </w:r>
          </w:p>
        </w:tc>
      </w:tr>
      <w:tr>
        <w:tc>
          <w:tcPr>
            <w:tcBorders>
              <w:top w:val="single" w:color="C5D3E0" w:sz="1"/>
              <w:left w:val="single" w:color="C5D3E0" w:sz="1"/>
              <w:bottom w:val="single" w:color="C5D3E0" w:sz="1"/>
              <w:right w:val="single" w:color="C5D3E0" w:sz="1"/>
            </w:tcBorders>
            <w:shd w:fill="D6E4F0" w:val="clear"/>
            <w:tcMar>
              <w:top w:type="dxa" w:w="70"/>
              <w:left w:type="dxa" w:w="110"/>
              <w:bottom w:type="dxa" w:w="70"/>
              <w:right w:type="dxa" w:w="110"/>
            </w:tcMar>
          </w:tcPr>
          <w:p>
            <w:r>
              <w:rPr>
                <w:rFonts w:ascii="Arial" w:cs="Arial" w:eastAsia="Arial" w:hAnsi="Arial"/>
                <w:b/>
                <w:bCs/>
                <w:color w:val="1B3A6B"/>
                <w:sz w:val="18"/>
                <w:szCs w:val="18"/>
              </w:rPr>
              <w:t xml:space="preserve">Community Launch</w:t>
            </w:r>
          </w:p>
        </w:tc>
        <w:tc>
          <w:tcPr>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tcPr>
          <w:p>
            <w:r>
              <w:rPr>
                <w:rFonts w:ascii="Arial" w:cs="Arial" w:eastAsia="Arial" w:hAnsi="Arial"/>
                <w:color w:val="1C1C1C"/>
                <w:sz w:val="18"/>
                <w:szCs w:val="18"/>
              </w:rPr>
              <w:t xml:space="preserve">Launch first in the vertical community (Legal Hackers, BiggerPockets Dev), then to general dev communities (Product Hunt, Indie Hackers). The vertical-specific launch builds credibility.</w:t>
            </w:r>
          </w:p>
        </w:tc>
      </w:tr>
    </w:tbl>
    <w:p>
      <w:pPr>
        <w:spacing w:before="160"/>
      </w:pPr>
    </w:p>
    <w:p>
      <w:pPr>
        <w:pStyle w:val="Heading2"/>
        <w:pBdr>
          <w:bottom w:val="single" w:color="2E86C1" w:sz="4" w:space="4"/>
        </w:pBdr>
        <w:spacing w:before="240" w:after="100"/>
      </w:pPr>
      <w:r>
        <w:rPr>
          <w:rFonts w:ascii="Arial" w:cs="Arial" w:eastAsia="Arial" w:hAnsi="Arial"/>
          <w:b/>
          <w:bCs/>
          <w:color w:val="1B3A6B"/>
          <w:sz w:val="26"/>
          <w:szCs w:val="26"/>
        </w:rPr>
        <w:t xml:space="preserve">The Meta-Strategy: Build-Use-Sell</w:t>
      </w:r>
    </w:p>
    <w:p>
      <w:pPr>
        <w:spacing w:before="60" w:after="100"/>
      </w:pPr>
      <w:r>
        <w:rPr>
          <w:rFonts w:ascii="Arial" w:cs="Arial" w:eastAsia="Arial" w:hAnsi="Arial"/>
          <w:color w:val="1C1C1C"/>
          <w:sz w:val="20"/>
          <w:szCs w:val="20"/>
        </w:rPr>
        <w:t xml:space="preserve">The most powerful positioning for a vertically specialized boilerplate is the "build-use-sell" loop: build the boilerplate, use it to create your own tool in the vertical (the v1 analysis covers which end-market tool to build), then sell the boilerplate with a credible case study backing it up.</w:t>
      </w:r>
    </w:p>
    <w:p>
      <w:pPr>
        <w:spacing w:before="80"/>
      </w:pPr>
    </w:p>
    <w:p>
      <w:pPr>
        <w:spacing w:before="60" w:after="100"/>
      </w:pPr>
      <w:r>
        <w:rPr>
          <w:rFonts w:ascii="Arial" w:cs="Arial" w:eastAsia="Arial" w:hAnsi="Arial"/>
          <w:color w:val="1C1C1C"/>
          <w:sz w:val="20"/>
          <w:szCs w:val="20"/>
        </w:rPr>
        <w:t xml:space="preserve">"The same boilerplate I used to build [your PropTech or LegalTech product] is now available for other developers building in [vertical]." This transforms the boilerplate from a theoretical shortcut into a proven foundation — and the case study is the most credible form of marketing a boilerplate can have.</w:t>
      </w:r>
    </w:p>
    <w:p>
      <w:pPr>
        <w:spacing w:before="80"/>
      </w:pPr>
    </w:p>
    <w:p>
      <w:pPr>
        <w:spacing w:before="60" w:after="100"/>
      </w:pPr>
      <w:r>
        <w:rPr>
          <w:rFonts w:ascii="Arial" w:cs="Arial" w:eastAsia="Arial" w:hAnsi="Arial"/>
          <w:color w:val="1B3A6B"/>
          <w:sz w:val="20"/>
          <w:szCs w:val="20"/>
        </w:rPr>
        <w:t xml:space="preserve">Recommendation: Pair the v1 analysis (which end-market product to build) with this analysis (which vertical to brand the boilerplate toward). They should be the same vertical.</w:t>
      </w:r>
    </w:p>
    <w:p>
      <w:pPr>
        <w:spacing w:before="16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4" w:space="4"/>
      </w:pBdr>
    </w:pPr>
    <w:r>
      <w:rPr>
        <w:rFonts w:ascii="Arial" w:cs="Arial" w:eastAsia="Arial" w:hAnsi="Arial"/>
        <w:color w:val="5D6D7E"/>
        <w:sz w:val="16"/>
        <w:szCs w:val="16"/>
      </w:rPr>
      <w:t xml:space="preserve">RAG Boilerplate · Vertical ICP — Developer Lens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2026-02-18T16:38:46.614Z</dcterms:created>
  <dcterms:modified xsi:type="dcterms:W3CDTF">2026-02-18T16:38:46.615Z</dcterms:modified>
</cp:coreProperties>
</file>

<file path=docProps/custom.xml><?xml version="1.0" encoding="utf-8"?>
<Properties xmlns="http://schemas.openxmlformats.org/officeDocument/2006/custom-properties" xmlns:vt="http://schemas.openxmlformats.org/officeDocument/2006/docPropsVTypes"/>
</file>