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spacing w:before="0" w:after="120"/>
        <w:jc w:val="left"/>
      </w:pPr>
      <w:r>
        <w:rPr>
          <w:rFonts w:ascii="Arial" w:cs="Arial" w:eastAsia="Arial" w:hAnsi="Arial"/>
          <w:b/>
          <w:bCs/>
          <w:color w:val="1B3A6B"/>
          <w:sz w:val="48"/>
          <w:szCs w:val="48"/>
        </w:rPr>
        <w:t xml:space="preserve">RAG Boilerplate</w:t>
      </w:r>
    </w:p>
    <w:p>
      <w:pPr>
        <w:spacing w:before="0" w:after="400"/>
        <w:jc w:val="left"/>
      </w:pPr>
      <w:r>
        <w:rPr>
          <w:rFonts w:ascii="Arial" w:cs="Arial" w:eastAsia="Arial" w:hAnsi="Arial"/>
          <w:b/>
          <w:bCs/>
          <w:color w:val="2E86C1"/>
          <w:sz w:val="64"/>
          <w:szCs w:val="64"/>
        </w:rPr>
        <w:t xml:space="preserve">Vertical ICP Analysis</w:t>
      </w:r>
    </w:p>
    <w:p>
      <w:pPr>
        <w:pBdr>
          <w:bottom w:val="single" w:color="2E86C1" w:sz="8"/>
        </w:pBdr>
        <w:spacing w:before="0" w:after="400"/>
      </w:pPr>
    </w:p>
    <w:p>
      <w:pPr>
        <w:spacing w:before="200"/>
      </w:pPr>
    </w:p>
    <w:p>
      <w:pPr>
        <w:spacing w:before="80" w:after="120"/>
      </w:pPr>
      <w:r>
        <w:rPr>
          <w:rFonts w:ascii="Arial" w:cs="Arial" w:eastAsia="Arial" w:hAnsi="Arial"/>
          <w:color w:val="1C1C1C"/>
          <w:sz w:val="20"/>
          <w:szCs w:val="20"/>
        </w:rPr>
        <w:t xml:space="preserve">Identifying the best vertical markets for a Next.js + Supabase + pgvector RAG boilerplate, evaluated through the lens of a solo indie developer aiming to go deep vs. broad.</w:t>
      </w:r>
    </w:p>
    <w:p>
      <w:pPr>
        <w:spacing w:before="80"/>
      </w:pPr>
    </w:p>
    <w:p>
      <w:pPr>
        <w:spacing w:before="80" w:after="120"/>
      </w:pPr>
      <w:r>
        <w:rPr>
          <w:rFonts w:ascii="Arial" w:cs="Arial" w:eastAsia="Arial" w:hAnsi="Arial"/>
          <w:i/>
          <w:iCs/>
          <w:color w:val="5D6D7E"/>
          <w:sz w:val="20"/>
          <w:szCs w:val="20"/>
        </w:rPr>
        <w:t xml:space="preserve">February 2026 · Tier Tech International / Internal Strategy</w:t>
      </w:r>
    </w:p>
    <w:p>
      <w:r>
        <w:br w:type="page"/>
      </w:r>
    </w:p>
    <w:p>
      <w:pPr>
        <w:pStyle w:val="Heading1"/>
        <w:spacing w:before="360" w:after="180"/>
      </w:pPr>
      <w:r>
        <w:rPr>
          <w:rFonts w:ascii="Arial" w:cs="Arial" w:eastAsia="Arial" w:hAnsi="Arial"/>
          <w:b/>
          <w:bCs/>
          <w:color w:val="1B3A6B"/>
          <w:sz w:val="36"/>
          <w:szCs w:val="36"/>
        </w:rPr>
        <w:t xml:space="preserve">Executive Summary</w:t>
      </w:r>
    </w:p>
    <w:p>
      <w:pPr>
        <w:spacing w:before="80" w:after="120"/>
      </w:pPr>
      <w:r>
        <w:rPr>
          <w:rFonts w:ascii="Arial" w:cs="Arial" w:eastAsia="Arial" w:hAnsi="Arial"/>
          <w:color w:val="1C1C1C"/>
          <w:sz w:val="20"/>
          <w:szCs w:val="20"/>
        </w:rPr>
        <w:t xml:space="preserve">The research points to three clear "Strong Pick" verticals where a solo developer can ship a product quickly, reach buyers through accessible communities, and charge meaningful monthly recurring revenue: Real Estate, Insurance (Independent Agents), and Legal (Small Firms). A fourth vertical — Construction/Architecture — earns "Sleeper Pick" status given exceptionally low competition despite requiring more careful scoping of the document problem.</w:t>
      </w:r>
    </w:p>
    <w:p>
      <w:pPr>
        <w:spacing w:before="80"/>
      </w:pPr>
    </w:p>
    <w:p>
      <w:pPr>
        <w:spacing w:before="80" w:after="120"/>
      </w:pPr>
      <w:r>
        <w:rPr>
          <w:rFonts w:ascii="Arial" w:cs="Arial" w:eastAsia="Arial" w:hAnsi="Arial"/>
          <w:color w:val="1C1C1C"/>
          <w:sz w:val="20"/>
          <w:szCs w:val="20"/>
        </w:rPr>
        <w:t xml:space="preserve">Two verticals score "Caution": HR/People Ops (too competitive at the generic tool level) and Financial Services (high WTP but slow procurement and regulatory overhead). Two earn an explicit "Avoid" for v1: SaaS Customer Support (already won by funded incumbents) and Healthcare (HIPAA is a real blocker for indie developers).</w:t>
      </w:r>
    </w:p>
    <w:p>
      <w:pPr>
        <w:spacing w:before="80"/>
      </w:pPr>
    </w:p>
    <w:p>
      <w:pPr>
        <w:spacing w:before="80" w:after="120"/>
      </w:pPr>
      <w:r>
        <w:rPr>
          <w:rFonts w:ascii="Arial" w:cs="Arial" w:eastAsia="Arial" w:hAnsi="Arial"/>
          <w:color w:val="1C1C1C"/>
          <w:sz w:val="20"/>
          <w:szCs w:val="20"/>
        </w:rPr>
        <w:t xml:space="preserve">The clearest immediate opportunity is building a policy/procedure document Q&amp;A tool aimed at real estate agents and property managers — fast to build, easy to reach, obvious ROI, and almost no competition at that segment level.</w:t>
      </w:r>
    </w:p>
    <w:p>
      <w:pPr>
        <w:spacing w:before="160"/>
      </w:pPr>
    </w:p>
    <w:p>
      <w:pPr>
        <w:pStyle w:val="Heading2"/>
        <w:pBdr>
          <w:bottom w:val="single" w:color="2E86C1" w:sz="4" w:space="4"/>
        </w:pBdr>
        <w:spacing w:before="280" w:after="120"/>
      </w:pPr>
      <w:r>
        <w:rPr>
          <w:rFonts w:ascii="Arial" w:cs="Arial" w:eastAsia="Arial" w:hAnsi="Arial"/>
          <w:b/>
          <w:bCs/>
          <w:color w:val="1B3A6B"/>
          <w:sz w:val="26"/>
          <w:szCs w:val="26"/>
        </w:rPr>
        <w:t xml:space="preserve">Verdict Guide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3E0" w:sz="1"/>
              <w:left w:val="single" w:color="C5D3E0" w:sz="1"/>
              <w:bottom w:val="single" w:color="C5D3E0" w:sz="1"/>
              <w:right w:val="single" w:color="C5D3E0"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STRONG PICK</w:t>
            </w:r>
          </w:p>
        </w:tc>
        <w:tc>
          <w:tcPr>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Best fit for indie dev — ship fast, real market need, accessible buyers</w:t>
            </w:r>
          </w:p>
        </w:tc>
      </w:tr>
      <w:tr>
        <w:tc>
          <w:tcPr>
            <w:tcBorders>
              <w:top w:val="single" w:color="C5D3E0" w:sz="1"/>
              <w:left w:val="single" w:color="C5D3E0" w:sz="1"/>
              <w:bottom w:val="single" w:color="C5D3E0" w:sz="1"/>
              <w:right w:val="single" w:color="C5D3E0" w:sz="1"/>
            </w:tcBorders>
            <w:shd w:fill="6C348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SLEEPER PICK</w:t>
            </w:r>
          </w:p>
        </w:tc>
        <w:tc>
          <w:tcPr>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Strong opportunity but requires more effort to reach/serve</w:t>
            </w:r>
          </w:p>
        </w:tc>
      </w:tr>
      <w:tr>
        <w:tc>
          <w:tcPr>
            <w:tcBorders>
              <w:top w:val="single" w:color="C5D3E0" w:sz="1"/>
              <w:left w:val="single" w:color="C5D3E0" w:sz="1"/>
              <w:bottom w:val="single" w:color="C5D3E0" w:sz="1"/>
              <w:right w:val="single" w:color="C5D3E0"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CAUTION</w:t>
            </w:r>
          </w:p>
        </w:tc>
        <w:tc>
          <w:tcPr>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Viable but has significant competitive or complexity headwinds</w:t>
            </w:r>
          </w:p>
        </w:tc>
      </w:tr>
      <w:tr>
        <w:tc>
          <w:tcPr>
            <w:tcBorders>
              <w:top w:val="single" w:color="C5D3E0" w:sz="1"/>
              <w:left w:val="single" w:color="C5D3E0" w:sz="1"/>
              <w:bottom w:val="single" w:color="C5D3E0" w:sz="1"/>
              <w:right w:val="single" w:color="C5D3E0"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AVOID</w:t>
            </w:r>
          </w:p>
        </w:tc>
        <w:tc>
          <w:tcPr>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Not recommended — either too competitive or too regulated for v1</w:t>
            </w:r>
          </w:p>
        </w:tc>
      </w:tr>
    </w:tbl>
    <w:p>
      <w:pPr>
        <w:spacing w:before="240"/>
      </w:pPr>
    </w:p>
    <w:p>
      <w:pPr>
        <w:pStyle w:val="Heading2"/>
        <w:pBdr>
          <w:bottom w:val="single" w:color="2E86C1" w:sz="4" w:space="4"/>
        </w:pBdr>
        <w:spacing w:before="280" w:after="120"/>
      </w:pPr>
      <w:r>
        <w:rPr>
          <w:rFonts w:ascii="Arial" w:cs="Arial" w:eastAsia="Arial" w:hAnsi="Arial"/>
          <w:b/>
          <w:bCs/>
          <w:color w:val="1B3A6B"/>
          <w:sz w:val="26"/>
          <w:szCs w:val="26"/>
        </w:rPr>
        <w:t xml:space="preserve">Scoring Methodology</w:t>
      </w:r>
    </w:p>
    <w:p>
      <w:pPr>
        <w:spacing w:before="80" w:after="120"/>
      </w:pPr>
      <w:r>
        <w:rPr>
          <w:rFonts w:ascii="Arial" w:cs="Arial" w:eastAsia="Arial" w:hAnsi="Arial"/>
          <w:color w:val="1C1C1C"/>
          <w:sz w:val="20"/>
          <w:szCs w:val="20"/>
        </w:rPr>
        <w:t xml:space="preserve">Each vertical is scored 1–5 across seven criteria weighted equally, for a maximum score of 35. Scores reflect the experience of a solo developer targeting SMB buyers, not an enterprise sales team.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rPr>
          <w:tblHeader/>
        </w:trPr>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Criterion</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What It Measures</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 Score (5)</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 Score (1)</w:t>
            </w:r>
          </w:p>
        </w:tc>
      </w:tr>
      <w:tr>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WTP</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Revenue ceiling — how much customers will pay monthly</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$300+/mo viable; clear ROI to buyer</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&lt;$100/mo; commodity pricing pressure</w:t>
            </w:r>
          </w:p>
        </w:tc>
      </w:tr>
      <w:tr>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bCs/>
                <w:color w:val="1B3A6B"/>
                <w:sz w:val="18"/>
                <w:szCs w:val="18"/>
              </w:rPr>
              <w:t xml:space="preserve">Accessibility</w:t>
            </w:r>
          </w:p>
        </w:tc>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val="false"/>
                <w:bCs w:val="false"/>
                <w:color w:val="1C1C1C"/>
                <w:sz w:val="18"/>
                <w:szCs w:val="18"/>
              </w:rPr>
              <w:t xml:space="preserve">How easy it is to find, reach, and sell to this market</w:t>
            </w:r>
          </w:p>
        </w:tc>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val="false"/>
                <w:bCs w:val="false"/>
                <w:color w:val="1C1C1C"/>
                <w:sz w:val="18"/>
                <w:szCs w:val="18"/>
              </w:rPr>
              <w:t xml:space="preserve">Active communities; credit card decisions</w:t>
            </w:r>
          </w:p>
        </w:tc>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val="false"/>
                <w:bCs w:val="false"/>
                <w:color w:val="1C1C1C"/>
                <w:sz w:val="18"/>
                <w:szCs w:val="18"/>
              </w:rPr>
              <w:t xml:space="preserve">Enterprise procurement; hard-to-find buyers</w:t>
            </w:r>
          </w:p>
        </w:tc>
      </w:tr>
      <w:tr>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Reg. Ease</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Regulatory friction for an indie dev without a legal team</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No specialized compliance required</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HIPAA/FINRA/etc. require legal review + audits</w:t>
            </w:r>
          </w:p>
        </w:tc>
      </w:tr>
      <w:tr>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bCs/>
                <w:color w:val="1B3A6B"/>
                <w:sz w:val="18"/>
                <w:szCs w:val="18"/>
              </w:rPr>
              <w:t xml:space="preserve">Doc Fit</w:t>
            </w:r>
          </w:p>
        </w:tc>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val="false"/>
                <w:bCs w:val="false"/>
                <w:color w:val="1C1C1C"/>
                <w:sz w:val="18"/>
                <w:szCs w:val="18"/>
              </w:rPr>
              <w:t xml:space="preserve">How well the RAG boilerplate handles their documents</w:t>
            </w:r>
          </w:p>
        </w:tc>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val="false"/>
                <w:bCs w:val="false"/>
                <w:color w:val="1C1C1C"/>
                <w:sz w:val="18"/>
                <w:szCs w:val="18"/>
              </w:rPr>
              <w:t xml:space="preserve">Dense text PDFs; structured policies; clear Q&amp;A patterns</w:t>
            </w:r>
          </w:p>
        </w:tc>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val="false"/>
                <w:bCs w:val="false"/>
                <w:color w:val="1C1C1C"/>
                <w:sz w:val="18"/>
                <w:szCs w:val="18"/>
              </w:rPr>
              <w:t xml:space="preserve">Heavy tables; drawings; real-time data needs</w:t>
            </w:r>
          </w:p>
        </w:tc>
      </w:tr>
      <w:tr>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Competition</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Competitive density from funded incumbents</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Green field; few dedicated vertical tools</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Well-funded SaaS incumbents with deep integrations</w:t>
            </w:r>
          </w:p>
        </w:tc>
      </w:tr>
      <w:tr>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bCs/>
                <w:color w:val="1B3A6B"/>
                <w:sz w:val="18"/>
                <w:szCs w:val="18"/>
              </w:rPr>
              <w:t xml:space="preserve">Sales Speed</w:t>
            </w:r>
          </w:p>
        </w:tc>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val="false"/>
                <w:bCs w:val="false"/>
                <w:color w:val="1C1C1C"/>
                <w:sz w:val="18"/>
                <w:szCs w:val="18"/>
              </w:rPr>
              <w:t xml:space="preserve">Time from first contact to paying customer</w:t>
            </w:r>
          </w:p>
        </w:tc>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val="false"/>
                <w:bCs w:val="false"/>
                <w:color w:val="1C1C1C"/>
                <w:sz w:val="18"/>
                <w:szCs w:val="18"/>
              </w:rPr>
              <w:t xml:space="preserve">Same-day credit card; self-serve trial</w:t>
            </w:r>
          </w:p>
        </w:tc>
        <w:tc>
          <w:tcPr>
            <w:tcBorders>
              <w:top w:val="single" w:color="C5D3E0" w:sz="1"/>
              <w:left w:val="single" w:color="C5D3E0" w:sz="1"/>
              <w:bottom w:val="single" w:color="C5D3E0" w:sz="1"/>
              <w:right w:val="single" w:color="C5D3E0" w:sz="1"/>
            </w:tcBorders>
            <w:shd w:fill="F5F8FC" w:val="clear"/>
            <w:tcMar>
              <w:top w:type="dxa" w:w="60"/>
              <w:left w:type="dxa" w:w="120"/>
              <w:bottom w:type="dxa" w:w="60"/>
              <w:right w:type="dxa" w:w="120"/>
            </w:tcMar>
          </w:tcPr>
          <w:p>
            <w:r>
              <w:rPr>
                <w:rFonts w:ascii="Arial" w:cs="Arial" w:eastAsia="Arial" w:hAnsi="Arial"/>
                <w:b w:val="false"/>
                <w:bCs w:val="false"/>
                <w:color w:val="1C1C1C"/>
                <w:sz w:val="18"/>
                <w:szCs w:val="18"/>
              </w:rPr>
              <w:t xml:space="preserve">6+ month procurement cycle; legal review required</w:t>
            </w:r>
          </w:p>
        </w:tc>
      </w:tr>
      <w:tr>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Build Speed</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Weeks to ship a vertical product on top of the boilerplate</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1–3 weeks; minimal integrations needed</w:t>
            </w:r>
          </w:p>
        </w:tc>
        <w:tc>
          <w:tcPr>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b w:val="false"/>
                <w:bCs w:val="false"/>
                <w:color w:val="1C1C1C"/>
                <w:sz w:val="18"/>
                <w:szCs w:val="18"/>
              </w:rPr>
              <w:t xml:space="preserve">8+ weeks; complex compliance or integration requirements</w:t>
            </w:r>
          </w:p>
        </w:tc>
      </w:tr>
    </w:tbl>
    <w:p>
      <w:r>
        <w:br w:type="page"/>
      </w:r>
    </w:p>
    <w:p>
      <w:pPr>
        <w:pStyle w:val="Heading1"/>
        <w:spacing w:before="360" w:after="180"/>
      </w:pPr>
      <w:r>
        <w:rPr>
          <w:rFonts w:ascii="Arial" w:cs="Arial" w:eastAsia="Arial" w:hAnsi="Arial"/>
          <w:b/>
          <w:bCs/>
          <w:color w:val="1B3A6B"/>
          <w:sz w:val="36"/>
          <w:szCs w:val="36"/>
        </w:rPr>
        <w:t xml:space="preserve">Vertical Comparison Matrix</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0"/>
        <w:gridCol w:w="700"/>
        <w:gridCol w:w="700"/>
        <w:gridCol w:w="700"/>
        <w:gridCol w:w="770"/>
        <w:gridCol w:w="720"/>
        <w:gridCol w:w="720"/>
        <w:gridCol w:w="700"/>
        <w:gridCol w:w="1000"/>
      </w:tblGrid>
      <w:tr>
        <w:trPr>
          <w:tblHeader/>
        </w:trPr>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Vertical</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WTP</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Accessibility</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Reg. Ease</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Doc Fit</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Competition</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Sales Speed</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Build Speed</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Total</w:t>
            </w:r>
          </w:p>
        </w:tc>
        <w:tc>
          <w:tcPr>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Verdict</w:t>
            </w:r>
          </w:p>
        </w:tc>
      </w:tr>
      <w:tr>
        <w:tc>
          <w:tcPr>
            <w:gridSpan w:val="10"/>
            <w:tcBorders>
              <w:top w:val="single" w:color="C5D3E0" w:sz="1"/>
              <w:left w:val="single" w:color="C5D3E0" w:sz="1"/>
              <w:bottom w:val="single" w:color="C5D3E0" w:sz="1"/>
              <w:right w:val="single" w:color="C5D3E0" w:sz="1"/>
            </w:tcBorders>
            <w:shd w:fill="D6E4F0" w:val="clear"/>
            <w:tcMar>
              <w:top w:type="dxa" w:w="60"/>
              <w:left w:type="dxa" w:w="120"/>
              <w:bottom w:type="dxa" w:w="60"/>
              <w:right w:type="dxa" w:w="120"/>
            </w:tcMar>
          </w:tcPr>
          <w:p>
            <w:r>
              <w:rPr>
                <w:rFonts w:ascii="Arial" w:cs="Arial" w:eastAsia="Arial" w:hAnsi="Arial"/>
                <w:color w:val="5D6D7E"/>
                <w:sz w:val="17"/>
                <w:szCs w:val="17"/>
              </w:rPr>
              <w:t xml:space="preserve">Scores 1–5 (higher = better for indie dev). All criteria weighted equally. Total out of 35.</w:t>
            </w:r>
          </w:p>
        </w:tc>
      </w:tr>
      <w:tr>
        <w:tc>
          <w:tcPr>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Real Estate</w:t>
            </w:r>
          </w:p>
          <w:p>
            <w:r>
              <w:rPr>
                <w:rFonts w:ascii="Arial" w:cs="Arial" w:eastAsia="Arial" w:hAnsi="Arial"/>
                <w:i/>
                <w:iCs/>
                <w:color w:val="5D6D7E"/>
                <w:sz w:val="16"/>
                <w:szCs w:val="16"/>
              </w:rPr>
              <w:t xml:space="preserve">Agents, brokers, property managers</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1A7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30/35</w:t>
            </w:r>
          </w:p>
        </w:tc>
        <w:tc>
          <w:tcPr>
            <w:tcBorders>
              <w:top w:val="single" w:color="C5D3E0" w:sz="1"/>
              <w:left w:val="single" w:color="C5D3E0" w:sz="1"/>
              <w:bottom w:val="single" w:color="C5D3E0" w:sz="1"/>
              <w:right w:val="single" w:color="C5D3E0"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STRONG PICK</w:t>
            </w:r>
          </w:p>
        </w:tc>
      </w:tr>
      <w:tr>
        <w:tc>
          <w:tcPr>
            <w:tcBorders>
              <w:top w:val="single" w:color="C5D3E0" w:sz="1"/>
              <w:left w:val="single" w:color="C5D3E0" w:sz="1"/>
              <w:bottom w:val="single" w:color="C5D3E0" w:sz="1"/>
              <w:right w:val="single" w:color="C5D3E0" w:sz="1"/>
            </w:tcBorders>
            <w:shd w:fill="F5F8FC" w:val="clear"/>
            <w:tcMar>
              <w:top w:type="dxa" w:w="80"/>
              <w:left w:type="dxa" w:w="120"/>
              <w:bottom w:type="dxa" w:w="80"/>
              <w:right w:type="dxa" w:w="120"/>
            </w:tcMar>
            <w:vAlign w:val="center"/>
          </w:tcPr>
          <w:p>
            <w:r>
              <w:rPr>
                <w:rFonts w:ascii="Arial" w:cs="Arial" w:eastAsia="Arial" w:hAnsi="Arial"/>
                <w:b/>
                <w:bCs/>
                <w:color w:val="1B3A6B"/>
                <w:sz w:val="20"/>
                <w:szCs w:val="20"/>
              </w:rPr>
              <w:t xml:space="preserve">Insurance (Independent)</w:t>
            </w:r>
          </w:p>
          <w:p>
            <w:r>
              <w:rPr>
                <w:rFonts w:ascii="Arial" w:cs="Arial" w:eastAsia="Arial" w:hAnsi="Arial"/>
                <w:i/>
                <w:iCs/>
                <w:color w:val="5D6D7E"/>
                <w:sz w:val="16"/>
                <w:szCs w:val="16"/>
              </w:rPr>
              <w:t xml:space="preserve">Independent agents and brokers</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DDCDC" w:val="clear"/>
            <w:tcMar>
              <w:top w:type="dxa" w:w="80"/>
              <w:left w:type="dxa" w:w="120"/>
              <w:bottom w:type="dxa" w:w="80"/>
              <w:right w:type="dxa" w:w="120"/>
            </w:tcMar>
            <w:vAlign w:val="center"/>
          </w:tcPr>
          <w:p>
            <w:pPr>
              <w:jc w:val="center"/>
            </w:pPr>
            <w:r>
              <w:rPr>
                <w:rFonts w:ascii="Arial" w:cs="Arial" w:eastAsia="Arial" w:hAnsi="Arial"/>
                <w:b/>
                <w:bCs/>
                <w:i w:val="false"/>
                <w:iCs w:val="false"/>
                <w:color w:val="8B1A1A"/>
                <w:sz w:val="18"/>
                <w:szCs w:val="18"/>
              </w:rPr>
              <w:t xml:space="preserve">2</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4A01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26/35</w:t>
            </w:r>
          </w:p>
        </w:tc>
        <w:tc>
          <w:tcPr>
            <w:tcBorders>
              <w:top w:val="single" w:color="C5D3E0" w:sz="1"/>
              <w:left w:val="single" w:color="C5D3E0" w:sz="1"/>
              <w:bottom w:val="single" w:color="C5D3E0" w:sz="1"/>
              <w:right w:val="single" w:color="C5D3E0"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STRONG PICK</w:t>
            </w:r>
          </w:p>
        </w:tc>
      </w:tr>
      <w:tr>
        <w:tc>
          <w:tcPr>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Legal (Small Firms)</w:t>
            </w:r>
          </w:p>
          <w:p>
            <w:r>
              <w:rPr>
                <w:rFonts w:ascii="Arial" w:cs="Arial" w:eastAsia="Arial" w:hAnsi="Arial"/>
                <w:i/>
                <w:iCs/>
                <w:color w:val="5D6D7E"/>
                <w:sz w:val="16"/>
                <w:szCs w:val="16"/>
              </w:rPr>
              <w:t xml:space="preserve">Solo attorneys and boutique firms (1–10 attorneys)</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4A01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24/35</w:t>
            </w:r>
          </w:p>
        </w:tc>
        <w:tc>
          <w:tcPr>
            <w:tcBorders>
              <w:top w:val="single" w:color="C5D3E0" w:sz="1"/>
              <w:left w:val="single" w:color="C5D3E0" w:sz="1"/>
              <w:bottom w:val="single" w:color="C5D3E0" w:sz="1"/>
              <w:right w:val="single" w:color="C5D3E0"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STRONG PICK</w:t>
            </w:r>
          </w:p>
        </w:tc>
      </w:tr>
      <w:tr>
        <w:tc>
          <w:tcPr>
            <w:tcBorders>
              <w:top w:val="single" w:color="C5D3E0" w:sz="1"/>
              <w:left w:val="single" w:color="C5D3E0" w:sz="1"/>
              <w:bottom w:val="single" w:color="C5D3E0" w:sz="1"/>
              <w:right w:val="single" w:color="C5D3E0" w:sz="1"/>
            </w:tcBorders>
            <w:shd w:fill="F5F8FC" w:val="clear"/>
            <w:tcMar>
              <w:top w:type="dxa" w:w="80"/>
              <w:left w:type="dxa" w:w="120"/>
              <w:bottom w:type="dxa" w:w="80"/>
              <w:right w:type="dxa" w:w="120"/>
            </w:tcMar>
            <w:vAlign w:val="center"/>
          </w:tcPr>
          <w:p>
            <w:r>
              <w:rPr>
                <w:rFonts w:ascii="Arial" w:cs="Arial" w:eastAsia="Arial" w:hAnsi="Arial"/>
                <w:b/>
                <w:bCs/>
                <w:color w:val="1B3A6B"/>
                <w:sz w:val="20"/>
                <w:szCs w:val="20"/>
              </w:rPr>
              <w:t xml:space="preserve">HR / People Ops</w:t>
            </w:r>
          </w:p>
          <w:p>
            <w:r>
              <w:rPr>
                <w:rFonts w:ascii="Arial" w:cs="Arial" w:eastAsia="Arial" w:hAnsi="Arial"/>
                <w:i/>
                <w:iCs/>
                <w:color w:val="5D6D7E"/>
                <w:sz w:val="16"/>
                <w:szCs w:val="16"/>
              </w:rPr>
              <w:t xml:space="preserve">SMBs with 20–500 employees</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DDCDC" w:val="clear"/>
            <w:tcMar>
              <w:top w:type="dxa" w:w="80"/>
              <w:left w:type="dxa" w:w="120"/>
              <w:bottom w:type="dxa" w:w="80"/>
              <w:right w:type="dxa" w:w="120"/>
            </w:tcMar>
            <w:vAlign w:val="center"/>
          </w:tcPr>
          <w:p>
            <w:pPr>
              <w:jc w:val="center"/>
            </w:pPr>
            <w:r>
              <w:rPr>
                <w:rFonts w:ascii="Arial" w:cs="Arial" w:eastAsia="Arial" w:hAnsi="Arial"/>
                <w:b/>
                <w:bCs/>
                <w:i w:val="false"/>
                <w:iCs w:val="false"/>
                <w:color w:val="8B1A1A"/>
                <w:sz w:val="18"/>
                <w:szCs w:val="18"/>
              </w:rPr>
              <w:t xml:space="preserve">2</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1A7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27/35</w:t>
            </w:r>
          </w:p>
        </w:tc>
        <w:tc>
          <w:tcPr>
            <w:tcBorders>
              <w:top w:val="single" w:color="C5D3E0" w:sz="1"/>
              <w:left w:val="single" w:color="C5D3E0" w:sz="1"/>
              <w:bottom w:val="single" w:color="C5D3E0" w:sz="1"/>
              <w:right w:val="single" w:color="C5D3E0" w:sz="1"/>
            </w:tcBorders>
            <w:shd w:fill="D4A01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CAUTION</w:t>
            </w:r>
          </w:p>
        </w:tc>
      </w:tr>
      <w:tr>
        <w:tc>
          <w:tcPr>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Construction / Architecture</w:t>
            </w:r>
          </w:p>
          <w:p>
            <w:r>
              <w:rPr>
                <w:rFonts w:ascii="Arial" w:cs="Arial" w:eastAsia="Arial" w:hAnsi="Arial"/>
                <w:i/>
                <w:iCs/>
                <w:color w:val="5D6D7E"/>
                <w:sz w:val="16"/>
                <w:szCs w:val="16"/>
              </w:rPr>
              <w:t xml:space="preserve">General contractors, architects, civil engineers</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4A01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26/35</w:t>
            </w:r>
          </w:p>
        </w:tc>
        <w:tc>
          <w:tcPr>
            <w:tcBorders>
              <w:top w:val="single" w:color="C5D3E0" w:sz="1"/>
              <w:left w:val="single" w:color="C5D3E0" w:sz="1"/>
              <w:bottom w:val="single" w:color="C5D3E0" w:sz="1"/>
              <w:right w:val="single" w:color="C5D3E0" w:sz="1"/>
            </w:tcBorders>
            <w:shd w:fill="6C348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SLEEPER PICK</w:t>
            </w:r>
          </w:p>
        </w:tc>
      </w:tr>
      <w:tr>
        <w:tc>
          <w:tcPr>
            <w:tcBorders>
              <w:top w:val="single" w:color="C5D3E0" w:sz="1"/>
              <w:left w:val="single" w:color="C5D3E0" w:sz="1"/>
              <w:bottom w:val="single" w:color="C5D3E0" w:sz="1"/>
              <w:right w:val="single" w:color="C5D3E0" w:sz="1"/>
            </w:tcBorders>
            <w:shd w:fill="F5F8FC" w:val="clear"/>
            <w:tcMar>
              <w:top w:type="dxa" w:w="80"/>
              <w:left w:type="dxa" w:w="120"/>
              <w:bottom w:type="dxa" w:w="80"/>
              <w:right w:type="dxa" w:w="120"/>
            </w:tcMar>
            <w:vAlign w:val="center"/>
          </w:tcPr>
          <w:p>
            <w:r>
              <w:rPr>
                <w:rFonts w:ascii="Arial" w:cs="Arial" w:eastAsia="Arial" w:hAnsi="Arial"/>
                <w:b/>
                <w:bCs/>
                <w:color w:val="1B3A6B"/>
                <w:sz w:val="20"/>
                <w:szCs w:val="20"/>
              </w:rPr>
              <w:t xml:space="preserve">Financial Services</w:t>
            </w:r>
          </w:p>
          <w:p>
            <w:r>
              <w:rPr>
                <w:rFonts w:ascii="Arial" w:cs="Arial" w:eastAsia="Arial" w:hAnsi="Arial"/>
                <w:i/>
                <w:iCs/>
                <w:color w:val="5D6D7E"/>
                <w:sz w:val="16"/>
                <w:szCs w:val="16"/>
              </w:rPr>
              <w:t xml:space="preserve">RIAs, mortgage brokers, accounting firms</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DDCDC" w:val="clear"/>
            <w:tcMar>
              <w:top w:type="dxa" w:w="80"/>
              <w:left w:type="dxa" w:w="120"/>
              <w:bottom w:type="dxa" w:w="80"/>
              <w:right w:type="dxa" w:w="120"/>
            </w:tcMar>
            <w:vAlign w:val="center"/>
          </w:tcPr>
          <w:p>
            <w:pPr>
              <w:jc w:val="center"/>
            </w:pPr>
            <w:r>
              <w:rPr>
                <w:rFonts w:ascii="Arial" w:cs="Arial" w:eastAsia="Arial" w:hAnsi="Arial"/>
                <w:b/>
                <w:bCs/>
                <w:i w:val="false"/>
                <w:iCs w:val="false"/>
                <w:color w:val="8B1A1A"/>
                <w:sz w:val="18"/>
                <w:szCs w:val="18"/>
              </w:rPr>
              <w:t xml:space="preserve">2</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4A01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24/35</w:t>
            </w:r>
          </w:p>
        </w:tc>
        <w:tc>
          <w:tcPr>
            <w:tcBorders>
              <w:top w:val="single" w:color="C5D3E0" w:sz="1"/>
              <w:left w:val="single" w:color="C5D3E0" w:sz="1"/>
              <w:bottom w:val="single" w:color="C5D3E0" w:sz="1"/>
              <w:right w:val="single" w:color="C5D3E0" w:sz="1"/>
            </w:tcBorders>
            <w:shd w:fill="D4A017"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CAUTION</w:t>
            </w:r>
          </w:p>
        </w:tc>
      </w:tr>
      <w:tr>
        <w:tc>
          <w:tcPr>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SaaS Customer Support</w:t>
            </w:r>
          </w:p>
          <w:p>
            <w:r>
              <w:rPr>
                <w:rFonts w:ascii="Arial" w:cs="Arial" w:eastAsia="Arial" w:hAnsi="Arial"/>
                <w:i/>
                <w:iCs/>
                <w:color w:val="5D6D7E"/>
                <w:sz w:val="16"/>
                <w:szCs w:val="16"/>
              </w:rPr>
              <w:t xml:space="preserve">Software companies with product documentation</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FDDCDC" w:val="clear"/>
            <w:tcMar>
              <w:top w:type="dxa" w:w="80"/>
              <w:left w:type="dxa" w:w="120"/>
              <w:bottom w:type="dxa" w:w="80"/>
              <w:right w:type="dxa" w:w="120"/>
            </w:tcMar>
            <w:vAlign w:val="center"/>
          </w:tcPr>
          <w:p>
            <w:pPr>
              <w:jc w:val="center"/>
            </w:pPr>
            <w:r>
              <w:rPr>
                <w:rFonts w:ascii="Arial" w:cs="Arial" w:eastAsia="Arial" w:hAnsi="Arial"/>
                <w:b/>
                <w:bCs/>
                <w:i w:val="false"/>
                <w:iCs w:val="false"/>
                <w:color w:val="8B1A1A"/>
                <w:sz w:val="18"/>
                <w:szCs w:val="18"/>
              </w:rPr>
              <w:t xml:space="preserve">1</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1A7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28/35</w:t>
            </w:r>
          </w:p>
        </w:tc>
        <w:tc>
          <w:tcPr>
            <w:tcBorders>
              <w:top w:val="single" w:color="C5D3E0" w:sz="1"/>
              <w:left w:val="single" w:color="C5D3E0" w:sz="1"/>
              <w:bottom w:val="single" w:color="C5D3E0" w:sz="1"/>
              <w:right w:val="single" w:color="C5D3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AVOID</w:t>
            </w:r>
          </w:p>
        </w:tc>
      </w:tr>
      <w:tr>
        <w:tc>
          <w:tcPr>
            <w:tcBorders>
              <w:top w:val="single" w:color="C5D3E0" w:sz="1"/>
              <w:left w:val="single" w:color="C5D3E0" w:sz="1"/>
              <w:bottom w:val="single" w:color="C5D3E0" w:sz="1"/>
              <w:right w:val="single" w:color="C5D3E0" w:sz="1"/>
            </w:tcBorders>
            <w:shd w:fill="F5F8FC" w:val="clear"/>
            <w:tcMar>
              <w:top w:type="dxa" w:w="80"/>
              <w:left w:type="dxa" w:w="120"/>
              <w:bottom w:type="dxa" w:w="80"/>
              <w:right w:type="dxa" w:w="120"/>
            </w:tcMar>
            <w:vAlign w:val="center"/>
          </w:tcPr>
          <w:p>
            <w:r>
              <w:rPr>
                <w:rFonts w:ascii="Arial" w:cs="Arial" w:eastAsia="Arial" w:hAnsi="Arial"/>
                <w:b/>
                <w:bCs/>
                <w:color w:val="1B3A6B"/>
                <w:sz w:val="20"/>
                <w:szCs w:val="20"/>
              </w:rPr>
              <w:t xml:space="preserve">Healthcare</w:t>
            </w:r>
          </w:p>
          <w:p>
            <w:r>
              <w:rPr>
                <w:rFonts w:ascii="Arial" w:cs="Arial" w:eastAsia="Arial" w:hAnsi="Arial"/>
                <w:i/>
                <w:iCs/>
                <w:color w:val="5D6D7E"/>
                <w:sz w:val="16"/>
                <w:szCs w:val="16"/>
              </w:rPr>
              <w:t xml:space="preserve">Private practices, clinics, telehealth platforms</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5</w:t>
            </w:r>
          </w:p>
        </w:tc>
        <w:tc>
          <w:tcPr>
            <w:gridSpan w:val="1"/>
            <w:tcBorders>
              <w:top w:val="single" w:color="C5D3E0" w:sz="1"/>
              <w:left w:val="single" w:color="C5D3E0" w:sz="1"/>
              <w:bottom w:val="single" w:color="C5D3E0" w:sz="1"/>
              <w:right w:val="single" w:color="C5D3E0" w:sz="1"/>
            </w:tcBorders>
            <w:shd w:fill="FDDCDC" w:val="clear"/>
            <w:tcMar>
              <w:top w:type="dxa" w:w="80"/>
              <w:left w:type="dxa" w:w="120"/>
              <w:bottom w:type="dxa" w:w="80"/>
              <w:right w:type="dxa" w:w="120"/>
            </w:tcMar>
            <w:vAlign w:val="center"/>
          </w:tcPr>
          <w:p>
            <w:pPr>
              <w:jc w:val="center"/>
            </w:pPr>
            <w:r>
              <w:rPr>
                <w:rFonts w:ascii="Arial" w:cs="Arial" w:eastAsia="Arial" w:hAnsi="Arial"/>
                <w:b/>
                <w:bCs/>
                <w:i w:val="false"/>
                <w:iCs w:val="false"/>
                <w:color w:val="8B1A1A"/>
                <w:sz w:val="18"/>
                <w:szCs w:val="18"/>
              </w:rPr>
              <w:t xml:space="preserve">2</w:t>
            </w:r>
          </w:p>
        </w:tc>
        <w:tc>
          <w:tcPr>
            <w:gridSpan w:val="1"/>
            <w:tcBorders>
              <w:top w:val="single" w:color="C5D3E0" w:sz="1"/>
              <w:left w:val="single" w:color="C5D3E0" w:sz="1"/>
              <w:bottom w:val="single" w:color="C5D3E0" w:sz="1"/>
              <w:right w:val="single" w:color="C5D3E0" w:sz="1"/>
            </w:tcBorders>
            <w:shd w:fill="FDDCDC" w:val="clear"/>
            <w:tcMar>
              <w:top w:type="dxa" w:w="80"/>
              <w:left w:type="dxa" w:w="120"/>
              <w:bottom w:type="dxa" w:w="80"/>
              <w:right w:type="dxa" w:w="120"/>
            </w:tcMar>
            <w:vAlign w:val="center"/>
          </w:tcPr>
          <w:p>
            <w:pPr>
              <w:jc w:val="center"/>
            </w:pPr>
            <w:r>
              <w:rPr>
                <w:rFonts w:ascii="Arial" w:cs="Arial" w:eastAsia="Arial" w:hAnsi="Arial"/>
                <w:b/>
                <w:bCs/>
                <w:i w:val="false"/>
                <w:iCs w:val="false"/>
                <w:color w:val="8B1A1A"/>
                <w:sz w:val="18"/>
                <w:szCs w:val="18"/>
              </w:rPr>
              <w:t xml:space="preserve">1</w:t>
            </w:r>
          </w:p>
        </w:tc>
        <w:tc>
          <w:tcPr>
            <w:gridSpan w:val="1"/>
            <w:tcBorders>
              <w:top w:val="single" w:color="C5D3E0" w:sz="1"/>
              <w:left w:val="single" w:color="C5D3E0" w:sz="1"/>
              <w:bottom w:val="single" w:color="C5D3E0" w:sz="1"/>
              <w:right w:val="single" w:color="C5D3E0" w:sz="1"/>
            </w:tcBorders>
            <w:shd w:fill="D5EED6" w:val="clear"/>
            <w:tcMar>
              <w:top w:type="dxa" w:w="80"/>
              <w:left w:type="dxa" w:w="120"/>
              <w:bottom w:type="dxa" w:w="80"/>
              <w:right w:type="dxa" w:w="120"/>
            </w:tcMar>
            <w:vAlign w:val="center"/>
          </w:tcPr>
          <w:p>
            <w:pPr>
              <w:jc w:val="center"/>
            </w:pPr>
            <w:r>
              <w:rPr>
                <w:rFonts w:ascii="Arial" w:cs="Arial" w:eastAsia="Arial" w:hAnsi="Arial"/>
                <w:b/>
                <w:bCs/>
                <w:i w:val="false"/>
                <w:iCs w:val="false"/>
                <w:color w:val="1A5C2A"/>
                <w:sz w:val="18"/>
                <w:szCs w:val="18"/>
              </w:rPr>
              <w:t xml:space="preserve">4</w:t>
            </w:r>
          </w:p>
        </w:tc>
        <w:tc>
          <w:tcPr>
            <w:gridSpan w:val="1"/>
            <w:tcBorders>
              <w:top w:val="single" w:color="C5D3E0" w:sz="1"/>
              <w:left w:val="single" w:color="C5D3E0" w:sz="1"/>
              <w:bottom w:val="single" w:color="C5D3E0" w:sz="1"/>
              <w:right w:val="single" w:color="C5D3E0"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7D5A00"/>
                <w:sz w:val="18"/>
                <w:szCs w:val="18"/>
              </w:rPr>
              <w:t xml:space="preserve">3</w:t>
            </w:r>
          </w:p>
        </w:tc>
        <w:tc>
          <w:tcPr>
            <w:gridSpan w:val="1"/>
            <w:tcBorders>
              <w:top w:val="single" w:color="C5D3E0" w:sz="1"/>
              <w:left w:val="single" w:color="C5D3E0" w:sz="1"/>
              <w:bottom w:val="single" w:color="C5D3E0" w:sz="1"/>
              <w:right w:val="single" w:color="C5D3E0" w:sz="1"/>
            </w:tcBorders>
            <w:shd w:fill="FDDCDC" w:val="clear"/>
            <w:tcMar>
              <w:top w:type="dxa" w:w="80"/>
              <w:left w:type="dxa" w:w="120"/>
              <w:bottom w:type="dxa" w:w="80"/>
              <w:right w:type="dxa" w:w="120"/>
            </w:tcMar>
            <w:vAlign w:val="center"/>
          </w:tcPr>
          <w:p>
            <w:pPr>
              <w:jc w:val="center"/>
            </w:pPr>
            <w:r>
              <w:rPr>
                <w:rFonts w:ascii="Arial" w:cs="Arial" w:eastAsia="Arial" w:hAnsi="Arial"/>
                <w:b/>
                <w:bCs/>
                <w:i w:val="false"/>
                <w:iCs w:val="false"/>
                <w:color w:val="8B1A1A"/>
                <w:sz w:val="18"/>
                <w:szCs w:val="18"/>
              </w:rPr>
              <w:t xml:space="preserve">2</w:t>
            </w:r>
          </w:p>
        </w:tc>
        <w:tc>
          <w:tcPr>
            <w:gridSpan w:val="1"/>
            <w:tcBorders>
              <w:top w:val="single" w:color="C5D3E0" w:sz="1"/>
              <w:left w:val="single" w:color="C5D3E0" w:sz="1"/>
              <w:bottom w:val="single" w:color="C5D3E0" w:sz="1"/>
              <w:right w:val="single" w:color="C5D3E0" w:sz="1"/>
            </w:tcBorders>
            <w:shd w:fill="FDDCDC" w:val="clear"/>
            <w:tcMar>
              <w:top w:type="dxa" w:w="80"/>
              <w:left w:type="dxa" w:w="120"/>
              <w:bottom w:type="dxa" w:w="80"/>
              <w:right w:type="dxa" w:w="120"/>
            </w:tcMar>
            <w:vAlign w:val="center"/>
          </w:tcPr>
          <w:p>
            <w:pPr>
              <w:jc w:val="center"/>
            </w:pPr>
            <w:r>
              <w:rPr>
                <w:rFonts w:ascii="Arial" w:cs="Arial" w:eastAsia="Arial" w:hAnsi="Arial"/>
                <w:b/>
                <w:bCs/>
                <w:i w:val="false"/>
                <w:iCs w:val="false"/>
                <w:color w:val="8B1A1A"/>
                <w:sz w:val="18"/>
                <w:szCs w:val="18"/>
              </w:rPr>
              <w:t xml:space="preserve">1</w:t>
            </w:r>
          </w:p>
        </w:tc>
        <w:tc>
          <w:tcPr>
            <w:gridSpan w:val="1"/>
            <w:tcBorders>
              <w:top w:val="single" w:color="C5D3E0" w:sz="1"/>
              <w:left w:val="single" w:color="C5D3E0" w:sz="1"/>
              <w:bottom w:val="single" w:color="C5D3E0" w:sz="1"/>
              <w:right w:val="single" w:color="C5D3E0" w:sz="1"/>
            </w:tcBorders>
            <w:shd w:fill="C0392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18/35</w:t>
            </w:r>
          </w:p>
        </w:tc>
        <w:tc>
          <w:tcPr>
            <w:tcBorders>
              <w:top w:val="single" w:color="C5D3E0" w:sz="1"/>
              <w:left w:val="single" w:color="C5D3E0" w:sz="1"/>
              <w:bottom w:val="single" w:color="C5D3E0" w:sz="1"/>
              <w:right w:val="single" w:color="C5D3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AVOID</w:t>
            </w:r>
          </w:p>
        </w:tc>
      </w:tr>
    </w:tbl>
    <w:p>
      <w:pPr>
        <w:spacing w:before="200"/>
      </w:pPr>
    </w:p>
    <w:p>
      <w:pPr>
        <w:spacing w:before="80" w:after="120"/>
      </w:pPr>
      <w:r>
        <w:rPr>
          <w:rFonts w:ascii="Arial" w:cs="Arial" w:eastAsia="Arial" w:hAnsi="Arial"/>
          <w:i/>
          <w:iCs/>
          <w:color w:val="5D6D7E"/>
          <w:sz w:val="20"/>
          <w:szCs w:val="20"/>
        </w:rPr>
        <w:t xml:space="preserve">Sorted by recommendation tier. Within each tier, sorted by overall score.</w:t>
      </w:r>
    </w:p>
    <w:p>
      <w:r>
        <w:br w:type="page"/>
      </w:r>
    </w:p>
    <w:p>
      <w:pPr>
        <w:pStyle w:val="Heading1"/>
        <w:spacing w:before="360" w:after="180"/>
      </w:pPr>
      <w:r>
        <w:rPr>
          <w:rFonts w:ascii="Arial" w:cs="Arial" w:eastAsia="Arial" w:hAnsi="Arial"/>
          <w:b/>
          <w:bCs/>
          <w:color w:val="1B3A6B"/>
          <w:sz w:val="36"/>
          <w:szCs w:val="36"/>
        </w:rPr>
        <w:t xml:space="preserve">Vertical Deep Dives</w:t>
      </w:r>
    </w:p>
    <w:p>
      <w:pPr>
        <w:spacing w:before="160"/>
      </w:pPr>
    </w:p>
    <w:p>
      <w:pPr>
        <w:pBdr>
          <w:left w:val="single" w:color="1A7A4A" w:sz="16" w:space="12"/>
        </w:pBdr>
        <w:spacing w:before="200" w:after="80"/>
        <w:ind w:left="280"/>
      </w:pPr>
      <w:r>
        <w:rPr>
          <w:rFonts w:ascii="Arial" w:cs="Arial" w:eastAsia="Arial" w:hAnsi="Arial"/>
          <w:b/>
          <w:bCs/>
          <w:color w:val="1B3A6B"/>
          <w:sz w:val="28"/>
          <w:szCs w:val="28"/>
        </w:rPr>
        <w:t xml:space="preserve">Real Estate  </w:t>
      </w:r>
      <w:r>
        <w:rPr>
          <w:rFonts w:ascii="Arial" w:cs="Arial" w:eastAsia="Arial" w:hAnsi="Arial"/>
          <w:b/>
          <w:bCs/>
          <w:color w:val="1A7A4A"/>
          <w:sz w:val="22"/>
          <w:szCs w:val="22"/>
        </w:rPr>
        <w:t xml:space="preserve">[STRONG PICK]</w:t>
      </w:r>
    </w:p>
    <w:p>
      <w:pPr>
        <w:spacing w:before="0" w:after="160"/>
        <w:ind w:left="280"/>
      </w:pPr>
      <w:r>
        <w:rPr>
          <w:rFonts w:ascii="Arial" w:cs="Arial" w:eastAsia="Arial" w:hAnsi="Arial"/>
          <w:i/>
          <w:iCs/>
          <w:color w:val="5D6D7E"/>
          <w:sz w:val="19"/>
          <w:szCs w:val="19"/>
        </w:rPr>
        <w:t xml:space="preserve">Agents, brokers, property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Price Range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$100–250/mo</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Market Size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3M+ licensed agents (US)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Key Documents</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Listings, lease agreements, HOA docs, disclosures, comp reports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Competition</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Mostly generic (few vertical AI plays at agent level)</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Best Use Case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AI-powered lease Q&amp;A + listing knowledge base for property managers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Big Risk</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C0392B"/>
                <w:sz w:val="18"/>
                <w:szCs w:val="18"/>
              </w:rPr>
              <w:t xml:space="preserve">Lower ACV limits ceiling</w:t>
            </w:r>
          </w:p>
        </w:tc>
      </w:tr>
    </w:tbl>
    <w:p>
      <w:pPr>
        <w:spacing w:before="120"/>
      </w:pPr>
    </w:p>
    <w:p>
      <w:pPr>
        <w:spacing w:before="80" w:after="120"/>
      </w:pPr>
      <w:r>
        <w:rPr>
          <w:rFonts w:ascii="Arial" w:cs="Arial" w:eastAsia="Arial" w:hAnsi="Arial"/>
          <w:color w:val="1C1C1C"/>
          <w:sz w:val="20"/>
          <w:szCs w:val="20"/>
        </w:rPr>
        <w:t xml:space="preserve">Agents and property managers are fast buyers — credit card decisions, no legal procurement. Facebook groups and subreddits are accessible and active. The use case (lease Q&amp;A, listing knowledge base, disclosure search) is immediately obvious and extremely sticky once deployed. Low regulatory friction and almost no incumbent vertical AI players at the small firm/independent agent level. Weakest point is the $100–250/mo ceiling limits ARR potential, but volume makes up for it.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WTP</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Accessibility</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Reg. Ease</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Doc Fit</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Competition</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Sales Speed</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Build Speed</w:t>
            </w:r>
          </w:p>
          <w:p>
            <w:pPr>
              <w:jc w:val="center"/>
            </w:pPr>
            <w:r>
              <w:rPr>
                <w:rFonts w:ascii="Arial" w:cs="Arial" w:eastAsia="Arial" w:hAnsi="Arial"/>
                <w:b/>
                <w:bCs/>
                <w:color w:val="1A7A4A"/>
                <w:sz w:val="18"/>
                <w:szCs w:val="18"/>
              </w:rPr>
              <w:t xml:space="preserve">5/5</w:t>
            </w:r>
          </w:p>
        </w:tc>
      </w:tr>
    </w:tbl>
    <w:p>
      <w:pPr>
        <w:spacing w:before="120"/>
      </w:pPr>
    </w:p>
    <w:p>
      <w:pPr>
        <w:spacing w:before="160"/>
      </w:pPr>
    </w:p>
    <w:p>
      <w:pPr>
        <w:pBdr>
          <w:left w:val="single" w:color="1A7A4A" w:sz="16" w:space="12"/>
        </w:pBdr>
        <w:spacing w:before="200" w:after="80"/>
        <w:ind w:left="280"/>
      </w:pPr>
      <w:r>
        <w:rPr>
          <w:rFonts w:ascii="Arial" w:cs="Arial" w:eastAsia="Arial" w:hAnsi="Arial"/>
          <w:b/>
          <w:bCs/>
          <w:color w:val="1B3A6B"/>
          <w:sz w:val="28"/>
          <w:szCs w:val="28"/>
        </w:rPr>
        <w:t xml:space="preserve">Insurance (Independent)  </w:t>
      </w:r>
      <w:r>
        <w:rPr>
          <w:rFonts w:ascii="Arial" w:cs="Arial" w:eastAsia="Arial" w:hAnsi="Arial"/>
          <w:b/>
          <w:bCs/>
          <w:color w:val="1A7A4A"/>
          <w:sz w:val="22"/>
          <w:szCs w:val="22"/>
        </w:rPr>
        <w:t xml:space="preserve">[STRONG PICK]</w:t>
      </w:r>
    </w:p>
    <w:p>
      <w:pPr>
        <w:spacing w:before="0" w:after="160"/>
        <w:ind w:left="280"/>
      </w:pPr>
      <w:r>
        <w:rPr>
          <w:rFonts w:ascii="Arial" w:cs="Arial" w:eastAsia="Arial" w:hAnsi="Arial"/>
          <w:i/>
          <w:iCs/>
          <w:color w:val="5D6D7E"/>
          <w:sz w:val="19"/>
          <w:szCs w:val="19"/>
        </w:rPr>
        <w:t xml:space="preserve">Independent agents and brokers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Price Range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$200–400/mo</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Market Size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400K+ independent agents (US)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Key Documents</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Policy documents, carrier guidelines, coverage summaries, exclusion schedules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Competition</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Enterprise tools (Applied Epic, AMS360) don't solve knowledge Q&amp;A</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Best Use Case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Policy Q&amp;A chatbot — agents query carrier guidelines and coverage rules during client calls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Big Risk</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C0392B"/>
                <w:sz w:val="18"/>
                <w:szCs w:val="18"/>
              </w:rPr>
              <w:t xml:space="preserve">State-by-state regulation; E&amp;O liability concerns around AI advice</w:t>
            </w:r>
          </w:p>
        </w:tc>
      </w:tr>
    </w:tbl>
    <w:p>
      <w:pPr>
        <w:spacing w:before="120"/>
      </w:pPr>
    </w:p>
    <w:p>
      <w:pPr>
        <w:spacing w:before="80" w:after="120"/>
      </w:pPr>
      <w:r>
        <w:rPr>
          <w:rFonts w:ascii="Arial" w:cs="Arial" w:eastAsia="Arial" w:hAnsi="Arial"/>
          <w:color w:val="1C1C1C"/>
          <w:sz w:val="20"/>
          <w:szCs w:val="20"/>
        </w:rPr>
        <w:t xml:space="preserve">The document corpus is perfect for RAG: dense, structured PDFs with coverage rules, exclusions, and carrier guidelines. Independent agents constantly look up policy details during calls — a RAG assistant that answers "does this policy cover X?" is a clear time-saver with obvious ROI. Competition is near-zero at the independent agent level; enterprise AMS vendors don't solve this. Regulatory risk is real (E&amp;O, state licensing), but with a strong disclaimer and citation-heavy output design, manageable. Harder to reach this audience than real estate.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WTP</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Accessibility</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Reg. Ease</w:t>
            </w:r>
          </w:p>
          <w:p>
            <w:pPr>
              <w:jc w:val="center"/>
            </w:pPr>
            <w:r>
              <w:rPr>
                <w:rFonts w:ascii="Arial" w:cs="Arial" w:eastAsia="Arial" w:hAnsi="Arial"/>
                <w:b/>
                <w:bCs/>
                <w:color w:val="C0392B"/>
                <w:sz w:val="18"/>
                <w:szCs w:val="18"/>
              </w:rPr>
              <w:t xml:space="preserve">2/5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Doc Fit</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Competition</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Sales Speed</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Build Speed</w:t>
            </w:r>
          </w:p>
          <w:p>
            <w:pPr>
              <w:jc w:val="center"/>
            </w:pPr>
            <w:r>
              <w:rPr>
                <w:rFonts w:ascii="Arial" w:cs="Arial" w:eastAsia="Arial" w:hAnsi="Arial"/>
                <w:b/>
                <w:bCs/>
                <w:color w:val="D4A017"/>
                <w:sz w:val="18"/>
                <w:szCs w:val="18"/>
              </w:rPr>
              <w:t xml:space="preserve">3/5</w:t>
            </w:r>
          </w:p>
        </w:tc>
      </w:tr>
    </w:tbl>
    <w:p>
      <w:pPr>
        <w:spacing w:before="120"/>
      </w:pPr>
    </w:p>
    <w:p>
      <w:pPr>
        <w:spacing w:before="160"/>
      </w:pPr>
    </w:p>
    <w:p>
      <w:pPr>
        <w:pBdr>
          <w:left w:val="single" w:color="1A7A4A" w:sz="16" w:space="12"/>
        </w:pBdr>
        <w:spacing w:before="200" w:after="80"/>
        <w:ind w:left="280"/>
      </w:pPr>
      <w:r>
        <w:rPr>
          <w:rFonts w:ascii="Arial" w:cs="Arial" w:eastAsia="Arial" w:hAnsi="Arial"/>
          <w:b/>
          <w:bCs/>
          <w:color w:val="1B3A6B"/>
          <w:sz w:val="28"/>
          <w:szCs w:val="28"/>
        </w:rPr>
        <w:t xml:space="preserve">Legal (Small Firms)  </w:t>
      </w:r>
      <w:r>
        <w:rPr>
          <w:rFonts w:ascii="Arial" w:cs="Arial" w:eastAsia="Arial" w:hAnsi="Arial"/>
          <w:b/>
          <w:bCs/>
          <w:color w:val="1A7A4A"/>
          <w:sz w:val="22"/>
          <w:szCs w:val="22"/>
        </w:rPr>
        <w:t xml:space="preserve">[STRONG PICK]</w:t>
      </w:r>
    </w:p>
    <w:p>
      <w:pPr>
        <w:spacing w:before="0" w:after="160"/>
        <w:ind w:left="280"/>
      </w:pPr>
      <w:r>
        <w:rPr>
          <w:rFonts w:ascii="Arial" w:cs="Arial" w:eastAsia="Arial" w:hAnsi="Arial"/>
          <w:i/>
          <w:iCs/>
          <w:color w:val="5D6D7E"/>
          <w:sz w:val="19"/>
          <w:szCs w:val="19"/>
        </w:rPr>
        <w:t xml:space="preserve">Solo attorneys and boutique firms (1–10 attorneys)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Price Range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$200–500/mo</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Market Size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1M+ solo/small firm attorneys (US)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Key Documents</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Client contracts, case research, internal playbooks, regulatory guides, briefs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Competition</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Harvey/Westlaw AI target BigLaw; small firms left behind</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Best Use Case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Internal knowledge base — search across past contracts, memos, and procedures without touching client data</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Big Risk</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C0392B"/>
                <w:sz w:val="18"/>
                <w:szCs w:val="18"/>
              </w:rPr>
              <w:t xml:space="preserve">Attorney-client privilege concerns; liability if AI gives wrong legal answer</w:t>
            </w:r>
          </w:p>
        </w:tc>
      </w:tr>
    </w:tbl>
    <w:p>
      <w:pPr>
        <w:spacing w:before="120"/>
      </w:pPr>
    </w:p>
    <w:p>
      <w:pPr>
        <w:spacing w:before="80" w:after="120"/>
      </w:pPr>
      <w:r>
        <w:rPr>
          <w:rFonts w:ascii="Arial" w:cs="Arial" w:eastAsia="Arial" w:hAnsi="Arial"/>
          <w:color w:val="1C1C1C"/>
          <w:sz w:val="20"/>
          <w:szCs w:val="20"/>
        </w:rPr>
        <w:t xml:space="preserve">The AI legal market is experiencing massive investment, but almost entirely focused on AmLaw 200 firms. Solo and boutique firms (the vast majority of attorneys) are being ignored. These buyers are cost-conscious but clearly understand the ROI of time savings. Document fit is exceptional — dense PDFs, contracts, precedents. The critical product design insight: position as an internal knowledge tool, NOT as legal research or client-facing AI, to sidestep privilege and liability concerns. This framing also makes it faster to build (no integrations with case management needed for v1).</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WTP</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Accessibility</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Reg. Ease</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Doc Fit</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Competition</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Sales Speed</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Build Speed</w:t>
            </w:r>
          </w:p>
          <w:p>
            <w:pPr>
              <w:jc w:val="center"/>
            </w:pPr>
            <w:r>
              <w:rPr>
                <w:rFonts w:ascii="Arial" w:cs="Arial" w:eastAsia="Arial" w:hAnsi="Arial"/>
                <w:b/>
                <w:bCs/>
                <w:color w:val="D4A017"/>
                <w:sz w:val="18"/>
                <w:szCs w:val="18"/>
              </w:rPr>
              <w:t xml:space="preserve">3/5</w:t>
            </w:r>
          </w:p>
        </w:tc>
      </w:tr>
    </w:tbl>
    <w:p>
      <w:pPr>
        <w:spacing w:before="120"/>
      </w:pPr>
    </w:p>
    <w:p>
      <w:pPr>
        <w:spacing w:before="160"/>
      </w:pPr>
    </w:p>
    <w:p>
      <w:pPr>
        <w:pBdr>
          <w:left w:val="single" w:color="D4A017" w:sz="16" w:space="12"/>
        </w:pBdr>
        <w:spacing w:before="200" w:after="80"/>
        <w:ind w:left="280"/>
      </w:pPr>
      <w:r>
        <w:rPr>
          <w:rFonts w:ascii="Arial" w:cs="Arial" w:eastAsia="Arial" w:hAnsi="Arial"/>
          <w:b/>
          <w:bCs/>
          <w:color w:val="1B3A6B"/>
          <w:sz w:val="28"/>
          <w:szCs w:val="28"/>
        </w:rPr>
        <w:t xml:space="preserve">HR / People Ops  </w:t>
      </w:r>
      <w:r>
        <w:rPr>
          <w:rFonts w:ascii="Arial" w:cs="Arial" w:eastAsia="Arial" w:hAnsi="Arial"/>
          <w:b/>
          <w:bCs/>
          <w:color w:val="D4A017"/>
          <w:sz w:val="22"/>
          <w:szCs w:val="22"/>
        </w:rPr>
        <w:t xml:space="preserve">[CAUTION]</w:t>
      </w:r>
    </w:p>
    <w:p>
      <w:pPr>
        <w:spacing w:before="0" w:after="160"/>
        <w:ind w:left="280"/>
      </w:pPr>
      <w:r>
        <w:rPr>
          <w:rFonts w:ascii="Arial" w:cs="Arial" w:eastAsia="Arial" w:hAnsi="Arial"/>
          <w:i/>
          <w:iCs/>
          <w:color w:val="5D6D7E"/>
          <w:sz w:val="19"/>
          <w:szCs w:val="19"/>
        </w:rPr>
        <w:t xml:space="preserve">SMBs with 20–500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Price Range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$100–300/mo</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Market Size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Every SMB with &gt;20 employees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Key Documents</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Employee handbooks, PTO policies, offer letter templates, compliance checklists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Competition</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Guru, Notion AI, many generic chat-over-docs tools — crowded</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Best Use Case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Employee self-service handbook assistant ("Is jury duty paid?")</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Big Risk</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C0392B"/>
                <w:sz w:val="18"/>
                <w:szCs w:val="18"/>
              </w:rPr>
              <w:t xml:space="preserve">Heavily competed; hard to differentiate from generic tools</w:t>
            </w:r>
          </w:p>
        </w:tc>
      </w:tr>
    </w:tbl>
    <w:p>
      <w:pPr>
        <w:spacing w:before="120"/>
      </w:pPr>
    </w:p>
    <w:p>
      <w:pPr>
        <w:spacing w:before="80" w:after="120"/>
      </w:pPr>
      <w:r>
        <w:rPr>
          <w:rFonts w:ascii="Arial" w:cs="Arial" w:eastAsia="Arial" w:hAnsi="Arial"/>
          <w:color w:val="1C1C1C"/>
          <w:sz w:val="20"/>
          <w:szCs w:val="20"/>
        </w:rPr>
        <w:t xml:space="preserve">The use case is genuinely good and the market is massive, but this vertical has the highest competition of any on this list. Guru, Notion AI, Confluence AI, and a dozen other horizontal tools all target this use case. Differentiation is hard without a compelling hook beyond "it's built specifically for HR." If pursuing, the angle would need to be deep integration with HRIS systems (ADP, BambooHR) rather than pure RAG, which adds complexity. Best positioned as an add-on feature in another vertical rather than a standalone product.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WTP</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Accessibility</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Reg. Ease</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Doc Fit</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Competition</w:t>
            </w:r>
          </w:p>
          <w:p>
            <w:pPr>
              <w:jc w:val="center"/>
            </w:pPr>
            <w:r>
              <w:rPr>
                <w:rFonts w:ascii="Arial" w:cs="Arial" w:eastAsia="Arial" w:hAnsi="Arial"/>
                <w:b/>
                <w:bCs/>
                <w:color w:val="C0392B"/>
                <w:sz w:val="18"/>
                <w:szCs w:val="18"/>
              </w:rPr>
              <w:t xml:space="preserve">2/5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Sales Speed</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Build Speed</w:t>
            </w:r>
          </w:p>
          <w:p>
            <w:pPr>
              <w:jc w:val="center"/>
            </w:pPr>
            <w:r>
              <w:rPr>
                <w:rFonts w:ascii="Arial" w:cs="Arial" w:eastAsia="Arial" w:hAnsi="Arial"/>
                <w:b/>
                <w:bCs/>
                <w:color w:val="1A7A4A"/>
                <w:sz w:val="18"/>
                <w:szCs w:val="18"/>
              </w:rPr>
              <w:t xml:space="preserve">5/5</w:t>
            </w:r>
          </w:p>
        </w:tc>
      </w:tr>
    </w:tbl>
    <w:p>
      <w:pPr>
        <w:spacing w:before="120"/>
      </w:pPr>
    </w:p>
    <w:p>
      <w:pPr>
        <w:spacing w:before="160"/>
      </w:pPr>
    </w:p>
    <w:p>
      <w:pPr>
        <w:pBdr>
          <w:left w:val="single" w:color="6C3483" w:sz="16" w:space="12"/>
        </w:pBdr>
        <w:spacing w:before="200" w:after="80"/>
        <w:ind w:left="280"/>
      </w:pPr>
      <w:r>
        <w:rPr>
          <w:rFonts w:ascii="Arial" w:cs="Arial" w:eastAsia="Arial" w:hAnsi="Arial"/>
          <w:b/>
          <w:bCs/>
          <w:color w:val="1B3A6B"/>
          <w:sz w:val="28"/>
          <w:szCs w:val="28"/>
        </w:rPr>
        <w:t xml:space="preserve">Construction / Architecture  </w:t>
      </w:r>
      <w:r>
        <w:rPr>
          <w:rFonts w:ascii="Arial" w:cs="Arial" w:eastAsia="Arial" w:hAnsi="Arial"/>
          <w:b/>
          <w:bCs/>
          <w:color w:val="6C3483"/>
          <w:sz w:val="22"/>
          <w:szCs w:val="22"/>
        </w:rPr>
        <w:t xml:space="preserve">[SLEEPER PICK]</w:t>
      </w:r>
    </w:p>
    <w:p>
      <w:pPr>
        <w:spacing w:before="0" w:after="160"/>
        <w:ind w:left="280"/>
      </w:pPr>
      <w:r>
        <w:rPr>
          <w:rFonts w:ascii="Arial" w:cs="Arial" w:eastAsia="Arial" w:hAnsi="Arial"/>
          <w:i/>
          <w:iCs/>
          <w:color w:val="5D6D7E"/>
          <w:sz w:val="19"/>
          <w:szCs w:val="19"/>
        </w:rPr>
        <w:t xml:space="preserve">General contractors, architects, civil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Price Range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$200–400/mo</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Market Size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700K+ contractors (US), fragmented market</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Key Documents</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Spec sheets, RFIs, submittals, building codes, change orders, safety logs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Competition</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Procore dominates project management but doesn't do document Q&amp;A</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Best Use Case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RFI Q&amp;A assistant — answer "what does spec section 09 90 00 say about primer coat?" instantly</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Big Risk</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C0392B"/>
                <w:sz w:val="18"/>
                <w:szCs w:val="18"/>
              </w:rPr>
              <w:t xml:space="preserve">Tabular/drawing-heavy docs are RAG's weak point; building codes are dense and jurisdiction-specific</w:t>
            </w:r>
          </w:p>
        </w:tc>
      </w:tr>
    </w:tbl>
    <w:p>
      <w:pPr>
        <w:spacing w:before="120"/>
      </w:pPr>
    </w:p>
    <w:p>
      <w:pPr>
        <w:spacing w:before="80" w:after="120"/>
      </w:pPr>
      <w:r>
        <w:rPr>
          <w:rFonts w:ascii="Arial" w:cs="Arial" w:eastAsia="Arial" w:hAnsi="Arial"/>
          <w:color w:val="1C1C1C"/>
          <w:sz w:val="20"/>
          <w:szCs w:val="20"/>
        </w:rPr>
        <w:t xml:space="preserve">A genuinely underserved market with very low AI competition and buyers who spend $200–400/month on SaaS without blinking. Procore is the gorilla in project management, but leaves a wide gap in intelligent document Q&amp;A. The challenge is document complexity — construction spec books, drawing sets, and change orders are some of the hardest content for RAG (lots of tables, cross-references, drawings). Requires careful scoping to spec-section Q&amp;A and written submittals only (not drawings). If the RAG boilerplate handles tabular docs well, this is an excellent sleeper pick with almost no competition.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WTP</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Accessibility</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Reg. Ease</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Doc Fit</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Competition</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Sales Speed</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Build Speed</w:t>
            </w:r>
          </w:p>
          <w:p>
            <w:pPr>
              <w:jc w:val="center"/>
            </w:pPr>
            <w:r>
              <w:rPr>
                <w:rFonts w:ascii="Arial" w:cs="Arial" w:eastAsia="Arial" w:hAnsi="Arial"/>
                <w:b/>
                <w:bCs/>
                <w:color w:val="1A7A4A"/>
                <w:sz w:val="18"/>
                <w:szCs w:val="18"/>
              </w:rPr>
              <w:t xml:space="preserve">4/5</w:t>
            </w:r>
          </w:p>
        </w:tc>
      </w:tr>
    </w:tbl>
    <w:p>
      <w:pPr>
        <w:spacing w:before="120"/>
      </w:pPr>
    </w:p>
    <w:p>
      <w:pPr>
        <w:spacing w:before="160"/>
      </w:pPr>
    </w:p>
    <w:p>
      <w:pPr>
        <w:pBdr>
          <w:left w:val="single" w:color="D4A017" w:sz="16" w:space="12"/>
        </w:pBdr>
        <w:spacing w:before="200" w:after="80"/>
        <w:ind w:left="280"/>
      </w:pPr>
      <w:r>
        <w:rPr>
          <w:rFonts w:ascii="Arial" w:cs="Arial" w:eastAsia="Arial" w:hAnsi="Arial"/>
          <w:b/>
          <w:bCs/>
          <w:color w:val="1B3A6B"/>
          <w:sz w:val="28"/>
          <w:szCs w:val="28"/>
        </w:rPr>
        <w:t xml:space="preserve">Financial Services  </w:t>
      </w:r>
      <w:r>
        <w:rPr>
          <w:rFonts w:ascii="Arial" w:cs="Arial" w:eastAsia="Arial" w:hAnsi="Arial"/>
          <w:b/>
          <w:bCs/>
          <w:color w:val="D4A017"/>
          <w:sz w:val="22"/>
          <w:szCs w:val="22"/>
        </w:rPr>
        <w:t xml:space="preserve">[CAUTION]</w:t>
      </w:r>
    </w:p>
    <w:p>
      <w:pPr>
        <w:spacing w:before="0" w:after="160"/>
        <w:ind w:left="280"/>
      </w:pPr>
      <w:r>
        <w:rPr>
          <w:rFonts w:ascii="Arial" w:cs="Arial" w:eastAsia="Arial" w:hAnsi="Arial"/>
          <w:i/>
          <w:iCs/>
          <w:color w:val="5D6D7E"/>
          <w:sz w:val="19"/>
          <w:szCs w:val="19"/>
        </w:rPr>
        <w:t xml:space="preserve">RIAs, mortgage brokers, accounting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Price Range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$300–600/mo</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Market Size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300K+ RIAs, CPAs, and mortgage brokers (US)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Key Documents</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Financial plans, compliance manuals, product materials, client reports, prospectuses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Competition</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Bloomberg AI, some niche tools, but small firm market open</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Best Use Case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Internal compliance Q&amp;A — staff quickly query regulatory requirements and internal procedures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Big Risk</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C0392B"/>
                <w:sz w:val="18"/>
                <w:szCs w:val="18"/>
              </w:rPr>
              <w:t xml:space="preserve">SEC/FINRA compliance requirements make it hard to launch without legal review; slow procurement</w:t>
            </w:r>
          </w:p>
        </w:tc>
      </w:tr>
    </w:tbl>
    <w:p>
      <w:pPr>
        <w:spacing w:before="120"/>
      </w:pPr>
    </w:p>
    <w:p>
      <w:pPr>
        <w:spacing w:before="80" w:after="120"/>
      </w:pPr>
      <w:r>
        <w:rPr>
          <w:rFonts w:ascii="Arial" w:cs="Arial" w:eastAsia="Arial" w:hAnsi="Arial"/>
          <w:color w:val="1C1C1C"/>
          <w:sz w:val="20"/>
          <w:szCs w:val="20"/>
        </w:rPr>
        <w:t xml:space="preserve">The highest WTP vertical on this list and document fit is excellent. However, regulatory overhead is the real barrier — any AI tool touching financial advice adjacent workflows invites scrutiny from SEC/FINRA, and procurement at even small RIAs tends to involve compliance review. Unlike real estate or insurance where you can move fast, this vertical rewards moving slow and careful. Best entry point is purely internal compliance Q&amp;A (not client-facing) at independent wealth management firms or CPA firms. Longer path to first dollar but meaningful revenue when it lands.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WTP</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Accessibility</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Reg. Ease</w:t>
            </w:r>
          </w:p>
          <w:p>
            <w:pPr>
              <w:jc w:val="center"/>
            </w:pPr>
            <w:r>
              <w:rPr>
                <w:rFonts w:ascii="Arial" w:cs="Arial" w:eastAsia="Arial" w:hAnsi="Arial"/>
                <w:b/>
                <w:bCs/>
                <w:color w:val="C0392B"/>
                <w:sz w:val="18"/>
                <w:szCs w:val="18"/>
              </w:rPr>
              <w:t xml:space="preserve">2/5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Doc Fit</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Competition</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Sales Speed</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Build Speed</w:t>
            </w:r>
          </w:p>
          <w:p>
            <w:pPr>
              <w:jc w:val="center"/>
            </w:pPr>
            <w:r>
              <w:rPr>
                <w:rFonts w:ascii="Arial" w:cs="Arial" w:eastAsia="Arial" w:hAnsi="Arial"/>
                <w:b/>
                <w:bCs/>
                <w:color w:val="D4A017"/>
                <w:sz w:val="18"/>
                <w:szCs w:val="18"/>
              </w:rPr>
              <w:t xml:space="preserve">3/5</w:t>
            </w:r>
          </w:p>
        </w:tc>
      </w:tr>
    </w:tbl>
    <w:p>
      <w:pPr>
        <w:spacing w:before="120"/>
      </w:pPr>
    </w:p>
    <w:p>
      <w:pPr>
        <w:spacing w:before="160"/>
      </w:pPr>
    </w:p>
    <w:p>
      <w:pPr>
        <w:pBdr>
          <w:left w:val="single" w:color="C0392B" w:sz="16" w:space="12"/>
        </w:pBdr>
        <w:spacing w:before="200" w:after="80"/>
        <w:ind w:left="280"/>
      </w:pPr>
      <w:r>
        <w:rPr>
          <w:rFonts w:ascii="Arial" w:cs="Arial" w:eastAsia="Arial" w:hAnsi="Arial"/>
          <w:b/>
          <w:bCs/>
          <w:color w:val="1B3A6B"/>
          <w:sz w:val="28"/>
          <w:szCs w:val="28"/>
        </w:rPr>
        <w:t xml:space="preserve">SaaS Customer Support  </w:t>
      </w:r>
      <w:r>
        <w:rPr>
          <w:rFonts w:ascii="Arial" w:cs="Arial" w:eastAsia="Arial" w:hAnsi="Arial"/>
          <w:b/>
          <w:bCs/>
          <w:color w:val="C0392B"/>
          <w:sz w:val="22"/>
          <w:szCs w:val="22"/>
        </w:rPr>
        <w:t xml:space="preserve">[AVOID]</w:t>
      </w:r>
    </w:p>
    <w:p>
      <w:pPr>
        <w:spacing w:before="0" w:after="160"/>
        <w:ind w:left="280"/>
      </w:pPr>
      <w:r>
        <w:rPr>
          <w:rFonts w:ascii="Arial" w:cs="Arial" w:eastAsia="Arial" w:hAnsi="Arial"/>
          <w:i/>
          <w:iCs/>
          <w:color w:val="5D6D7E"/>
          <w:sz w:val="19"/>
          <w:szCs w:val="19"/>
        </w:rPr>
        <w:t xml:space="preserve">Software companies with product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Price Range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$150–400/mo</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Market Size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Hundreds of thousands of software companies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Key Documents</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API docs, help center articles, changelogs, Notion/Confluence pages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Competition</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Intercom Fin, Zendesk AI, Mendable, Crisp, Chatbase, Kapa.ai — brutal</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Best Use Case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What the boilerplate was originally designed for — but too competitive to build a vertical product</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Big Risk</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C0392B"/>
                <w:sz w:val="18"/>
                <w:szCs w:val="18"/>
              </w:rPr>
              <w:t xml:space="preserve">Market is already won by well-funded incumbents with deep integrations</w:t>
            </w:r>
          </w:p>
        </w:tc>
      </w:tr>
    </w:tbl>
    <w:p>
      <w:pPr>
        <w:spacing w:before="120"/>
      </w:pPr>
    </w:p>
    <w:p>
      <w:pPr>
        <w:spacing w:before="80" w:after="120"/>
      </w:pPr>
      <w:r>
        <w:rPr>
          <w:rFonts w:ascii="Arial" w:cs="Arial" w:eastAsia="Arial" w:hAnsi="Arial"/>
          <w:color w:val="1C1C1C"/>
          <w:sz w:val="20"/>
          <w:szCs w:val="20"/>
        </w:rPr>
        <w:t xml:space="preserve">Paradoxically, this is both the easiest use case to build and the worst vertical to go into. Intercom Fin, Zendesk AI, Mendable, Chatbase, and Kapa.ai have already eaten this market. They have integrations with every major ticketing platform, years of training data, and VC-backed pricing power. A solo founder cannot win here on product alone. The irony: this use case is perfect for demonstrating the boilerplate's capabilities in marketing, but should not be the commercial vertical focus.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WTP</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Accessibility</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Reg. Ease</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Doc Fit</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Competition</w:t>
            </w:r>
          </w:p>
          <w:p>
            <w:pPr>
              <w:jc w:val="center"/>
            </w:pPr>
            <w:r>
              <w:rPr>
                <w:rFonts w:ascii="Arial" w:cs="Arial" w:eastAsia="Arial" w:hAnsi="Arial"/>
                <w:b/>
                <w:bCs/>
                <w:color w:val="C0392B"/>
                <w:sz w:val="18"/>
                <w:szCs w:val="18"/>
              </w:rPr>
              <w:t xml:space="preserve">1/5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Sales Speed</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Build Speed</w:t>
            </w:r>
          </w:p>
          <w:p>
            <w:pPr>
              <w:jc w:val="center"/>
            </w:pPr>
            <w:r>
              <w:rPr>
                <w:rFonts w:ascii="Arial" w:cs="Arial" w:eastAsia="Arial" w:hAnsi="Arial"/>
                <w:b/>
                <w:bCs/>
                <w:color w:val="1A7A4A"/>
                <w:sz w:val="18"/>
                <w:szCs w:val="18"/>
              </w:rPr>
              <w:t xml:space="preserve">5/5</w:t>
            </w:r>
          </w:p>
        </w:tc>
      </w:tr>
    </w:tbl>
    <w:p>
      <w:pPr>
        <w:spacing w:before="120"/>
      </w:pPr>
    </w:p>
    <w:p>
      <w:pPr>
        <w:spacing w:before="160"/>
      </w:pPr>
    </w:p>
    <w:p>
      <w:pPr>
        <w:pBdr>
          <w:left w:val="single" w:color="C0392B" w:sz="16" w:space="12"/>
        </w:pBdr>
        <w:spacing w:before="200" w:after="80"/>
        <w:ind w:left="280"/>
      </w:pPr>
      <w:r>
        <w:rPr>
          <w:rFonts w:ascii="Arial" w:cs="Arial" w:eastAsia="Arial" w:hAnsi="Arial"/>
          <w:b/>
          <w:bCs/>
          <w:color w:val="1B3A6B"/>
          <w:sz w:val="28"/>
          <w:szCs w:val="28"/>
        </w:rPr>
        <w:t xml:space="preserve">Healthcare  </w:t>
      </w:r>
      <w:r>
        <w:rPr>
          <w:rFonts w:ascii="Arial" w:cs="Arial" w:eastAsia="Arial" w:hAnsi="Arial"/>
          <w:b/>
          <w:bCs/>
          <w:color w:val="C0392B"/>
          <w:sz w:val="22"/>
          <w:szCs w:val="22"/>
        </w:rPr>
        <w:t xml:space="preserve">[AVOID]</w:t>
      </w:r>
    </w:p>
    <w:p>
      <w:pPr>
        <w:spacing w:before="0" w:after="160"/>
        <w:ind w:left="280"/>
      </w:pPr>
      <w:r>
        <w:rPr>
          <w:rFonts w:ascii="Arial" w:cs="Arial" w:eastAsia="Arial" w:hAnsi="Arial"/>
          <w:i/>
          <w:iCs/>
          <w:color w:val="5D6D7E"/>
          <w:sz w:val="19"/>
          <w:szCs w:val="19"/>
        </w:rPr>
        <w:t xml:space="preserve">Private practices, clinics, telehealth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Price Range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$300–700/mo</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Market Size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Enormous — 1M+ healthcare providers (US)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Key Documents</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Clinical guidelines, protocols, patient education materials, formularies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Competition</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Many players, but market fragmented across specialties</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Best Use Case</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Clinical protocol Q&amp;A for staff (non-PHI use cases only)</w:t>
            </w:r>
          </w:p>
        </w:tc>
      </w:tr>
      <w:tr>
        <w:tc>
          <w:tcPr>
            <w:tcW w:type="dxa" w:w="2000"/>
            <w:tcBorders>
              <w:top w:val="single" w:color="C5D3E0" w:sz="1"/>
              <w:left w:val="single" w:color="C5D3E0" w:sz="1"/>
              <w:bottom w:val="single" w:color="C5D3E0" w:sz="1"/>
              <w:right w:val="single" w:color="C5D3E0" w:sz="1"/>
            </w:tcBorders>
            <w:shd w:fill="E8EEF5" w:val="clear"/>
            <w:tcMar>
              <w:top w:type="dxa" w:w="60"/>
              <w:left w:type="dxa" w:w="120"/>
              <w:bottom w:type="dxa" w:w="60"/>
              <w:right w:type="dxa" w:w="120"/>
            </w:tcMar>
          </w:tcPr>
          <w:p>
            <w:r>
              <w:rPr>
                <w:rFonts w:ascii="Arial" w:cs="Arial" w:eastAsia="Arial" w:hAnsi="Arial"/>
                <w:b/>
                <w:bCs/>
                <w:color w:val="1B3A6B"/>
                <w:sz w:val="18"/>
                <w:szCs w:val="18"/>
              </w:rPr>
              <w:t xml:space="preserve">Big Risk</w:t>
            </w:r>
          </w:p>
        </w:tc>
        <w:tc>
          <w:tcPr>
            <w:tcW w:type="dxa" w:w="7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C0392B"/>
                <w:sz w:val="18"/>
                <w:szCs w:val="18"/>
              </w:rPr>
              <w:t xml:space="preserve">HIPAA BAAs, vendor credentialing, and long procurement cycles are real blockers for indie devs</w:t>
            </w:r>
          </w:p>
        </w:tc>
      </w:tr>
    </w:tbl>
    <w:p>
      <w:pPr>
        <w:spacing w:before="120"/>
      </w:pPr>
    </w:p>
    <w:p>
      <w:pPr>
        <w:spacing w:before="80" w:after="120"/>
      </w:pPr>
      <w:r>
        <w:rPr>
          <w:rFonts w:ascii="Arial" w:cs="Arial" w:eastAsia="Arial" w:hAnsi="Arial"/>
          <w:color w:val="1C1C1C"/>
          <w:sz w:val="20"/>
          <w:szCs w:val="20"/>
        </w:rPr>
        <w:t xml:space="preserve">The WTP is the highest on this list and the use case is genuinely powerful, but HIPAA is not just a checkbox for indie developers. A Business Associate Agreement (BAA) requires legal review, security controls, audit logging, and ongoing compliance overhead that adds months to the build and thousands in legal fees before a single dollar of revenue. Vendor credentialing at healthcare organizations adds another 3–6 months to sales cycles. This vertical has the highest ceiling but the hardest floor for a solo founder. Revisit once you have a team and compliance infrastructure.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WTP</w:t>
            </w:r>
          </w:p>
          <w:p>
            <w:pPr>
              <w:jc w:val="center"/>
            </w:pPr>
            <w:r>
              <w:rPr>
                <w:rFonts w:ascii="Arial" w:cs="Arial" w:eastAsia="Arial" w:hAnsi="Arial"/>
                <w:b/>
                <w:bCs/>
                <w:color w:val="1A7A4A"/>
                <w:sz w:val="18"/>
                <w:szCs w:val="18"/>
              </w:rPr>
              <w:t xml:space="preserve">5/5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Accessibility</w:t>
            </w:r>
          </w:p>
          <w:p>
            <w:pPr>
              <w:jc w:val="center"/>
            </w:pPr>
            <w:r>
              <w:rPr>
                <w:rFonts w:ascii="Arial" w:cs="Arial" w:eastAsia="Arial" w:hAnsi="Arial"/>
                <w:b/>
                <w:bCs/>
                <w:color w:val="C0392B"/>
                <w:sz w:val="18"/>
                <w:szCs w:val="18"/>
              </w:rPr>
              <w:t xml:space="preserve">2/5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Reg. Ease</w:t>
            </w:r>
          </w:p>
          <w:p>
            <w:pPr>
              <w:jc w:val="center"/>
            </w:pPr>
            <w:r>
              <w:rPr>
                <w:rFonts w:ascii="Arial" w:cs="Arial" w:eastAsia="Arial" w:hAnsi="Arial"/>
                <w:b/>
                <w:bCs/>
                <w:color w:val="C0392B"/>
                <w:sz w:val="18"/>
                <w:szCs w:val="18"/>
              </w:rPr>
              <w:t xml:space="preserve">1/5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Doc Fit</w:t>
            </w:r>
          </w:p>
          <w:p>
            <w:pPr>
              <w:jc w:val="center"/>
            </w:pPr>
            <w:r>
              <w:rPr>
                <w:rFonts w:ascii="Arial" w:cs="Arial" w:eastAsia="Arial" w:hAnsi="Arial"/>
                <w:b/>
                <w:bCs/>
                <w:color w:val="1A7A4A"/>
                <w:sz w:val="18"/>
                <w:szCs w:val="18"/>
              </w:rPr>
              <w:t xml:space="preserve">4/5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Competition</w:t>
            </w:r>
          </w:p>
          <w:p>
            <w:pPr>
              <w:jc w:val="center"/>
            </w:pPr>
            <w:r>
              <w:rPr>
                <w:rFonts w:ascii="Arial" w:cs="Arial" w:eastAsia="Arial" w:hAnsi="Arial"/>
                <w:b/>
                <w:bCs/>
                <w:color w:val="D4A017"/>
                <w:sz w:val="18"/>
                <w:szCs w:val="18"/>
              </w:rPr>
              <w:t xml:space="preserve">3/5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Sales Speed</w:t>
            </w:r>
          </w:p>
          <w:p>
            <w:pPr>
              <w:jc w:val="center"/>
            </w:pPr>
            <w:r>
              <w:rPr>
                <w:rFonts w:ascii="Arial" w:cs="Arial" w:eastAsia="Arial" w:hAnsi="Arial"/>
                <w:b/>
                <w:bCs/>
                <w:color w:val="C0392B"/>
                <w:sz w:val="18"/>
                <w:szCs w:val="18"/>
              </w:rPr>
              <w:t xml:space="preserve">2/5</w:t>
            </w:r>
          </w:p>
        </w:tc>
        <w:tc>
          <w:tcPr>
            <w:tcBorders>
              <w:top w:val="single" w:color="C5D3E0" w:sz="1"/>
              <w:left w:val="single" w:color="C5D3E0" w:sz="1"/>
              <w:bottom w:val="single" w:color="C5D3E0" w:sz="1"/>
              <w:right w:val="single" w:color="C5D3E0" w:sz="1"/>
            </w:tcBorders>
            <w:shd w:fill="E8EEF5" w:val="clear"/>
            <w:tcMar>
              <w:top w:type="dxa" w:w="60"/>
              <w:left w:type="dxa" w:w="80"/>
              <w:bottom w:type="dxa" w:w="60"/>
              <w:right w:type="dxa" w:w="80"/>
            </w:tcMar>
            <w:vAlign w:val="center"/>
          </w:tcPr>
          <w:p>
            <w:pPr>
              <w:jc w:val="center"/>
            </w:pPr>
            <w:r>
              <w:rPr>
                <w:rFonts w:ascii="Arial" w:cs="Arial" w:eastAsia="Arial" w:hAnsi="Arial"/>
                <w:b/>
                <w:bCs/>
                <w:color w:val="1B3A6B"/>
                <w:sz w:val="16"/>
                <w:szCs w:val="16"/>
              </w:rPr>
              <w:t xml:space="preserve">Build Speed</w:t>
            </w:r>
          </w:p>
          <w:p>
            <w:pPr>
              <w:jc w:val="center"/>
            </w:pPr>
            <w:r>
              <w:rPr>
                <w:rFonts w:ascii="Arial" w:cs="Arial" w:eastAsia="Arial" w:hAnsi="Arial"/>
                <w:b/>
                <w:bCs/>
                <w:color w:val="C0392B"/>
                <w:sz w:val="18"/>
                <w:szCs w:val="18"/>
              </w:rPr>
              <w:t xml:space="preserve">1/5</w:t>
            </w:r>
          </w:p>
        </w:tc>
      </w:tr>
    </w:tbl>
    <w:p>
      <w:pPr>
        <w:spacing w:before="40"/>
      </w:pPr>
    </w:p>
    <w:p>
      <w:r>
        <w:br w:type="page"/>
      </w:r>
    </w:p>
    <w:p>
      <w:pPr>
        <w:pStyle w:val="Heading1"/>
        <w:spacing w:before="360" w:after="180"/>
      </w:pPr>
      <w:r>
        <w:rPr>
          <w:rFonts w:ascii="Arial" w:cs="Arial" w:eastAsia="Arial" w:hAnsi="Arial"/>
          <w:b/>
          <w:bCs/>
          <w:color w:val="1B3A6B"/>
          <w:sz w:val="36"/>
          <w:szCs w:val="36"/>
        </w:rPr>
        <w:t xml:space="preserve">Recommendations</w:t>
      </w:r>
    </w:p>
    <w:p>
      <w:pPr>
        <w:spacing w:before="80"/>
      </w:pPr>
    </w:p>
    <w:p>
      <w:pPr>
        <w:pStyle w:val="Heading2"/>
        <w:pBdr>
          <w:bottom w:val="single" w:color="2E86C1" w:sz="4" w:space="4"/>
        </w:pBdr>
        <w:spacing w:before="280" w:after="120"/>
      </w:pPr>
      <w:r>
        <w:rPr>
          <w:rFonts w:ascii="Arial" w:cs="Arial" w:eastAsia="Arial" w:hAnsi="Arial"/>
          <w:b/>
          <w:bCs/>
          <w:color w:val="1B3A6B"/>
          <w:sz w:val="26"/>
          <w:szCs w:val="26"/>
        </w:rPr>
        <w:t xml:space="preserve">Primary Recommendation: Real Estate</w:t>
      </w:r>
    </w:p>
    <w:p>
      <w:pPr>
        <w:spacing w:before="80" w:after="120"/>
      </w:pPr>
      <w:r>
        <w:rPr>
          <w:rFonts w:ascii="Arial" w:cs="Arial" w:eastAsia="Arial" w:hAnsi="Arial"/>
          <w:color w:val="1C1C1C"/>
          <w:sz w:val="20"/>
          <w:szCs w:val="20"/>
        </w:rPr>
        <w:t xml:space="preserve">Build a lease, HOA document, and disclosure Q&amp;A tool for property managers and residential agents. Ship a simple product in 2–3 weeks on top of the boilerplate. Reach buyers through Facebook groups (property management communities have 50K+ members), Reddit (r/PropertyManagement, r/realestate), and BiggerPockets. Target $150/mo starting price. This vertical gives you the fastest path from boilerplate to first paying customer.</w:t>
      </w:r>
    </w:p>
    <w:p>
      <w:pPr>
        <w:spacing w:before="120"/>
      </w:pPr>
    </w:p>
    <w:p>
      <w:pPr>
        <w:pStyle w:val="Heading2"/>
        <w:pBdr>
          <w:bottom w:val="single" w:color="2E86C1" w:sz="4" w:space="4"/>
        </w:pBdr>
        <w:spacing w:before="280" w:after="120"/>
      </w:pPr>
      <w:r>
        <w:rPr>
          <w:rFonts w:ascii="Arial" w:cs="Arial" w:eastAsia="Arial" w:hAnsi="Arial"/>
          <w:b/>
          <w:bCs/>
          <w:color w:val="1B3A6B"/>
          <w:sz w:val="26"/>
          <w:szCs w:val="26"/>
        </w:rPr>
        <w:t xml:space="preserve">Secondary Recommendation: Legal (Solo/Small Firms)</w:t>
      </w:r>
    </w:p>
    <w:p>
      <w:pPr>
        <w:spacing w:before="80" w:after="120"/>
      </w:pPr>
      <w:r>
        <w:rPr>
          <w:rFonts w:ascii="Arial" w:cs="Arial" w:eastAsia="Arial" w:hAnsi="Arial"/>
          <w:color w:val="1C1C1C"/>
          <w:sz w:val="20"/>
          <w:szCs w:val="20"/>
        </w:rPr>
        <w:t xml:space="preserve">Position as an internal knowledge base tool — NOT legal research — to sidestep attorney-client privilege concerns. The pitch: "Search everything your firm has ever written." Target solo attorneys and 2–5 person boutique firms through bar association email lists, Clio's partner ecosystem, and legal tech communities on LinkedIn. Price at $200–300/mo. This vertical has a slightly longer path to first customer but meaningfully higher LTV and stronger retention (switching costs are high once a firm's playbooks are in the system).</w:t>
      </w:r>
    </w:p>
    <w:p>
      <w:pPr>
        <w:spacing w:before="120"/>
      </w:pPr>
    </w:p>
    <w:p>
      <w:pPr>
        <w:pStyle w:val="Heading2"/>
        <w:pBdr>
          <w:bottom w:val="single" w:color="2E86C1" w:sz="4" w:space="4"/>
        </w:pBdr>
        <w:spacing w:before="280" w:after="120"/>
      </w:pPr>
      <w:r>
        <w:rPr>
          <w:rFonts w:ascii="Arial" w:cs="Arial" w:eastAsia="Arial" w:hAnsi="Arial"/>
          <w:b/>
          <w:bCs/>
          <w:color w:val="1B3A6B"/>
          <w:sz w:val="26"/>
          <w:szCs w:val="26"/>
        </w:rPr>
        <w:t xml:space="preserve">Tertiary Recommendation: Insurance (Independent)</w:t>
      </w:r>
    </w:p>
    <w:p>
      <w:pPr>
        <w:spacing w:before="80" w:after="120"/>
      </w:pPr>
      <w:r>
        <w:rPr>
          <w:rFonts w:ascii="Arial" w:cs="Arial" w:eastAsia="Arial" w:hAnsi="Arial"/>
          <w:color w:val="1C1C1C"/>
          <w:sz w:val="20"/>
          <w:szCs w:val="20"/>
        </w:rPr>
        <w:t xml:space="preserve">Independent insurance agents need to query carrier guidelines and policy details constantly during client calls. A RAG-powered policy Q&amp;A tool that cites the source document is a clear workflow improvement. Reach them through NAIFA (National Association of Insurance and Financial Advisors) and independent agent forums. Price at $200–300/mo. Stronger moat than real estate due to content complexity and stickiness of trained corpus.</w:t>
      </w:r>
    </w:p>
    <w:p>
      <w:pPr>
        <w:spacing w:before="120"/>
      </w:pPr>
    </w:p>
    <w:p>
      <w:pPr>
        <w:pStyle w:val="Heading2"/>
        <w:pBdr>
          <w:bottom w:val="single" w:color="2E86C1" w:sz="4" w:space="4"/>
        </w:pBdr>
        <w:spacing w:before="280" w:after="120"/>
      </w:pPr>
      <w:r>
        <w:rPr>
          <w:rFonts w:ascii="Arial" w:cs="Arial" w:eastAsia="Arial" w:hAnsi="Arial"/>
          <w:b/>
          <w:bCs/>
          <w:color w:val="1B3A6B"/>
          <w:sz w:val="26"/>
          <w:szCs w:val="26"/>
        </w:rPr>
        <w:t xml:space="preserve">Watch List: Construction / Architecture</w:t>
      </w:r>
    </w:p>
    <w:p>
      <w:pPr>
        <w:spacing w:before="80" w:after="120"/>
      </w:pPr>
      <w:r>
        <w:rPr>
          <w:rFonts w:ascii="Arial" w:cs="Arial" w:eastAsia="Arial" w:hAnsi="Arial"/>
          <w:color w:val="1C1C1C"/>
          <w:sz w:val="20"/>
          <w:szCs w:val="20"/>
        </w:rPr>
        <w:t xml:space="preserve">The competitive landscape is wide open and buyers are underserved. The challenge is document complexity — spec books and RFIs can be table-heavy and cross-reference-dense. If the boilerplate's table handling proves robust, this becomes a Strong Pick immediately. Best scoped to spec section Q&amp;A and submittal review rather than drawing interpretation.</w:t>
      </w:r>
    </w:p>
    <w:p>
      <w:pPr>
        <w:spacing w:before="120"/>
      </w:pPr>
    </w:p>
    <w:p>
      <w:pPr>
        <w:pStyle w:val="Heading2"/>
        <w:pBdr>
          <w:bottom w:val="single" w:color="2E86C1" w:sz="4" w:space="4"/>
        </w:pBdr>
        <w:spacing w:before="280" w:after="120"/>
      </w:pPr>
      <w:r>
        <w:rPr>
          <w:rFonts w:ascii="Arial" w:cs="Arial" w:eastAsia="Arial" w:hAnsi="Arial"/>
          <w:b/>
          <w:bCs/>
          <w:color w:val="1B3A6B"/>
          <w:sz w:val="26"/>
          <w:szCs w:val="26"/>
        </w:rPr>
        <w:t xml:space="preserve">Strategic Note: Boilerplate-First is the Right Framing</w:t>
      </w:r>
    </w:p>
    <w:p>
      <w:pPr>
        <w:spacing w:before="80" w:after="120"/>
      </w:pPr>
      <w:r>
        <w:rPr>
          <w:rFonts w:ascii="Arial" w:cs="Arial" w:eastAsia="Arial" w:hAnsi="Arial"/>
          <w:color w:val="1C1C1C"/>
          <w:sz w:val="20"/>
          <w:szCs w:val="20"/>
        </w:rPr>
        <w:t xml:space="preserve">Each vertical above is a product you build FOR yourself using the boilerplate, and the boilerplate itself is the real asset. Real estate use case → ship the boilerplate first, use it to build the tool, then open-source or sell the boilerplate as a product with a proven vertical case study. "The same boilerplate that powers LeaseBot" is a meaningful marketing hook. The vertical product validates the boilerplate; the boilerplate creates leverage across verticals.</w:t>
      </w:r>
    </w:p>
    <w:p>
      <w:pPr>
        <w:spacing w:before="160"/>
      </w:pP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0" w:sz="4" w:space="4"/>
      </w:pBdr>
    </w:pPr>
    <w:r>
      <w:rPr>
        <w:rFonts w:ascii="Arial" w:cs="Arial" w:eastAsia="Arial" w:hAnsi="Arial"/>
        <w:color w:val="5D6D7E"/>
        <w:sz w:val="16"/>
        <w:szCs w:val="16"/>
      </w:rPr>
      <w:t xml:space="preserve">RAG Boilerplate · Vertical ICP Analysis · February 2026     </w:t>
    </w: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2026-02-18T16:29:53.626Z</dcterms:created>
  <dcterms:modified xsi:type="dcterms:W3CDTF">2026-02-18T16:29:53.627Z</dcterms:modified>
</cp:coreProperties>
</file>

<file path=docProps/custom.xml><?xml version="1.0" encoding="utf-8"?>
<Properties xmlns="http://schemas.openxmlformats.org/officeDocument/2006/custom-properties" xmlns:vt="http://schemas.openxmlformats.org/officeDocument/2006/docPropsVTypes"/>
</file>