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Modificación Base de Datos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Realizada por: 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Modificación Base de Datos</w:t>
            </w:r>
          </w:p>
        </w:tc>
      </w:tr>
    </w:tbl>
    <w:p w:rsidR="00000000" w:rsidDel="00000000" w:rsidP="00000000" w:rsidRDefault="00000000" w:rsidRPr="00000000" w14:paraId="000000D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after="40" w:before="240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Justificación de sus campos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para su identificación y seguimiento.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fecha en la que se realizó la modificación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Realizada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miembro(s) de los equipos encargados de la gestión y mantenimiento de las bases de datos responsable del cambio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descripción del cambio realizado en la Base de Datos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:necesario por si se precisa comentar algún aspecto adicional que no se pueda explicar en un apartado anterior.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Firma de autorización sobre esa tarea.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voQjSvTL4JBX/KGoIgA+Q1tSIg==">CgMxLjAyCGguZ2pkZ3hzMgloLjMwajB6bGwyCWguMWZvYjl0ZTIJaC4zem55c2g3OAByITFoejM0MGMxbGpCSHpyVzM1M2g0SFBkd2huWUV6ME56Ng==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