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3D8" w:rsidRPr="006503D8" w:rsidRDefault="004E0A41" w:rsidP="006503D8">
      <w:pPr>
        <w:pStyle w:val="NormalWeb"/>
        <w:shd w:val="clear" w:color="auto" w:fill="FFFFFF"/>
        <w:spacing w:after="0"/>
        <w:rPr>
          <w:rFonts w:ascii="Calibri" w:hAnsi="Calibri" w:cs="Calibri"/>
          <w:color w:val="323130"/>
          <w:sz w:val="22"/>
          <w:szCs w:val="22"/>
        </w:rPr>
      </w:pPr>
      <w:r>
        <w:fldChar w:fldCharType="begin"/>
      </w:r>
      <w:r>
        <w:instrText xml:space="preserve"> HYPERLINK "https://hub.ihme.washington.edu/display/GBD2020/GBD+2020+Trainings" </w:instrText>
      </w:r>
      <w:r>
        <w:fldChar w:fldCharType="separate"/>
      </w:r>
      <w:r w:rsidRPr="004E0A41">
        <w:rPr>
          <w:rStyle w:val="Hyperlink"/>
        </w:rPr>
        <w:t>GBD2020 Trainings</w:t>
      </w:r>
      <w:r>
        <w:fldChar w:fldCharType="end"/>
      </w:r>
      <w:r>
        <w:t xml:space="preserve"> – Clinical Data</w:t>
      </w:r>
      <w:r w:rsidR="001F6EE6">
        <w:br/>
      </w:r>
      <w:r w:rsidR="001F6EE6">
        <w:br/>
      </w:r>
      <w:hyperlink r:id="rId4" w:history="1">
        <w:r w:rsidR="001F6EE6" w:rsidRPr="001F6EE6">
          <w:rPr>
            <w:rStyle w:val="Hyperlink"/>
          </w:rPr>
          <w:t>Claims Overview</w:t>
        </w:r>
      </w:hyperlink>
      <w:r w:rsidR="003643E1">
        <w:t xml:space="preserve"> ~ Inpatient overview is also present in this thread(review accordingly)</w:t>
      </w:r>
      <w:bookmarkStart w:id="0" w:name="_GoBack"/>
      <w:bookmarkEnd w:id="0"/>
      <w:r w:rsidR="001F6EE6">
        <w:br/>
        <w:t>=====================================================================</w:t>
      </w:r>
      <w:r w:rsidR="001F6EE6">
        <w:br/>
      </w:r>
      <w:r w:rsidR="001F6EE6" w:rsidRPr="001F6EE6">
        <w:rPr>
          <w:sz w:val="20"/>
          <w:szCs w:val="20"/>
        </w:rPr>
        <w:t>Maternal Bundle Reports: "J:\WORK\12_bundle\maternal\ClinInfo_BundleReports_Jan2020\MaternalBundleReports_ClinInfo_Jan2020"</w:t>
      </w:r>
      <w:r w:rsidR="001F6EE6">
        <w:br/>
      </w:r>
      <w:r w:rsidR="001F6EE6">
        <w:t>=====================================================================</w:t>
      </w:r>
      <w:r>
        <w:br/>
      </w:r>
      <w:r w:rsidR="006503D8">
        <w:rPr>
          <w:rFonts w:ascii="Calibri" w:hAnsi="Calibri" w:cs="Calibri"/>
          <w:color w:val="323130"/>
          <w:sz w:val="22"/>
          <w:szCs w:val="22"/>
        </w:rPr>
        <w:t>Hi Mae, Jenny,</w:t>
      </w:r>
      <w:r w:rsidR="006503D8">
        <w:rPr>
          <w:rFonts w:ascii="Calibri" w:hAnsi="Calibri" w:cs="Calibri"/>
          <w:color w:val="323130"/>
          <w:sz w:val="22"/>
          <w:szCs w:val="22"/>
        </w:rPr>
        <w:br/>
        <w:t xml:space="preserve">     </w:t>
      </w:r>
      <w:r w:rsidR="006503D8" w:rsidRPr="006503D8">
        <w:rPr>
          <w:rFonts w:ascii="Calibri" w:hAnsi="Calibri" w:cs="Calibri"/>
          <w:color w:val="323130"/>
          <w:sz w:val="22"/>
          <w:szCs w:val="22"/>
        </w:rPr>
        <w:t xml:space="preserve">For the maternal data landscaping I’m doing, Mae had told me to ask Erin Hamilton from Clinical Informatics about “ bundle reports”.  Erin sent those to me last </w:t>
      </w:r>
      <w:proofErr w:type="gramStart"/>
      <w:r w:rsidR="006503D8" w:rsidRPr="006503D8">
        <w:rPr>
          <w:rFonts w:ascii="Calibri" w:hAnsi="Calibri" w:cs="Calibri"/>
          <w:color w:val="323130"/>
          <w:sz w:val="22"/>
          <w:szCs w:val="22"/>
        </w:rPr>
        <w:t>week  –</w:t>
      </w:r>
      <w:proofErr w:type="gramEnd"/>
      <w:r w:rsidR="006503D8" w:rsidRPr="006503D8">
        <w:rPr>
          <w:rFonts w:ascii="Calibri" w:hAnsi="Calibri" w:cs="Calibri"/>
          <w:color w:val="323130"/>
          <w:sz w:val="22"/>
          <w:szCs w:val="22"/>
        </w:rPr>
        <w:t xml:space="preserve"> they’re from Jan 2020.  For future reference</w:t>
      </w:r>
      <w:proofErr w:type="gramStart"/>
      <w:r w:rsidR="006503D8" w:rsidRPr="006503D8">
        <w:rPr>
          <w:rFonts w:ascii="Calibri" w:hAnsi="Calibri" w:cs="Calibri"/>
          <w:color w:val="323130"/>
          <w:sz w:val="22"/>
          <w:szCs w:val="22"/>
        </w:rPr>
        <w:t>,  I</w:t>
      </w:r>
      <w:proofErr w:type="gramEnd"/>
      <w:r w:rsidR="006503D8" w:rsidRPr="006503D8">
        <w:rPr>
          <w:rFonts w:ascii="Calibri" w:hAnsi="Calibri" w:cs="Calibri"/>
          <w:color w:val="323130"/>
          <w:sz w:val="22"/>
          <w:szCs w:val="22"/>
        </w:rPr>
        <w:t xml:space="preserve"> placed those in J:\WORK\12_bundle\maternal\ClinInfo_BundleReports_Jan2020.  I also put in that directory a Jan 6, 2020 email she forwarded between her, Nick K, and Ira about the bundle reports.  If Jenny ever needs to look at these, there was a training in Jan 2020; link to slides &amp; video is here:  https://hub.ihme.washington.edu/display/GBD2020/GBD+2020+</w:t>
      </w:r>
      <w:proofErr w:type="gramStart"/>
      <w:r w:rsidR="006503D8" w:rsidRPr="006503D8">
        <w:rPr>
          <w:rFonts w:ascii="Calibri" w:hAnsi="Calibri" w:cs="Calibri"/>
          <w:color w:val="323130"/>
          <w:sz w:val="22"/>
          <w:szCs w:val="22"/>
        </w:rPr>
        <w:t>Trainings  I</w:t>
      </w:r>
      <w:proofErr w:type="gramEnd"/>
      <w:r w:rsidR="006503D8" w:rsidRPr="006503D8">
        <w:rPr>
          <w:rFonts w:ascii="Calibri" w:hAnsi="Calibri" w:cs="Calibri"/>
          <w:color w:val="323130"/>
          <w:sz w:val="22"/>
          <w:szCs w:val="22"/>
        </w:rPr>
        <w:t xml:space="preserve"> doubt there’s been an</w:t>
      </w:r>
      <w:r w:rsidR="006503D8">
        <w:rPr>
          <w:rFonts w:ascii="Calibri" w:hAnsi="Calibri" w:cs="Calibri"/>
          <w:color w:val="323130"/>
          <w:sz w:val="22"/>
          <w:szCs w:val="22"/>
        </w:rPr>
        <w:t xml:space="preserve"> update since on that training.</w:t>
      </w:r>
    </w:p>
    <w:p w:rsidR="006503D8" w:rsidRPr="006503D8" w:rsidRDefault="006503D8" w:rsidP="006503D8">
      <w:pPr>
        <w:pStyle w:val="NormalWeb"/>
        <w:shd w:val="clear" w:color="auto" w:fill="FFFFFF"/>
        <w:spacing w:after="0"/>
        <w:rPr>
          <w:rFonts w:ascii="Calibri" w:hAnsi="Calibri" w:cs="Calibri"/>
          <w:color w:val="323130"/>
          <w:sz w:val="22"/>
          <w:szCs w:val="22"/>
        </w:rPr>
      </w:pPr>
      <w:r>
        <w:rPr>
          <w:rFonts w:ascii="Calibri" w:hAnsi="Calibri" w:cs="Calibri"/>
          <w:color w:val="323130"/>
          <w:sz w:val="22"/>
          <w:szCs w:val="22"/>
        </w:rPr>
        <w:t xml:space="preserve">     </w:t>
      </w:r>
      <w:r w:rsidRPr="006503D8">
        <w:rPr>
          <w:rFonts w:ascii="Calibri" w:hAnsi="Calibri" w:cs="Calibri"/>
          <w:color w:val="323130"/>
          <w:sz w:val="22"/>
          <w:szCs w:val="22"/>
        </w:rPr>
        <w:t xml:space="preserve">As an </w:t>
      </w:r>
      <w:proofErr w:type="spellStart"/>
      <w:r w:rsidRPr="006503D8">
        <w:rPr>
          <w:rFonts w:ascii="Calibri" w:hAnsi="Calibri" w:cs="Calibri"/>
          <w:color w:val="323130"/>
          <w:sz w:val="22"/>
          <w:szCs w:val="22"/>
        </w:rPr>
        <w:t>fyi</w:t>
      </w:r>
      <w:proofErr w:type="spellEnd"/>
      <w:r w:rsidRPr="006503D8">
        <w:rPr>
          <w:rFonts w:ascii="Calibri" w:hAnsi="Calibri" w:cs="Calibri"/>
          <w:color w:val="323130"/>
          <w:sz w:val="22"/>
          <w:szCs w:val="22"/>
        </w:rPr>
        <w:t>, in her reply, Erin Hamilton of Clinical Informatics mentioned the following (I had asked whether they had any further information on a Kenya sou</w:t>
      </w:r>
      <w:r>
        <w:rPr>
          <w:rFonts w:ascii="Calibri" w:hAnsi="Calibri" w:cs="Calibri"/>
          <w:color w:val="323130"/>
          <w:sz w:val="22"/>
          <w:szCs w:val="22"/>
        </w:rPr>
        <w:t xml:space="preserve">rce Mae and I had discussed).: </w:t>
      </w:r>
    </w:p>
    <w:p w:rsidR="006503D8" w:rsidRPr="006503D8" w:rsidRDefault="006503D8" w:rsidP="006503D8">
      <w:pPr>
        <w:pStyle w:val="NormalWeb"/>
        <w:shd w:val="clear" w:color="auto" w:fill="FFFFFF"/>
        <w:spacing w:after="0"/>
        <w:rPr>
          <w:rFonts w:ascii="Calibri" w:hAnsi="Calibri" w:cs="Calibri"/>
          <w:color w:val="323130"/>
          <w:sz w:val="22"/>
          <w:szCs w:val="22"/>
        </w:rPr>
      </w:pPr>
      <w:r w:rsidRPr="006503D8">
        <w:rPr>
          <w:rFonts w:ascii="Calibri" w:hAnsi="Calibri" w:cs="Calibri"/>
          <w:color w:val="323130"/>
          <w:sz w:val="22"/>
          <w:szCs w:val="22"/>
        </w:rPr>
        <w:t>“I forwarded on the bundle reports we created in 2020. The Kenya source pre-dates my time at IHME, so I do not know more abou</w:t>
      </w:r>
      <w:r>
        <w:rPr>
          <w:rFonts w:ascii="Calibri" w:hAnsi="Calibri" w:cs="Calibri"/>
          <w:color w:val="323130"/>
          <w:sz w:val="22"/>
          <w:szCs w:val="22"/>
        </w:rPr>
        <w:t>t that source. Mohsen may know.</w:t>
      </w:r>
    </w:p>
    <w:p w:rsidR="004E0A41" w:rsidRDefault="006503D8" w:rsidP="006503D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23130"/>
          <w:sz w:val="22"/>
          <w:szCs w:val="22"/>
        </w:rPr>
      </w:pPr>
      <w:r w:rsidRPr="006503D8">
        <w:rPr>
          <w:rFonts w:ascii="Calibri" w:hAnsi="Calibri" w:cs="Calibri"/>
          <w:color w:val="323130"/>
          <w:sz w:val="22"/>
          <w:szCs w:val="22"/>
        </w:rPr>
        <w:t xml:space="preserve">We're doing a review of our hospital data sources that are frequently </w:t>
      </w:r>
      <w:proofErr w:type="spellStart"/>
      <w:r w:rsidRPr="006503D8">
        <w:rPr>
          <w:rFonts w:ascii="Calibri" w:hAnsi="Calibri" w:cs="Calibri"/>
          <w:color w:val="323130"/>
          <w:sz w:val="22"/>
          <w:szCs w:val="22"/>
        </w:rPr>
        <w:t>outliered</w:t>
      </w:r>
      <w:proofErr w:type="spellEnd"/>
      <w:r w:rsidRPr="006503D8">
        <w:rPr>
          <w:rFonts w:ascii="Calibri" w:hAnsi="Calibri" w:cs="Calibri"/>
          <w:color w:val="323130"/>
          <w:sz w:val="22"/>
          <w:szCs w:val="22"/>
        </w:rPr>
        <w:t xml:space="preserve"> in clinical data, so we may be excluding sources like these in our estimates moving forward. That decision has not been made formally yet though. “</w:t>
      </w:r>
      <w:r w:rsidR="00FC314D">
        <w:rPr>
          <w:rFonts w:ascii="Calibri" w:hAnsi="Calibri" w:cs="Calibri"/>
          <w:color w:val="323130"/>
          <w:sz w:val="22"/>
          <w:szCs w:val="22"/>
        </w:rPr>
        <w:br/>
      </w:r>
      <w:r>
        <w:rPr>
          <w:rFonts w:ascii="Nirmala UI" w:hAnsi="Nirmala UI" w:cs="Nirmala UI"/>
          <w:color w:val="323130"/>
          <w:sz w:val="22"/>
          <w:szCs w:val="22"/>
          <w:bdr w:val="none" w:sz="0" w:space="0" w:color="auto" w:frame="1"/>
        </w:rPr>
        <w:br/>
      </w:r>
      <w:r w:rsidR="00FC314D">
        <w:rPr>
          <w:noProof/>
        </w:rPr>
        <w:drawing>
          <wp:inline distT="0" distB="0" distL="0" distR="0" wp14:anchorId="0338AE04" wp14:editId="13863715">
            <wp:extent cx="5876925" cy="2314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3D8" w:rsidRDefault="006503D8" w:rsidP="006503D8">
      <w:r>
        <w:t>=====================================================================================</w:t>
      </w:r>
      <w:r>
        <w:br/>
      </w:r>
      <w:r>
        <w:t>=====================================================================================</w:t>
      </w:r>
    </w:p>
    <w:p w:rsidR="00FC314D" w:rsidRDefault="002A1C05">
      <w:r w:rsidRPr="002A1C05">
        <w:rPr>
          <w:b/>
          <w:u w:val="single"/>
        </w:rPr>
        <w:t>Clinical Mapping Process</w:t>
      </w:r>
      <w:r>
        <w:br/>
        <w:t>• Clinical data is processed at a more detailed level in your pipelines (ICGs and bundles)</w:t>
      </w:r>
      <w:r>
        <w:br/>
        <w:t xml:space="preserve">     - 60,000 ICD-9 and -10 codes reduce to ~1300 ICG codes which reduce to ~300 bundle codes</w:t>
      </w:r>
      <w:r>
        <w:br/>
        <w:t xml:space="preserve">     - ICD and ICG codes are mutually exclusive and collectively exhaustive while bundle code are not. </w:t>
      </w:r>
      <w:r>
        <w:br/>
        <w:t xml:space="preserve">        - All ICD map to one ICG </w:t>
      </w:r>
      <w:r>
        <w:br/>
      </w:r>
      <w:r>
        <w:lastRenderedPageBreak/>
        <w:t xml:space="preserve">        - Not all ICGs map to bundle ~(50%) </w:t>
      </w:r>
      <w:r>
        <w:br/>
        <w:t xml:space="preserve">        - Single ICD code can map to multiple bundles</w:t>
      </w:r>
      <w:r>
        <w:br/>
        <w:t xml:space="preserve">      - Some sources do not have ICD coding, so they require a special map</w:t>
      </w:r>
      <w:r w:rsidR="00FC314D">
        <w:br/>
      </w:r>
      <w:r>
        <w:br/>
        <w:t>• What is an ICG?</w:t>
      </w:r>
      <w:r>
        <w:br/>
        <w:t xml:space="preserve">      - ICD Cause Group – a grouping of ICD codes (on average, about</w:t>
      </w:r>
      <w:r w:rsidR="00583E2F">
        <w:t xml:space="preserve"> 11 ICD codes per ICG) </w:t>
      </w:r>
      <w:r w:rsidR="00583E2F">
        <w:br/>
      </w:r>
      <w:r w:rsidR="00583E2F">
        <w:t> </w:t>
      </w:r>
      <w:r w:rsidR="00583E2F">
        <w:rPr>
          <w:noProof/>
        </w:rPr>
        <w:drawing>
          <wp:inline distT="0" distB="0" distL="0" distR="0">
            <wp:extent cx="3478192" cy="1838270"/>
            <wp:effectExtent l="0" t="0" r="8255" b="0"/>
            <wp:docPr id="1" name="Picture 1" descr="C:\Users\chrish47\AppData\Local\Microsoft\Windows\INetCache\Content.MSO\6F0A6C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rish47\AppData\Local\Microsoft\Windows\INetCache\Content.MSO\6F0A6C5D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837" cy="184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314D">
        <w:t xml:space="preserve"> </w:t>
      </w:r>
      <w:r w:rsidR="00FC314D">
        <w:br/>
      </w:r>
    </w:p>
    <w:p w:rsidR="002A1C05" w:rsidRDefault="00FC314D">
      <w:r w:rsidRPr="0048750D">
        <w:rPr>
          <w:b/>
          <w:color w:val="FF0000"/>
          <w:sz w:val="24"/>
          <w:szCs w:val="24"/>
          <w:u w:val="single"/>
        </w:rPr>
        <w:t>Claims Data Overview</w:t>
      </w:r>
      <w:r>
        <w:br/>
      </w:r>
      <w:r w:rsidR="00302F78">
        <w:rPr>
          <w:noProof/>
        </w:rPr>
        <w:drawing>
          <wp:inline distT="0" distB="0" distL="0" distR="0" wp14:anchorId="15FDAF6A" wp14:editId="557DFCD1">
            <wp:extent cx="5943600" cy="31007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02F78">
        <w:t>•</w:t>
      </w:r>
      <w:r w:rsidR="000F056D">
        <w:t xml:space="preserve"> Used to</w:t>
      </w:r>
      <w:r w:rsidR="00302F78">
        <w:t xml:space="preserve"> track reimbursements for care</w:t>
      </w:r>
      <w:r w:rsidR="00302F78">
        <w:br/>
        <w:t>•</w:t>
      </w:r>
      <w:r w:rsidR="000F056D">
        <w:t xml:space="preserve"> Must include information on diagn</w:t>
      </w:r>
      <w:r w:rsidR="00302F78">
        <w:t>osis and procedures</w:t>
      </w:r>
      <w:r w:rsidR="00302F78">
        <w:br/>
        <w:t>•</w:t>
      </w:r>
      <w:r w:rsidR="000F056D">
        <w:t xml:space="preserve"> Enrollee IDs allow us to associate claims with an individual</w:t>
      </w:r>
      <w:r w:rsidR="000F056D">
        <w:br/>
        <w:t xml:space="preserve">     - Allows for tracking patient over space and time</w:t>
      </w:r>
      <w:r w:rsidR="000F056D">
        <w:br/>
        <w:t xml:space="preserve">     - Requirements for identifying re</w:t>
      </w:r>
      <w:r w:rsidR="00302F78">
        <w:t>admissions and outpatient care</w:t>
      </w:r>
      <w:r w:rsidR="00302F78">
        <w:br/>
        <w:t>•</w:t>
      </w:r>
      <w:r w:rsidR="000F056D">
        <w:t xml:space="preserve"> Main pipeline generally refers to </w:t>
      </w:r>
      <w:proofErr w:type="spellStart"/>
      <w:r w:rsidR="000F056D">
        <w:t>Marketscan</w:t>
      </w:r>
      <w:proofErr w:type="spellEnd"/>
      <w:r w:rsidR="000F056D">
        <w:t xml:space="preserve"> – other sources are processed similarly, but separately.</w:t>
      </w:r>
      <w:r w:rsidR="000F056D">
        <w:br/>
      </w:r>
      <w:r w:rsidR="000F056D">
        <w:br/>
      </w:r>
      <w:r w:rsidR="000F056D">
        <w:rPr>
          <w:noProof/>
        </w:rPr>
        <w:lastRenderedPageBreak/>
        <w:drawing>
          <wp:inline distT="0" distB="0" distL="0" distR="0" wp14:anchorId="6E68EC7D" wp14:editId="6894CA16">
            <wp:extent cx="4276846" cy="18299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1443" cy="183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E2F">
        <w:br/>
      </w:r>
      <w:r w:rsidR="00302F78">
        <w:t>•</w:t>
      </w:r>
      <w:r w:rsidR="000F056D">
        <w:t xml:space="preserve"> What is Claims data used for in GBD?</w:t>
      </w:r>
      <w:r w:rsidR="000F056D">
        <w:br/>
        <w:t xml:space="preserve">     - One of three main clinical data types/outputs</w:t>
      </w:r>
      <w:r w:rsidR="000F056D">
        <w:br/>
        <w:t xml:space="preserve">     - Claims bundle estimates </w:t>
      </w:r>
      <w:r w:rsidR="000F056D">
        <w:br/>
        <w:t xml:space="preserve">       - All diagnoses, individuals, inpatient data </w:t>
      </w:r>
      <w:r w:rsidR="000F056D">
        <w:br/>
        <w:t xml:space="preserve">       - All diagnoses, individuals, inpatient and outpatient data</w:t>
      </w:r>
      <w:r w:rsidR="000F056D">
        <w:br/>
        <w:t xml:space="preserve">     - Correction factor input data</w:t>
      </w:r>
      <w:r w:rsidR="000F056D">
        <w:br/>
        <w:t xml:space="preserve">       - Used to correct known issues in inpatient and outpatient data  </w:t>
      </w:r>
      <w:r w:rsidR="000F056D">
        <w:br/>
      </w:r>
      <w:r w:rsidR="000F056D">
        <w:rPr>
          <w:noProof/>
        </w:rPr>
        <w:drawing>
          <wp:inline distT="0" distB="0" distL="0" distR="0" wp14:anchorId="0EB1B9E5" wp14:editId="55EC316A">
            <wp:extent cx="4592135" cy="1920212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7077" cy="19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56D">
        <w:t xml:space="preserve"> </w:t>
      </w:r>
      <w:r w:rsidR="000F056D">
        <w:br/>
      </w:r>
      <w:r w:rsidR="000F056D">
        <w:rPr>
          <w:noProof/>
        </w:rPr>
        <w:drawing>
          <wp:inline distT="0" distB="0" distL="0" distR="0" wp14:anchorId="13190B6E" wp14:editId="0C3CF07D">
            <wp:extent cx="4589283" cy="2326511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580" cy="233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56D">
        <w:t xml:space="preserve"> </w:t>
      </w:r>
      <w:r w:rsidR="000F056D">
        <w:br/>
      </w:r>
      <w:r w:rsidR="000F056D">
        <w:rPr>
          <w:noProof/>
        </w:rPr>
        <w:lastRenderedPageBreak/>
        <w:drawing>
          <wp:inline distT="0" distB="0" distL="0" distR="0" wp14:anchorId="2A18D1A6" wp14:editId="5BA2E6CA">
            <wp:extent cx="4519914" cy="23067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825" cy="230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56D">
        <w:t xml:space="preserve"> </w:t>
      </w:r>
      <w:r w:rsidR="000F056D">
        <w:br/>
      </w:r>
      <w:r w:rsidR="000F056D">
        <w:rPr>
          <w:noProof/>
        </w:rPr>
        <w:drawing>
          <wp:inline distT="0" distB="0" distL="0" distR="0" wp14:anchorId="5A1B4215" wp14:editId="1E4D0C3C">
            <wp:extent cx="4473615" cy="2297507"/>
            <wp:effectExtent l="0" t="0" r="317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284" cy="230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56D">
        <w:t xml:space="preserve"> </w:t>
      </w:r>
      <w:r w:rsidR="000F056D">
        <w:br/>
      </w:r>
      <w:r w:rsidR="000F056D">
        <w:rPr>
          <w:noProof/>
        </w:rPr>
        <w:drawing>
          <wp:inline distT="0" distB="0" distL="0" distR="0" wp14:anchorId="29E047FF" wp14:editId="0D5B78AA">
            <wp:extent cx="4490977" cy="2336651"/>
            <wp:effectExtent l="0" t="0" r="508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401" cy="234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F78">
        <w:t xml:space="preserve"> </w:t>
      </w:r>
      <w:r w:rsidR="00302F78">
        <w:br/>
      </w:r>
      <w:r w:rsidR="00302F78">
        <w:rPr>
          <w:noProof/>
        </w:rPr>
        <w:lastRenderedPageBreak/>
        <w:drawing>
          <wp:inline distT="0" distB="0" distL="0" distR="0" wp14:anchorId="3A508C12" wp14:editId="3BDF748F">
            <wp:extent cx="4473575" cy="2434657"/>
            <wp:effectExtent l="0" t="0" r="317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4596" cy="24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F78">
        <w:t xml:space="preserve"> </w:t>
      </w:r>
      <w:r w:rsidR="00302F78">
        <w:br/>
      </w:r>
      <w:r w:rsidR="00302F78">
        <w:br/>
      </w:r>
      <w:r w:rsidR="00302F78" w:rsidRPr="0048750D">
        <w:rPr>
          <w:b/>
          <w:color w:val="FF0000"/>
          <w:sz w:val="24"/>
          <w:szCs w:val="24"/>
          <w:u w:val="single"/>
        </w:rPr>
        <w:t>Inpatient Data Overview</w:t>
      </w:r>
      <w:r w:rsidR="0048750D">
        <w:rPr>
          <w:b/>
          <w:color w:val="FF0000"/>
          <w:sz w:val="24"/>
          <w:szCs w:val="24"/>
          <w:u w:val="single"/>
        </w:rPr>
        <w:t xml:space="preserve"> </w:t>
      </w:r>
      <w:r w:rsidR="0048750D">
        <w:rPr>
          <w:b/>
          <w:color w:val="FF0000"/>
          <w:sz w:val="24"/>
          <w:szCs w:val="24"/>
          <w:u w:val="single"/>
        </w:rPr>
        <w:br/>
      </w:r>
      <w:r w:rsidR="0048750D">
        <w:rPr>
          <w:noProof/>
        </w:rPr>
        <w:drawing>
          <wp:inline distT="0" distB="0" distL="0" distR="0" wp14:anchorId="56B78479" wp14:editId="3142C3DB">
            <wp:extent cx="4535001" cy="2090237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5181" cy="209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F78">
        <w:br/>
        <w:t>• Inpatient care is defined as overnight admission to a hospital</w:t>
      </w:r>
      <w:r w:rsidR="00302F78">
        <w:br/>
        <w:t>• Usually more serious conditions that require a higher level of care than outpatient</w:t>
      </w:r>
      <w:r w:rsidR="00302F78">
        <w:br/>
        <w:t xml:space="preserve">     - Expect to see appendicitis as indication for a</w:t>
      </w:r>
      <w:r w:rsidR="001C0328">
        <w:t>n</w:t>
      </w:r>
      <w:r w:rsidR="00302F78">
        <w:t xml:space="preserve"> admission, but not </w:t>
      </w:r>
      <w:proofErr w:type="spellStart"/>
      <w:r w:rsidR="00302F78">
        <w:t>aczema</w:t>
      </w:r>
      <w:proofErr w:type="spellEnd"/>
      <w:r w:rsidR="00302F78">
        <w:br/>
        <w:t xml:space="preserve">     - These designations may need to be revisited as modes of care evolve</w:t>
      </w:r>
      <w:r w:rsidR="00302F78">
        <w:br/>
        <w:t>• Criteria for inpatient data inclusion</w:t>
      </w:r>
      <w:r w:rsidR="00302F78">
        <w:br/>
        <w:t xml:space="preserve">      - General hospital and specialty clinics (need both or only general)</w:t>
      </w:r>
      <w:r w:rsidR="00302F78">
        <w:br/>
        <w:t xml:space="preserve">      - Includes demographic information</w:t>
      </w:r>
      <w:r w:rsidR="00302F78">
        <w:br/>
        <w:t xml:space="preserve">      - Diagnosis classification (ICD-9/10) or tabulated list that can be mapped to GBD causes)</w:t>
      </w:r>
      <w:r w:rsidR="00302F78">
        <w:br/>
        <w:t>• General goal is to create population-level disease and injury encounter rates or proportions, not just cause estimates for primary inpatient admissions.</w:t>
      </w:r>
      <w:r w:rsidR="00302F78">
        <w:br/>
      </w:r>
      <w:r w:rsidR="00302F78">
        <w:rPr>
          <w:noProof/>
        </w:rPr>
        <w:lastRenderedPageBreak/>
        <w:drawing>
          <wp:inline distT="0" distB="0" distL="0" distR="0" wp14:anchorId="72BA374F" wp14:editId="7B42D421">
            <wp:extent cx="4450466" cy="187162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0459" cy="187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F78">
        <w:t xml:space="preserve"> </w:t>
      </w:r>
      <w:r w:rsidR="00302F78">
        <w:br/>
      </w:r>
      <w:r w:rsidR="00302F78">
        <w:rPr>
          <w:noProof/>
        </w:rPr>
        <w:drawing>
          <wp:inline distT="0" distB="0" distL="0" distR="0" wp14:anchorId="01273413" wp14:editId="64A95FEB">
            <wp:extent cx="4664597" cy="2370533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2071" cy="237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F78">
        <w:t xml:space="preserve"> </w:t>
      </w:r>
      <w:r w:rsidR="00302F78">
        <w:br/>
      </w:r>
      <w:r w:rsidR="00302F78">
        <w:rPr>
          <w:noProof/>
        </w:rPr>
        <w:drawing>
          <wp:inline distT="0" distB="0" distL="0" distR="0" wp14:anchorId="5E6A60E0" wp14:editId="2AE2BB84">
            <wp:extent cx="4670385" cy="2395847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3952" cy="240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F78">
        <w:t xml:space="preserve"> </w:t>
      </w:r>
      <w:r w:rsidR="00302F78">
        <w:br/>
      </w:r>
      <w:r w:rsidR="00302F78">
        <w:rPr>
          <w:noProof/>
        </w:rPr>
        <w:lastRenderedPageBreak/>
        <w:drawing>
          <wp:inline distT="0" distB="0" distL="0" distR="0" wp14:anchorId="55F5A913" wp14:editId="394B4A8A">
            <wp:extent cx="4687747" cy="23825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2339" cy="23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F78">
        <w:t xml:space="preserve"> </w:t>
      </w:r>
      <w:r w:rsidR="00302F78">
        <w:br/>
        <w:t xml:space="preserve">Example: </w:t>
      </w:r>
      <w:proofErr w:type="spellStart"/>
      <w:r w:rsidR="00302F78">
        <w:t>cvd</w:t>
      </w:r>
      <w:proofErr w:type="spellEnd"/>
      <w:r w:rsidR="00302F78">
        <w:t>, ischemic, angina</w:t>
      </w:r>
      <w:r w:rsidR="00302F78">
        <w:br/>
        <w:t>• Cause Fraction = ICG admissions / Total admissions</w:t>
      </w:r>
      <w:r w:rsidR="00302F78">
        <w:br/>
        <w:t xml:space="preserve">• Denominator = Total admissions </w:t>
      </w:r>
      <w:r w:rsidR="00302F78">
        <w:br/>
        <w:t xml:space="preserve">• Numerator = ICG admissions </w:t>
      </w:r>
      <w:r w:rsidR="00302F78">
        <w:br/>
      </w:r>
      <w:r w:rsidR="00302F78">
        <w:rPr>
          <w:noProof/>
        </w:rPr>
        <w:drawing>
          <wp:inline distT="0" distB="0" distL="0" distR="0" wp14:anchorId="5C7C5A41" wp14:editId="61559BD7">
            <wp:extent cx="4496765" cy="2299649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1" cy="230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50D">
        <w:t xml:space="preserve"> </w:t>
      </w:r>
      <w:r w:rsidR="0048750D">
        <w:br/>
      </w:r>
      <w:r w:rsidR="0048750D">
        <w:rPr>
          <w:noProof/>
        </w:rPr>
        <w:drawing>
          <wp:inline distT="0" distB="0" distL="0" distR="0" wp14:anchorId="55A9B896" wp14:editId="2E2C1597">
            <wp:extent cx="4496435" cy="23830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9214" cy="23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50D">
        <w:t xml:space="preserve"> </w:t>
      </w:r>
      <w:r w:rsidR="0048750D">
        <w:br/>
      </w:r>
      <w:r w:rsidR="0048750D">
        <w:rPr>
          <w:noProof/>
        </w:rPr>
        <w:lastRenderedPageBreak/>
        <w:drawing>
          <wp:inline distT="0" distB="0" distL="0" distR="0" wp14:anchorId="21C5E74B" wp14:editId="17224446">
            <wp:extent cx="4508432" cy="2180789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4877" cy="218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50D">
        <w:t xml:space="preserve"> </w:t>
      </w:r>
      <w:r w:rsidR="0048750D">
        <w:br/>
      </w:r>
      <w:r w:rsidR="0048750D">
        <w:rPr>
          <w:noProof/>
        </w:rPr>
        <w:drawing>
          <wp:inline distT="0" distB="0" distL="0" distR="0" wp14:anchorId="58A463F2" wp14:editId="6A796EF2">
            <wp:extent cx="4518212" cy="2303258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2789" cy="230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50D">
        <w:t xml:space="preserve"> </w:t>
      </w:r>
      <w:r w:rsidR="0048750D">
        <w:br/>
        <w:t xml:space="preserve">• Transformations/adjustments to inpatient data aimed at better approximating population – level incidence or prevalence. </w:t>
      </w:r>
      <w:r w:rsidR="0048750D">
        <w:br/>
      </w:r>
      <w:r w:rsidR="0048750D">
        <w:rPr>
          <w:noProof/>
        </w:rPr>
        <w:drawing>
          <wp:inline distT="0" distB="0" distL="0" distR="0" wp14:anchorId="70216270" wp14:editId="43B5933C">
            <wp:extent cx="4027588" cy="298024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4127" cy="29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50D">
        <w:br/>
      </w:r>
      <w:r w:rsidR="0048750D">
        <w:rPr>
          <w:noProof/>
        </w:rPr>
        <w:lastRenderedPageBreak/>
        <w:drawing>
          <wp:inline distT="0" distB="0" distL="0" distR="0" wp14:anchorId="1D9B38EA" wp14:editId="0DC26138">
            <wp:extent cx="4503288" cy="2223258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8413" cy="222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56D">
        <w:br/>
      </w:r>
    </w:p>
    <w:sectPr w:rsidR="002A1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83A"/>
    <w:rsid w:val="0007629C"/>
    <w:rsid w:val="000F056D"/>
    <w:rsid w:val="001C0328"/>
    <w:rsid w:val="001F6EE6"/>
    <w:rsid w:val="002A1C05"/>
    <w:rsid w:val="00302F78"/>
    <w:rsid w:val="003643E1"/>
    <w:rsid w:val="0048750D"/>
    <w:rsid w:val="004E0A41"/>
    <w:rsid w:val="00583E2F"/>
    <w:rsid w:val="006503D8"/>
    <w:rsid w:val="00730E0F"/>
    <w:rsid w:val="008C4873"/>
    <w:rsid w:val="00DA083A"/>
    <w:rsid w:val="00ED07BB"/>
    <w:rsid w:val="00EE1067"/>
    <w:rsid w:val="00FC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E394C"/>
  <w15:chartTrackingRefBased/>
  <w15:docId w15:val="{A0E6D875-A2AB-4512-A8FD-D9F232791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0A4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E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2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hub.ihme.washington.edu/display/ICI/Claim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Hernandez</dc:creator>
  <cp:keywords/>
  <dc:description/>
  <cp:lastModifiedBy>Christian Hernandez</cp:lastModifiedBy>
  <cp:revision>10</cp:revision>
  <dcterms:created xsi:type="dcterms:W3CDTF">2022-06-29T18:34:00Z</dcterms:created>
  <dcterms:modified xsi:type="dcterms:W3CDTF">2022-06-29T21:06:00Z</dcterms:modified>
</cp:coreProperties>
</file>