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9.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left-right</w:t>
      </w:r>
      <w:r>
        <w:t xml:space="preserve"> </w:t>
      </w:r>
      <w:r>
        <w:t xml:space="preserve">positions</w:t>
      </w:r>
      <w:r>
        <w:t xml:space="preserve"> </w:t>
      </w:r>
      <w:r>
        <w:t xml:space="preserve">of</w:t>
      </w:r>
      <w:r>
        <w:t xml:space="preserve"> </w:t>
      </w:r>
      <w:r>
        <w:t xml:space="preserve">British</w:t>
      </w:r>
      <w:r>
        <w:t xml:space="preserve"> </w:t>
      </w:r>
      <w:r>
        <w:t xml:space="preserve">MPs</w:t>
      </w:r>
      <w:r>
        <w:t xml:space="preserve"> </w:t>
      </w:r>
      <w:r>
        <w:t xml:space="preserve">inferred</w:t>
      </w:r>
      <w:r>
        <w:t xml:space="preserve"> </w:t>
      </w:r>
      <w:r>
        <w:t xml:space="preserve">from</w:t>
      </w:r>
      <w:r>
        <w:t xml:space="preserve"> </w:t>
      </w:r>
      <w:r>
        <w:t xml:space="preserve">a</w:t>
      </w:r>
      <w:r>
        <w:t xml:space="preserve"> </w:t>
      </w:r>
      <w:r>
        <w:t xml:space="preserve">survey</w:t>
      </w:r>
      <w:r>
        <w:t xml:space="preserve"> </w:t>
      </w:r>
      <w:r>
        <w:t xml:space="preserve">of</w:t>
      </w:r>
      <w:r>
        <w:t xml:space="preserve"> </w:t>
      </w:r>
      <w:r>
        <w:t xml:space="preserve">local</w:t>
      </w:r>
      <w:r>
        <w:t xml:space="preserve"> </w:t>
      </w:r>
      <w:r>
        <w:t xml:space="preserve">councillors</w:t>
      </w:r>
    </w:p>
    <w:p>
      <w:pPr>
        <w:pStyle w:val="Author"/>
      </w:pPr>
      <w:r>
        <w:t xml:space="preserve">Chris</w:t>
      </w:r>
      <w:r>
        <w:t xml:space="preserve"> </w:t>
      </w:r>
      <w:r>
        <w:t xml:space="preserve">Hanretty</w:t>
      </w:r>
    </w:p>
    <w:p>
      <w:pPr>
        <w:pStyle w:val="Author"/>
      </w:pPr>
      <w:r>
        <w:t xml:space="preserve">Vasil</w:t>
      </w:r>
      <w:r>
        <w:t xml:space="preserve"> </w:t>
      </w:r>
      <w:r>
        <w:t xml:space="preserve">Lazarov</w:t>
      </w:r>
    </w:p>
    <w:p>
      <w:pPr>
        <w:pStyle w:val="Date"/>
      </w:pPr>
      <w:r>
        <w:t xml:space="preserve">Thursday,</w:t>
      </w:r>
      <w:r>
        <w:t xml:space="preserve"> </w:t>
      </w:r>
      <w:r>
        <w:t xml:space="preserve">September</w:t>
      </w:r>
      <w:r>
        <w:t xml:space="preserve"> </w:t>
      </w:r>
      <w:r>
        <w:t xml:space="preserve">28,</w:t>
      </w:r>
      <w:r>
        <w:t xml:space="preserve"> </w:t>
      </w:r>
      <w:r>
        <w:t xml:space="preserve">2023</w:t>
      </w:r>
    </w:p>
    <w:p>
      <w:pPr>
        <w:pStyle w:val="Abstract"/>
      </w:pPr>
      <w:r>
        <w:t xml:space="preserve">We</w:t>
      </w:r>
      <w:r>
        <w:t xml:space="preserve"> </w:t>
      </w:r>
      <w:r>
        <w:t xml:space="preserve">present</w:t>
      </w:r>
      <w:r>
        <w:t xml:space="preserve"> </w:t>
      </w:r>
      <w:r>
        <w:t xml:space="preserve">local</w:t>
      </w:r>
      <w:r>
        <w:t xml:space="preserve"> </w:t>
      </w:r>
      <w:r>
        <w:t xml:space="preserve">councillors</w:t>
      </w:r>
      <w:r>
        <w:t xml:space="preserve"> </w:t>
      </w:r>
      <w:r>
        <w:t xml:space="preserve">in</w:t>
      </w:r>
      <w:r>
        <w:t xml:space="preserve"> </w:t>
      </w:r>
      <w:r>
        <w:t xml:space="preserve">England,</w:t>
      </w:r>
      <w:r>
        <w:t xml:space="preserve"> </w:t>
      </w:r>
      <w:r>
        <w:t xml:space="preserve">Wales</w:t>
      </w:r>
      <w:r>
        <w:t xml:space="preserve"> </w:t>
      </w:r>
      <w:r>
        <w:t xml:space="preserve">and</w:t>
      </w:r>
      <w:r>
        <w:t xml:space="preserve"> </w:t>
      </w:r>
      <w:r>
        <w:t xml:space="preserve">Scotland</w:t>
      </w:r>
      <w:r>
        <w:t xml:space="preserve"> </w:t>
      </w:r>
      <w:r>
        <w:t xml:space="preserve">with</w:t>
      </w:r>
      <w:r>
        <w:t xml:space="preserve"> </w:t>
      </w:r>
      <w:r>
        <w:t xml:space="preserve">pairwise</w:t>
      </w:r>
      <w:r>
        <w:t xml:space="preserve"> </w:t>
      </w:r>
      <w:r>
        <w:t xml:space="preserve">comparisons</w:t>
      </w:r>
      <w:r>
        <w:t xml:space="preserve"> </w:t>
      </w:r>
      <w:r>
        <w:t xml:space="preserve">between</w:t>
      </w:r>
      <w:r>
        <w:t xml:space="preserve"> </w:t>
      </w:r>
      <w:r>
        <w:t xml:space="preserve">MPs</w:t>
      </w:r>
      <w:r>
        <w:t xml:space="preserve"> </w:t>
      </w:r>
      <w:r>
        <w:t xml:space="preserve">in</w:t>
      </w:r>
      <w:r>
        <w:t xml:space="preserve"> </w:t>
      </w:r>
      <w:r>
        <w:t xml:space="preserve">their</w:t>
      </w:r>
      <w:r>
        <w:t xml:space="preserve"> </w:t>
      </w:r>
      <w:r>
        <w:t xml:space="preserve">local</w:t>
      </w:r>
      <w:r>
        <w:t xml:space="preserve"> </w:t>
      </w:r>
      <w:r>
        <w:t xml:space="preserve">area</w:t>
      </w:r>
      <w:r>
        <w:t xml:space="preserve"> </w:t>
      </w:r>
      <w:r>
        <w:t xml:space="preserve">and</w:t>
      </w:r>
      <w:r>
        <w:t xml:space="preserve"> </w:t>
      </w:r>
      <w:r>
        <w:t xml:space="preserve">two</w:t>
      </w:r>
      <w:r>
        <w:t xml:space="preserve"> </w:t>
      </w:r>
      <w:r>
        <w:t xml:space="preserve">anchor</w:t>
      </w:r>
      <w:r>
        <w:t xml:space="preserve"> </w:t>
      </w:r>
      <w:r>
        <w:t xml:space="preserve">MPs</w:t>
      </w:r>
      <w:r>
        <w:t xml:space="preserve"> </w:t>
      </w:r>
      <w:r>
        <w:t xml:space="preserve">and</w:t>
      </w:r>
      <w:r>
        <w:t xml:space="preserve"> </w:t>
      </w:r>
      <w:r>
        <w:t xml:space="preserve">ask</w:t>
      </w:r>
      <w:r>
        <w:t xml:space="preserve"> </w:t>
      </w:r>
      <w:r>
        <w:t xml:space="preserve">them</w:t>
      </w:r>
      <w:r>
        <w:t xml:space="preserve"> </w:t>
      </w:r>
      <w:r>
        <w:t xml:space="preserve">to</w:t>
      </w:r>
      <w:r>
        <w:t xml:space="preserve"> </w:t>
      </w:r>
      <w:r>
        <w:t xml:space="preserve">identify</w:t>
      </w:r>
      <w:r>
        <w:t xml:space="preserve"> </w:t>
      </w:r>
      <w:r>
        <w:t xml:space="preserve">the</w:t>
      </w:r>
      <w:r>
        <w:t xml:space="preserve"> </w:t>
      </w:r>
      <w:r>
        <w:t xml:space="preserve">more</w:t>
      </w:r>
      <w:r>
        <w:t xml:space="preserve"> </w:t>
      </w:r>
      <w:r>
        <w:t xml:space="preserve">left-wing</w:t>
      </w:r>
      <w:r>
        <w:t xml:space="preserve"> </w:t>
      </w:r>
      <w:r>
        <w:t xml:space="preserve">MP</w:t>
      </w:r>
      <w:r>
        <w:t xml:space="preserve"> </w:t>
      </w:r>
      <w:r>
        <w:t xml:space="preserve">on</w:t>
      </w:r>
      <w:r>
        <w:t xml:space="preserve"> </w:t>
      </w:r>
      <w:r>
        <w:t xml:space="preserve">economic</w:t>
      </w:r>
      <w:r>
        <w:t xml:space="preserve"> </w:t>
      </w:r>
      <w:r>
        <w:t xml:space="preserve">issues.</w:t>
      </w:r>
      <w:r>
        <w:t xml:space="preserve"> </w:t>
      </w:r>
      <w:r>
        <w:t xml:space="preserve">We</w:t>
      </w:r>
      <w:r>
        <w:t xml:space="preserve"> </w:t>
      </w:r>
      <w:r>
        <w:t xml:space="preserve">infer</w:t>
      </w:r>
      <w:r>
        <w:t xml:space="preserve"> </w:t>
      </w:r>
      <w:r>
        <w:t xml:space="preserve">MPs’</w:t>
      </w:r>
      <w:r>
        <w:t xml:space="preserve"> </w:t>
      </w:r>
      <w:r>
        <w:t xml:space="preserve">positions</w:t>
      </w:r>
      <w:r>
        <w:t xml:space="preserve"> </w:t>
      </w:r>
      <w:r>
        <w:t xml:space="preserve">on</w:t>
      </w:r>
      <w:r>
        <w:t xml:space="preserve"> </w:t>
      </w:r>
      <w:r>
        <w:t xml:space="preserve">the</w:t>
      </w:r>
      <w:r>
        <w:t xml:space="preserve"> </w:t>
      </w:r>
      <w:r>
        <w:t xml:space="preserve">left-right</w:t>
      </w:r>
      <w:r>
        <w:t xml:space="preserve"> </w:t>
      </w:r>
      <w:r>
        <w:t xml:space="preserve">dimension</w:t>
      </w:r>
      <w:r>
        <w:t xml:space="preserve"> </w:t>
      </w:r>
      <w:r>
        <w:t xml:space="preserve">from</w:t>
      </w:r>
      <w:r>
        <w:t xml:space="preserve"> </w:t>
      </w:r>
      <w:r>
        <w:t xml:space="preserve">the</w:t>
      </w:r>
      <w:r>
        <w:t xml:space="preserve"> </w:t>
      </w:r>
      <w:r>
        <w:t xml:space="preserve">responses</w:t>
      </w:r>
      <w:r>
        <w:t xml:space="preserve"> </w:t>
      </w:r>
      <w:r>
        <w:t xml:space="preserve">to</w:t>
      </w:r>
      <w:r>
        <w:t xml:space="preserve"> </w:t>
      </w:r>
      <w:r>
        <w:t xml:space="preserve">these</w:t>
      </w:r>
      <w:r>
        <w:t xml:space="preserve"> </w:t>
      </w:r>
      <w:r>
        <w:t xml:space="preserve">pairwise</w:t>
      </w:r>
      <w:r>
        <w:t xml:space="preserve"> </w:t>
      </w:r>
      <w:r>
        <w:t xml:space="preserve">choices.</w:t>
      </w:r>
      <w:r>
        <w:t xml:space="preserve"> </w:t>
      </w:r>
      <w:r>
        <w:t xml:space="preserve">The</w:t>
      </w:r>
      <w:r>
        <w:t xml:space="preserve"> </w:t>
      </w:r>
      <w:r>
        <w:t xml:space="preserve">estimates</w:t>
      </w:r>
      <w:r>
        <w:t xml:space="preserve"> </w:t>
      </w:r>
      <w:r>
        <w:t xml:space="preserve">of</w:t>
      </w:r>
      <w:r>
        <w:t xml:space="preserve"> </w:t>
      </w:r>
      <w:r>
        <w:t xml:space="preserve">MPs’</w:t>
      </w:r>
      <w:r>
        <w:t xml:space="preserve"> </w:t>
      </w:r>
      <w:r>
        <w:t xml:space="preserve">positions</w:t>
      </w:r>
      <w:r>
        <w:t xml:space="preserve"> </w:t>
      </w:r>
      <w:r>
        <w:t xml:space="preserve">have</w:t>
      </w:r>
      <w:r>
        <w:t xml:space="preserve"> </w:t>
      </w:r>
      <w:r>
        <w:t xml:space="preserve">good</w:t>
      </w:r>
      <w:r>
        <w:t xml:space="preserve"> </w:t>
      </w:r>
      <w:r>
        <w:t xml:space="preserve">face</w:t>
      </w:r>
      <w:r>
        <w:t xml:space="preserve"> </w:t>
      </w:r>
      <w:r>
        <w:t xml:space="preserve">validity,</w:t>
      </w:r>
      <w:r>
        <w:t xml:space="preserve"> </w:t>
      </w:r>
      <w:r>
        <w:t xml:space="preserve">and</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study</w:t>
      </w:r>
      <w:r>
        <w:t xml:space="preserve"> </w:t>
      </w:r>
      <w:r>
        <w:t xml:space="preserve">the</w:t>
      </w:r>
      <w:r>
        <w:t xml:space="preserve"> </w:t>
      </w:r>
      <w:r>
        <w:t xml:space="preserve">effects</w:t>
      </w:r>
      <w:r>
        <w:t xml:space="preserve"> </w:t>
      </w:r>
      <w:r>
        <w:t xml:space="preserve">of</w:t>
      </w:r>
      <w:r>
        <w:t xml:space="preserve"> </w:t>
      </w:r>
      <w:r>
        <w:t xml:space="preserve">MPs’</w:t>
      </w:r>
      <w:r>
        <w:t xml:space="preserve"> </w:t>
      </w:r>
      <w:r>
        <w:t xml:space="preserve">position</w:t>
      </w:r>
      <w:r>
        <w:t xml:space="preserve"> </w:t>
      </w:r>
      <w:r>
        <w:t xml:space="preserve">on</w:t>
      </w:r>
      <w:r>
        <w:t xml:space="preserve"> </w:t>
      </w:r>
      <w:r>
        <w:t xml:space="preserve">behaviour</w:t>
      </w:r>
      <w:r>
        <w:t xml:space="preserve"> </w:t>
      </w:r>
      <w:r>
        <w:t xml:space="preserve">in</w:t>
      </w:r>
      <w:r>
        <w:t xml:space="preserve"> </w:t>
      </w:r>
      <w:r>
        <w:t xml:space="preserve">the</w:t>
      </w:r>
      <w:r>
        <w:t xml:space="preserve"> </w:t>
      </w:r>
      <w:r>
        <w:t xml:space="preserve">party</w:t>
      </w:r>
      <w:r>
        <w:t xml:space="preserve"> </w:t>
      </w:r>
      <w:r>
        <w:t xml:space="preserve">and</w:t>
      </w:r>
      <w:r>
        <w:t xml:space="preserve"> </w:t>
      </w:r>
      <w:r>
        <w:t xml:space="preserve">in</w:t>
      </w:r>
      <w:r>
        <w:t xml:space="preserve"> </w:t>
      </w:r>
      <w:r>
        <w:t xml:space="preserve">the</w:t>
      </w:r>
      <w:r>
        <w:t xml:space="preserve"> </w:t>
      </w:r>
      <w:r>
        <w:t xml:space="preserve">legislature.</w:t>
      </w:r>
    </w:p>
    <w:bookmarkStart w:id="23" w:name="introduction"/>
    <w:p>
      <w:pPr>
        <w:pStyle w:val="Heading1"/>
      </w:pPr>
      <w:r>
        <w:t xml:space="preserve">Introduction</w:t>
      </w:r>
    </w:p>
    <w:p>
      <w:pPr>
        <w:pStyle w:val="FirstParagraph"/>
      </w:pPr>
      <w:r>
        <w:t xml:space="preserve">The measurement of actors’ positions in political space is a key task</w:t>
      </w:r>
      <w:r>
        <w:t xml:space="preserve"> </w:t>
      </w:r>
      <w:r>
        <w:t xml:space="preserve">of political science. Most effort has been spent on estimating the</w:t>
      </w:r>
      <w:r>
        <w:t xml:space="preserve"> </w:t>
      </w:r>
      <w:r>
        <w:t xml:space="preserve">positions of parties in a one-dimensional, left-right, political</w:t>
      </w:r>
      <w:r>
        <w:t xml:space="preserve"> </w:t>
      </w:r>
      <w:r>
        <w:t xml:space="preserve">space; but for polities which use candidate-centred electoral systems,</w:t>
      </w:r>
      <w:r>
        <w:t xml:space="preserve"> </w:t>
      </w:r>
      <w:r>
        <w:t xml:space="preserve">or which have politically relevant within-party disagreement, knowing</w:t>
      </w:r>
      <w:r>
        <w:t xml:space="preserve"> </w:t>
      </w:r>
      <w:r>
        <w:t xml:space="preserve">the positions of individual legislators is also</w:t>
      </w:r>
      <w:r>
        <w:t xml:space="preserve"> </w:t>
      </w:r>
      <w:r>
        <w:t xml:space="preserve">important. Unfortunately, measuring individual legislators’ positions</w:t>
      </w:r>
      <w:r>
        <w:t xml:space="preserve"> </w:t>
      </w:r>
      <w:r>
        <w:t xml:space="preserve">is difficult outside of a small number of countries. Most legislators</w:t>
      </w:r>
      <w:r>
        <w:t xml:space="preserve"> </w:t>
      </w:r>
      <w:r>
        <w:t xml:space="preserve">do not issue personal manifestos or policy platforms</w:t>
      </w:r>
      <w:r>
        <w:t xml:space="preserve"> </w:t>
      </w:r>
      <w:r>
        <w:t xml:space="preserve">(cf. Catalinac 2018)</w:t>
      </w:r>
      <w:r>
        <w:t xml:space="preserve">, meaning we cannot scale legislators</w:t>
      </w:r>
      <w:r>
        <w:t xml:space="preserve"> </w:t>
      </w:r>
      <w:r>
        <w:t xml:space="preserve">in the same way the Comparative Manifesto Project scales political</w:t>
      </w:r>
      <w:r>
        <w:t xml:space="preserve"> </w:t>
      </w:r>
      <w:r>
        <w:t xml:space="preserve">parties. Although legislators do talk and vote in parliaments, these</w:t>
      </w:r>
      <w:r>
        <w:t xml:space="preserve"> </w:t>
      </w:r>
      <w:r>
        <w:t xml:space="preserve">acts are often strategic: scaling techniques used successful to</w:t>
      </w:r>
      <w:r>
        <w:t xml:space="preserve"> </w:t>
      </w:r>
      <w:r>
        <w:t xml:space="preserve">analyse congressional roll-calls can fail to recover left-right</w:t>
      </w:r>
      <w:r>
        <w:t xml:space="preserve"> </w:t>
      </w:r>
      <w:r>
        <w:t xml:space="preserve">positions where there are strong government-opposition dynamics and</w:t>
      </w:r>
      <w:r>
        <w:t xml:space="preserve"> </w:t>
      </w:r>
      <w:r>
        <w:t xml:space="preserve">where extremes of left and right join together to vote against the</w:t>
      </w:r>
      <w:r>
        <w:t xml:space="preserve"> </w:t>
      </w:r>
      <w:r>
        <w:t xml:space="preserve">middle</w:t>
      </w:r>
      <w:r>
        <w:t xml:space="preserve"> </w:t>
      </w:r>
      <w:r>
        <w:t xml:space="preserve">(Spirling and McLean 2007)</w:t>
      </w:r>
      <w:r>
        <w:t xml:space="preserve">.</w:t>
      </w:r>
      <w:r>
        <w:rPr>
          <w:rStyle w:val="FootnoteReference"/>
        </w:rPr>
        <w:footnoteReference w:id="20"/>
      </w:r>
      <w:r>
        <w:t xml:space="preserve"> </w:t>
      </w:r>
      <w:r>
        <w:t xml:space="preserve">The analysis of legislative speech</w:t>
      </w:r>
      <w:r>
        <w:t xml:space="preserve"> </w:t>
      </w:r>
      <w:r>
        <w:t xml:space="preserve">generally also tends to recover government-opposition dynamics more</w:t>
      </w:r>
      <w:r>
        <w:t xml:space="preserve"> </w:t>
      </w:r>
      <w:r>
        <w:t xml:space="preserve">than left-right position</w:t>
      </w:r>
      <w:r>
        <w:t xml:space="preserve"> </w:t>
      </w:r>
      <w:r>
        <w:t xml:space="preserve">(Lauderdale and Herzog 2016)</w:t>
      </w:r>
      <w:r>
        <w:t xml:space="preserve">.</w:t>
      </w:r>
      <w:r>
        <w:rPr>
          <w:rStyle w:val="FootnoteReference"/>
        </w:rPr>
        <w:footnoteReference w:id="21"/>
      </w:r>
      <w:r>
        <w:t xml:space="preserve"> </w:t>
      </w:r>
      <w:r>
        <w:t xml:space="preserve">Whilst</w:t>
      </w:r>
      <w:r>
        <w:t xml:space="preserve"> </w:t>
      </w:r>
      <w:r>
        <w:t xml:space="preserve">expert surveys have proved tremendously useful in the study of party</w:t>
      </w:r>
      <w:r>
        <w:t xml:space="preserve"> </w:t>
      </w:r>
      <w:r>
        <w:t xml:space="preserve">systems, few political scientists would be able to place hundreds of</w:t>
      </w:r>
      <w:r>
        <w:t xml:space="preserve"> </w:t>
      </w:r>
      <w:r>
        <w:t xml:space="preserve">MPs on an interval scale with as much equanimity as they place</w:t>
      </w:r>
      <w:r>
        <w:t xml:space="preserve"> </w:t>
      </w:r>
      <w:r>
        <w:t xml:space="preserve">parties, and those expert assessments that exist are typically fairly</w:t>
      </w:r>
      <w:r>
        <w:t xml:space="preserve"> </w:t>
      </w:r>
      <w:r>
        <w:t xml:space="preserve">coarse-grained</w:t>
      </w:r>
      <w:r>
        <w:t xml:space="preserve"> </w:t>
      </w:r>
      <w:r>
        <w:t xml:space="preserve">(Heppell 2013)</w:t>
      </w:r>
      <w:r>
        <w:t xml:space="preserve">.</w:t>
      </w:r>
    </w:p>
    <w:p>
      <w:pPr>
        <w:pStyle w:val="BodyText"/>
      </w:pPr>
      <w:r>
        <w:t xml:space="preserve">In this note, we provide estimates of the economic left-right</w:t>
      </w:r>
      <w:r>
        <w:t xml:space="preserve"> </w:t>
      </w:r>
      <w:r>
        <w:t xml:space="preserve">positions of British MPs in the 2019-2024 parliament. Estimating the</w:t>
      </w:r>
      <w:r>
        <w:t xml:space="preserve"> </w:t>
      </w:r>
      <w:r>
        <w:t xml:space="preserve">positions of British legislators is important because within-party</w:t>
      </w:r>
      <w:r>
        <w:t xml:space="preserve"> </w:t>
      </w:r>
      <w:r>
        <w:t xml:space="preserve">disagreement in Britain has been increasing over time, and because</w:t>
      </w:r>
      <w:r>
        <w:t xml:space="preserve"> </w:t>
      </w:r>
      <w:r>
        <w:t xml:space="preserve">MPs’ preferences have strongly conditioned or determined the identity</w:t>
      </w:r>
      <w:r>
        <w:t xml:space="preserve"> </w:t>
      </w:r>
      <w:r>
        <w:t xml:space="preserve">of the last four British prime ministers.</w:t>
      </w:r>
      <w:r>
        <w:rPr>
          <w:rStyle w:val="FootnoteReference"/>
        </w:rPr>
        <w:footnoteReference w:id="22"/>
      </w:r>
      <w:r>
        <w:t xml:space="preserve"> </w:t>
      </w:r>
      <w:r>
        <w:t xml:space="preserve">We estimate positions</w:t>
      </w:r>
      <w:r>
        <w:t xml:space="preserve"> </w:t>
      </w:r>
      <w:r>
        <w:t xml:space="preserve">on the basis of a survey of local councillors. We presented</w:t>
      </w:r>
      <w:r>
        <w:t xml:space="preserve"> </w:t>
      </w:r>
      <w:r>
        <w:t xml:space="preserve">councillors with up to six pairwise comparisons between MPs in their</w:t>
      </w:r>
      <w:r>
        <w:t xml:space="preserve"> </w:t>
      </w:r>
      <w:r>
        <w:t xml:space="preserve">local area and two</w:t>
      </w:r>
      <w:r>
        <w:t xml:space="preserve"> </w:t>
      </w:r>
      <w:r>
        <w:t xml:space="preserve">“</w:t>
      </w:r>
      <w:r>
        <w:t xml:space="preserve">anchor</w:t>
      </w:r>
      <w:r>
        <w:t xml:space="preserve">”</w:t>
      </w:r>
      <w:r>
        <w:t xml:space="preserve"> </w:t>
      </w:r>
      <w:r>
        <w:t xml:space="preserve">MPs (Prime Minister Rishi Sunak and Labour</w:t>
      </w:r>
      <w:r>
        <w:t xml:space="preserve"> </w:t>
      </w:r>
      <w:r>
        <w:t xml:space="preserve">leader Sir Keir Starmer). This pairwise approach has previously been</w:t>
      </w:r>
      <w:r>
        <w:t xml:space="preserve"> </w:t>
      </w:r>
      <w:r>
        <w:t xml:space="preserve">used by</w:t>
      </w:r>
      <w:r>
        <w:t xml:space="preserve"> </w:t>
      </w:r>
      <w:r>
        <w:t xml:space="preserve">Breunig, Guinaudeau, and Roth (2021)</w:t>
      </w:r>
      <w:r>
        <w:t xml:space="preserve">; our application uses a richer set of</w:t>
      </w:r>
      <w:r>
        <w:t xml:space="preserve"> </w:t>
      </w:r>
      <w:r>
        <w:t xml:space="preserve">response categories and presented only local comparisons. We asked</w:t>
      </w:r>
      <w:r>
        <w:t xml:space="preserve"> </w:t>
      </w:r>
      <w:r>
        <w:t xml:space="preserve">councillors to pick the more left-wing MP on economic issues, choosing</w:t>
      </w:r>
      <w:r>
        <w:t xml:space="preserve"> </w:t>
      </w:r>
      <w:r>
        <w:t xml:space="preserve">between five response options:</w:t>
      </w:r>
    </w:p>
    <w:p>
      <w:pPr>
        <w:numPr>
          <w:ilvl w:val="0"/>
          <w:numId w:val="1001"/>
        </w:numPr>
        <w:pStyle w:val="Compact"/>
      </w:pPr>
      <w:r>
        <w:t xml:space="preserve">[the first named MP] is much more left-wing;</w:t>
      </w:r>
    </w:p>
    <w:p>
      <w:pPr>
        <w:numPr>
          <w:ilvl w:val="0"/>
          <w:numId w:val="1001"/>
        </w:numPr>
        <w:pStyle w:val="Compact"/>
      </w:pPr>
      <w:r>
        <w:t xml:space="preserve">[the first named MP] is somewhat more left-wing;</w:t>
      </w:r>
    </w:p>
    <w:p>
      <w:pPr>
        <w:numPr>
          <w:ilvl w:val="0"/>
          <w:numId w:val="1001"/>
        </w:numPr>
        <w:pStyle w:val="Compact"/>
      </w:pPr>
      <w:r>
        <w:t xml:space="preserve">[the first named MP] and [the second named MP] are about the same;</w:t>
      </w:r>
    </w:p>
    <w:p>
      <w:pPr>
        <w:numPr>
          <w:ilvl w:val="0"/>
          <w:numId w:val="1001"/>
        </w:numPr>
        <w:pStyle w:val="Compact"/>
      </w:pPr>
      <w:r>
        <w:t xml:space="preserve">[the second named MP] is somewhat more left-wing;</w:t>
      </w:r>
    </w:p>
    <w:p>
      <w:pPr>
        <w:numPr>
          <w:ilvl w:val="0"/>
          <w:numId w:val="1001"/>
        </w:numPr>
        <w:pStyle w:val="Compact"/>
      </w:pPr>
      <w:r>
        <w:t xml:space="preserve">[the second named MP] is much more left-wing;</w:t>
      </w:r>
    </w:p>
    <w:p>
      <w:pPr>
        <w:pStyle w:val="FirstParagraph"/>
      </w:pPr>
      <w:r>
        <w:t xml:space="preserve">We analyze these ordinal responses using a Bayesian ordinal logistic</w:t>
      </w:r>
      <w:r>
        <w:t xml:space="preserve"> </w:t>
      </w:r>
      <w:r>
        <w:t xml:space="preserve">regression</w:t>
      </w:r>
      <w:r>
        <w:t xml:space="preserve"> </w:t>
      </w:r>
      <w:r>
        <w:t xml:space="preserve">(Bürkner and Vuorre 2019)</w:t>
      </w:r>
      <w:r>
        <w:t xml:space="preserve"> </w:t>
      </w:r>
      <w:r>
        <w:t xml:space="preserve">with symmetric thresholds</w:t>
      </w:r>
      <w:r>
        <w:t xml:space="preserve"> </w:t>
      </w:r>
      <w:r>
        <w:t xml:space="preserve">(Johnson 2003)</w:t>
      </w:r>
      <w:r>
        <w:t xml:space="preserve">. The use of Bayesian methods allows us to work</w:t>
      </w:r>
      <w:r>
        <w:t xml:space="preserve"> </w:t>
      </w:r>
      <w:r>
        <w:t xml:space="preserve">directly with the probability that a named MP is more left- or</w:t>
      </w:r>
      <w:r>
        <w:t xml:space="preserve"> </w:t>
      </w:r>
      <w:r>
        <w:t xml:space="preserve">right-wing than a comparison MP and calculate measures of uncertainty</w:t>
      </w:r>
      <w:r>
        <w:t xml:space="preserve"> </w:t>
      </w:r>
      <w:r>
        <w:t xml:space="preserve">for derived statistics such as rank-order. Our estimates should prove</w:t>
      </w:r>
      <w:r>
        <w:t xml:space="preserve"> </w:t>
      </w:r>
      <w:r>
        <w:t xml:space="preserve">useful to researchers interested in parliamentary representation in</w:t>
      </w:r>
      <w:r>
        <w:t xml:space="preserve"> </w:t>
      </w:r>
      <w:r>
        <w:t xml:space="preserve">the United Kingdom and more generally.</w:t>
      </w:r>
    </w:p>
    <w:bookmarkEnd w:id="23"/>
    <w:bookmarkStart w:id="26" w:name="data"/>
    <w:p>
      <w:pPr>
        <w:pStyle w:val="Heading1"/>
      </w:pPr>
      <w:r>
        <w:t xml:space="preserve">Data</w:t>
      </w:r>
    </w:p>
    <w:p>
      <w:pPr>
        <w:pStyle w:val="FirstParagraph"/>
      </w:pPr>
      <w:r>
        <w:t xml:space="preserve">Our survey was fielded between 7th August and 3rd September 2023 to</w:t>
      </w:r>
      <w:r>
        <w:t xml:space="preserve"> </w:t>
      </w:r>
      <w:r>
        <w:rPr>
          <w:rStyle w:val="VerbatimChar"/>
        </w:rPr>
        <w:t xml:space="preserve">r n_total</w:t>
      </w:r>
      <w:r>
        <w:t xml:space="preserve"> </w:t>
      </w:r>
      <w:r>
        <w:t xml:space="preserve">local councillors. Only responses from the 1486</w:t>
      </w:r>
      <w:r>
        <w:t xml:space="preserve"> </w:t>
      </w:r>
      <w:r>
        <w:t xml:space="preserve">local councillors in England, Wales and Scotland were</w:t>
      </w:r>
      <w:r>
        <w:t xml:space="preserve"> </w:t>
      </w:r>
      <w:r>
        <w:t xml:space="preserve">used. Respondents were asked to make up to six comparisons between</w:t>
      </w:r>
      <w:r>
        <w:t xml:space="preserve"> </w:t>
      </w:r>
      <w:r>
        <w:t xml:space="preserve">pairs of MPs. The pairs of MPs were randomized within upper-tier local</w:t>
      </w:r>
      <w:r>
        <w:t xml:space="preserve"> </w:t>
      </w:r>
      <w:r>
        <w:t xml:space="preserve">authorities. The pool of MPs included MPs which represented any</w:t>
      </w:r>
      <w:r>
        <w:t xml:space="preserve"> </w:t>
      </w:r>
      <w:r>
        <w:t xml:space="preserve">constituency located wholly or partly within the</w:t>
      </w:r>
      <w:r>
        <w:t xml:space="preserve"> </w:t>
      </w:r>
      <w:r>
        <w:t xml:space="preserve">“</w:t>
      </w:r>
      <w:r>
        <w:t xml:space="preserve">upper tier local</w:t>
      </w:r>
      <w:r>
        <w:t xml:space="preserve"> </w:t>
      </w:r>
      <w:r>
        <w:t xml:space="preserve">authority</w:t>
      </w:r>
      <w:r>
        <w:t xml:space="preserve">”</w:t>
      </w:r>
      <w:r>
        <w:t xml:space="preserve">, together with the leaders of the two largest parties</w:t>
      </w:r>
      <w:r>
        <w:t xml:space="preserve"> </w:t>
      </w:r>
      <w:r>
        <w:t xml:space="preserve">(Rishi Sunak and Sir Keir Starmer). For example, respondents in County</w:t>
      </w:r>
      <w:r>
        <w:t xml:space="preserve"> </w:t>
      </w:r>
      <w:r>
        <w:t xml:space="preserve">Durham were asked to make comparisons between seven MPs, of which five</w:t>
      </w:r>
      <w:r>
        <w:t xml:space="preserve"> </w:t>
      </w:r>
      <w:r>
        <w:t xml:space="preserve">represented constituencies in the area.</w:t>
      </w:r>
      <w:r>
        <w:rPr>
          <w:rStyle w:val="FootnoteReference"/>
        </w:rPr>
        <w:footnoteReference w:id="24"/>
      </w:r>
      <w:r>
        <w:t xml:space="preserve"> </w:t>
      </w:r>
      <w:r>
        <w:t xml:space="preserve">An example prompt is</w:t>
      </w:r>
      <w:r>
        <w:t xml:space="preserve"> </w:t>
      </w:r>
      <w:r>
        <w:t xml:space="preserve">shown in Figure 1.</w:t>
      </w:r>
    </w:p>
    <w:p>
      <w:pPr>
        <w:pStyle w:val="BodyText"/>
      </w:pPr>
      <w:r>
        <w:t xml:space="preserve">In total, respondents made 6024, or just over 4</w:t>
      </w:r>
      <w:r>
        <w:t xml:space="preserve"> </w:t>
      </w:r>
      <w:r>
        <w:t xml:space="preserve">comparisons per respondent. After excluding</w:t>
      </w:r>
      <w:r>
        <w:t xml:space="preserve"> </w:t>
      </w:r>
      <w:r>
        <w:t xml:space="preserve">“</w:t>
      </w:r>
      <w:r>
        <w:t xml:space="preserve">don’t know</w:t>
      </w:r>
      <w:r>
        <w:t xml:space="preserve">”</w:t>
      </w:r>
      <w:r>
        <w:t xml:space="preserve"> </w:t>
      </w:r>
      <w:r>
        <w:t xml:space="preserve">responses, we</w:t>
      </w:r>
      <w:r>
        <w:t xml:space="preserve"> </w:t>
      </w:r>
      <w:r>
        <w:t xml:space="preserve">are left with 3962 comparisons. These comparisons are not</w:t>
      </w:r>
      <w:r>
        <w:t xml:space="preserve"> </w:t>
      </w:r>
      <w:r>
        <w:t xml:space="preserve">evenly distributed across MPs. 23 MPs feature in the data zero</w:t>
      </w:r>
      <w:r>
        <w:t xml:space="preserve"> </w:t>
      </w:r>
      <w:r>
        <w:t xml:space="preserve">times. Two MPs (Keir Starmer and Rishi Sunak) appear over three</w:t>
      </w:r>
      <w:r>
        <w:t xml:space="preserve"> </w:t>
      </w:r>
      <w:r>
        <w:t xml:space="preserve">hundred times. Including these extremes, the median number of</w:t>
      </w:r>
      <w:r>
        <w:t xml:space="preserve"> </w:t>
      </w:r>
      <w:r>
        <w:t xml:space="preserve">appearances each MPs makes is 10.</w:t>
      </w:r>
    </w:p>
    <w:p>
      <w:pPr>
        <w:pStyle w:val="BodyText"/>
      </w:pPr>
      <w:hyperlink w:anchor="tbl-response-distrib">
        <w:r>
          <w:rPr>
            <w:rStyle w:val="Hyperlink"/>
          </w:rPr>
          <w:t xml:space="preserve">Table 1</w:t>
        </w:r>
      </w:hyperlink>
      <w:r>
        <w:t xml:space="preserve"> </w:t>
      </w:r>
      <w:r>
        <w:t xml:space="preserve">shows the distribution of responses across</w:t>
      </w:r>
      <w:r>
        <w:t xml:space="preserve"> </w:t>
      </w:r>
      <w:r>
        <w:t xml:space="preserve">categories. The distribution is broadly symmetric (as we would expect)</w:t>
      </w:r>
      <w:r>
        <w:t xml:space="preserve"> </w:t>
      </w:r>
      <w:r>
        <w:t xml:space="preserve">and concentrated around the middle category (as we would expect given</w:t>
      </w:r>
      <w:r>
        <w:t xml:space="preserve"> </w:t>
      </w:r>
      <w:r>
        <w:t xml:space="preserve">that most comparisons were within-party comparisons). The table also</w:t>
      </w:r>
      <w:r>
        <w:t xml:space="preserve"> </w:t>
      </w:r>
      <w:r>
        <w:t xml:space="preserve">shows the numeric representation of each response: we map</w:t>
      </w:r>
      <w:r>
        <w:t xml:space="preserve"> </w:t>
      </w:r>
      <w:r>
        <w:t xml:space="preserve">“</w:t>
      </w:r>
      <w:r>
        <w:t xml:space="preserve">[First-named MP] much more left-wing</w:t>
      </w:r>
      <w:r>
        <w:t xml:space="preserve">”</w:t>
      </w:r>
      <w:r>
        <w:t xml:space="preserve"> </w:t>
      </w:r>
      <w:r>
        <w:t xml:space="preserve">on to 1 so that in our analyses</w:t>
      </w:r>
      <w:r>
        <w:t xml:space="preserve"> </w:t>
      </w:r>
      <w:r>
        <w:t xml:space="preserve">more left-wing MPs have negative values of the latent trait and are to</w:t>
      </w:r>
      <w:r>
        <w:t xml:space="preserve"> </w:t>
      </w:r>
      <w:r>
        <w:t xml:space="preserve">the left in our plots.</w:t>
      </w:r>
    </w:p>
    <w:bookmarkStart w:id="25" w:name="tbl-response-distrib"/>
    <w:p>
      <w:pPr>
        <w:pStyle w:val="TableCaption"/>
      </w:pPr>
      <w:r>
        <w:t xml:space="preserve">Table 1: Distribution of responses</w:t>
      </w:r>
    </w:p>
    <w:tbl>
      <w:tblPr>
        <w:tblStyle w:val="Table"/>
        <w:tblW w:type="auto" w:w="0"/>
        <w:tblLook w:firstRow="1" w:lastRow="0" w:firstColumn="0" w:lastColumn="0" w:noHBand="0" w:noVBand="0" w:val="0020"/>
        <w:jc w:val="start"/>
        <w:tblCaption w:val="Table 1: Distribution of responses"/>
      </w:tblPr>
      <w:tblGrid>
        <w:gridCol w:w="2640"/>
        <w:gridCol w:w="2640"/>
        <w:gridCol w:w="2640"/>
      </w:tblGrid>
      <w:tr>
        <w:trPr>
          <w:tblHeader w:val="true"/>
        </w:trPr>
        <w:tc>
          <w:tcPr/>
          <w:p>
            <w:pPr>
              <w:pStyle w:val="Compact"/>
              <w:jc w:val="left"/>
            </w:pPr>
            <w:r>
              <w:t xml:space="preserve">Response</w:t>
            </w:r>
          </w:p>
        </w:tc>
        <w:tc>
          <w:tcPr/>
          <w:p>
            <w:pPr>
              <w:pStyle w:val="Compact"/>
              <w:jc w:val="right"/>
            </w:pPr>
            <w:r>
              <w:t xml:space="preserve">Y</w:t>
            </w:r>
          </w:p>
        </w:tc>
        <w:tc>
          <w:tcPr/>
          <w:p>
            <w:pPr>
              <w:pStyle w:val="Compact"/>
              <w:jc w:val="right"/>
            </w:pPr>
            <w:r>
              <w:t xml:space="preserve">N</w:t>
            </w:r>
          </w:p>
        </w:tc>
      </w:tr>
      <w:tr>
        <w:tc>
          <w:tcPr/>
          <w:p>
            <w:pPr>
              <w:pStyle w:val="Compact"/>
              <w:jc w:val="left"/>
            </w:pPr>
            <w:r>
              <w:t xml:space="preserve">[First-named MP] much more left-wing</w:t>
            </w:r>
          </w:p>
        </w:tc>
        <w:tc>
          <w:tcPr/>
          <w:p>
            <w:pPr>
              <w:pStyle w:val="Compact"/>
              <w:jc w:val="right"/>
            </w:pPr>
            <w:r>
              <w:t xml:space="preserve">1</w:t>
            </w:r>
          </w:p>
        </w:tc>
        <w:tc>
          <w:tcPr/>
          <w:p>
            <w:pPr>
              <w:pStyle w:val="Compact"/>
              <w:jc w:val="right"/>
            </w:pPr>
            <w:r>
              <w:t xml:space="preserve">652</w:t>
            </w:r>
          </w:p>
        </w:tc>
      </w:tr>
      <w:tr>
        <w:tc>
          <w:tcPr/>
          <w:p>
            <w:pPr>
              <w:pStyle w:val="Compact"/>
              <w:jc w:val="left"/>
            </w:pPr>
            <w:r>
              <w:t xml:space="preserve">[First-named MP] somewhat more left-wing</w:t>
            </w:r>
          </w:p>
        </w:tc>
        <w:tc>
          <w:tcPr/>
          <w:p>
            <w:pPr>
              <w:pStyle w:val="Compact"/>
              <w:jc w:val="right"/>
            </w:pPr>
            <w:r>
              <w:t xml:space="preserve">2</w:t>
            </w:r>
          </w:p>
        </w:tc>
        <w:tc>
          <w:tcPr/>
          <w:p>
            <w:pPr>
              <w:pStyle w:val="Compact"/>
              <w:jc w:val="right"/>
            </w:pPr>
            <w:r>
              <w:t xml:space="preserve">749</w:t>
            </w:r>
          </w:p>
        </w:tc>
      </w:tr>
      <w:tr>
        <w:tc>
          <w:tcPr/>
          <w:p>
            <w:pPr>
              <w:pStyle w:val="Compact"/>
              <w:jc w:val="left"/>
            </w:pPr>
            <w:r>
              <w:t xml:space="preserve">[First-named MP] and [Second-named MP] about the same</w:t>
            </w:r>
          </w:p>
        </w:tc>
        <w:tc>
          <w:tcPr/>
          <w:p>
            <w:pPr>
              <w:pStyle w:val="Compact"/>
              <w:jc w:val="right"/>
            </w:pPr>
            <w:r>
              <w:t xml:space="preserve">3</w:t>
            </w:r>
          </w:p>
        </w:tc>
        <w:tc>
          <w:tcPr/>
          <w:p>
            <w:pPr>
              <w:pStyle w:val="Compact"/>
              <w:jc w:val="right"/>
            </w:pPr>
            <w:r>
              <w:t xml:space="preserve">1321</w:t>
            </w:r>
          </w:p>
        </w:tc>
      </w:tr>
      <w:tr>
        <w:tc>
          <w:tcPr/>
          <w:p>
            <w:pPr>
              <w:pStyle w:val="Compact"/>
              <w:jc w:val="left"/>
            </w:pPr>
            <w:r>
              <w:t xml:space="preserve">[Second-named MP] somewhat more left-wing</w:t>
            </w:r>
          </w:p>
        </w:tc>
        <w:tc>
          <w:tcPr/>
          <w:p>
            <w:pPr>
              <w:pStyle w:val="Compact"/>
              <w:jc w:val="right"/>
            </w:pPr>
            <w:r>
              <w:t xml:space="preserve">4</w:t>
            </w:r>
          </w:p>
        </w:tc>
        <w:tc>
          <w:tcPr/>
          <w:p>
            <w:pPr>
              <w:pStyle w:val="Compact"/>
              <w:jc w:val="right"/>
            </w:pPr>
            <w:r>
              <w:t xml:space="preserve">712</w:t>
            </w:r>
          </w:p>
        </w:tc>
      </w:tr>
      <w:tr>
        <w:tc>
          <w:tcPr/>
          <w:p>
            <w:pPr>
              <w:pStyle w:val="Compact"/>
              <w:jc w:val="left"/>
            </w:pPr>
            <w:r>
              <w:t xml:space="preserve">[Second-named MP] much more left-wing</w:t>
            </w:r>
          </w:p>
        </w:tc>
        <w:tc>
          <w:tcPr/>
          <w:p>
            <w:pPr>
              <w:pStyle w:val="Compact"/>
              <w:jc w:val="right"/>
            </w:pPr>
            <w:r>
              <w:t xml:space="preserve">5</w:t>
            </w:r>
          </w:p>
        </w:tc>
        <w:tc>
          <w:tcPr/>
          <w:p>
            <w:pPr>
              <w:pStyle w:val="Compact"/>
              <w:jc w:val="right"/>
            </w:pPr>
            <w:r>
              <w:t xml:space="preserve">526</w:t>
            </w:r>
          </w:p>
        </w:tc>
      </w:tr>
    </w:tbl>
    <w:bookmarkEnd w:id="25"/>
    <w:bookmarkEnd w:id="26"/>
    <w:bookmarkStart w:id="36" w:name="methods"/>
    <w:p>
      <w:pPr>
        <w:pStyle w:val="Heading1"/>
      </w:pPr>
      <w:r>
        <w:t xml:space="preserve">Methods</w:t>
      </w:r>
    </w:p>
    <w:p>
      <w:pPr>
        <w:pStyle w:val="FirstParagraph"/>
      </w:pPr>
      <w:r>
        <w:t xml:space="preserve">We use an ordinal regression model with a cumulative logit link and</w:t>
      </w:r>
      <w:r>
        <w:t xml:space="preserve"> </w:t>
      </w:r>
      <w:r>
        <w:t xml:space="preserve">symmetric thresholds. A cumulative link model models the probability</w:t>
      </w:r>
      <w:r>
        <w:t xml:space="preserve"> </w:t>
      </w:r>
      <w:r>
        <w:t xml:space="preserve">that the response will fall in category</w:t>
      </w:r>
      <w:r>
        <w:t xml:space="preserve"> </w:t>
      </w:r>
      <m:oMath>
        <m:r>
          <m:t>k</m:t>
        </m:r>
      </m:oMath>
      <w:r>
        <w:t xml:space="preserve"> </w:t>
      </w:r>
      <w:r>
        <w:t xml:space="preserve">or lower:</w:t>
      </w:r>
    </w:p>
    <w:p>
      <w:pPr>
        <w:pStyle w:val="BodyText"/>
      </w:pPr>
      <w:bookmarkStart w:id="27" w:name="eq-linkfunc"/>
      <m:oMathPara>
        <m:oMathParaPr>
          <m:jc m:val="center"/>
        </m:oMathParaPr>
        <m:oMath>
          <m:r>
            <m:rPr>
              <m:sty m:val="p"/>
            </m:rPr>
            <m:t>P</m:t>
          </m:r>
          <m:r>
            <m:rPr>
              <m:sty m:val="p"/>
            </m:rPr>
            <m:t>r</m:t>
          </m:r>
          <m:d>
            <m:dPr>
              <m:begChr m:val="("/>
              <m:endChr m:val=")"/>
              <m:sepChr m:val=""/>
              <m:grow/>
            </m:dPr>
            <m:e>
              <m:sSub>
                <m:e>
                  <m:r>
                    <m:t>Y</m:t>
                  </m:r>
                </m:e>
                <m:sub>
                  <m:r>
                    <m:t>i</m:t>
                  </m:r>
                </m:sub>
              </m:sSub>
              <m:r>
                <m:rPr>
                  <m:sty m:val="p"/>
                </m:rPr>
                <m:t>≤</m:t>
              </m:r>
              <m:r>
                <m:t>k</m:t>
              </m:r>
            </m:e>
          </m:d>
          <m:r>
            <m:rPr>
              <m:sty m:val="p"/>
            </m:rPr>
            <m:t>=</m:t>
          </m:r>
          <m:r>
            <m:t>F</m:t>
          </m:r>
          <m:d>
            <m:dPr>
              <m:begChr m:val="("/>
              <m:endChr m:val=")"/>
              <m:sepChr m:val=""/>
              <m:grow/>
            </m:dPr>
            <m:e>
              <m:sSub>
                <m:e>
                  <m:r>
                    <m:t>τ</m:t>
                  </m:r>
                </m:e>
                <m:sub>
                  <m:r>
                    <m:t>k</m:t>
                  </m:r>
                </m:sub>
              </m:sSub>
              <m:r>
                <m:rPr>
                  <m:sty m:val="p"/>
                </m:rPr>
                <m:t>−</m:t>
              </m:r>
              <m:sSub>
                <m:e>
                  <m:r>
                    <m:t>μ</m:t>
                  </m:r>
                </m:e>
                <m:sub>
                  <m:r>
                    <m:t>i</m:t>
                  </m:r>
                </m:sub>
              </m:sSub>
            </m:e>
          </m:d>
          <m:r>
            <m:t>  </m:t>
          </m:r>
          <m:d>
            <m:dPr>
              <m:begChr m:val="("/>
              <m:endChr m:val=")"/>
              <m:sepChr m:val=""/>
              <m:grow/>
            </m:dPr>
            <m:e>
              <m:r>
                <m:t>1</m:t>
              </m:r>
            </m:e>
          </m:d>
        </m:oMath>
      </m:oMathPara>
      <w:bookmarkEnd w:id="27"/>
    </w:p>
    <w:p>
      <w:pPr>
        <w:pStyle w:val="FirstParagraph"/>
      </w:pPr>
      <w:r>
        <w:t xml:space="preserve">where</w:t>
      </w:r>
      <w:r>
        <w:t xml:space="preserve"> </w:t>
      </w:r>
      <m:oMath>
        <m:sSub>
          <m:e>
            <m:r>
              <m:t>τ</m:t>
            </m:r>
          </m:e>
          <m:sub>
            <m:r>
              <m:t>k</m:t>
            </m:r>
          </m:sub>
        </m:sSub>
      </m:oMath>
      <w:r>
        <w:t xml:space="preserve"> </w:t>
      </w:r>
      <w:r>
        <w:t xml:space="preserve">is one of</w:t>
      </w:r>
      <w:r>
        <w:t xml:space="preserve"> </w:t>
      </w:r>
      <m:oMath>
        <m:r>
          <m:t>K</m:t>
        </m:r>
        <m:r>
          <m:rPr>
            <m:sty m:val="p"/>
          </m:rPr>
          <m:t>−</m:t>
        </m:r>
        <m:r>
          <m:t>1</m:t>
        </m:r>
      </m:oMath>
      <w:r>
        <w:t xml:space="preserve"> </w:t>
      </w:r>
      <w:r>
        <w:t xml:space="preserve">threshold parameters ordered such that</w:t>
      </w:r>
      <w:r>
        <w:t xml:space="preserve"> </w:t>
      </w:r>
      <m:oMath>
        <m:sSub>
          <m:e>
            <m:r>
              <m:t>τ</m:t>
            </m:r>
          </m:e>
          <m:sub>
            <m:r>
              <m:t>i</m:t>
            </m:r>
          </m:sub>
        </m:sSub>
        <m:r>
          <m:rPr>
            <m:sty m:val="p"/>
          </m:rPr>
          <m:t>&lt;</m:t>
        </m:r>
        <m:sSub>
          <m:e>
            <m:r>
              <m:t>τ</m:t>
            </m:r>
          </m:e>
          <m:sub>
            <m:r>
              <m:t>i</m:t>
            </m:r>
            <m:r>
              <m:rPr>
                <m:sty m:val="p"/>
              </m:rPr>
              <m:t>+</m:t>
            </m:r>
            <m:r>
              <m:t>1</m:t>
            </m:r>
          </m:sub>
        </m:sSub>
      </m:oMath>
      <w:r>
        <w:t xml:space="preserve">. A cumulative</w:t>
      </w:r>
      <w:r>
        <w:t xml:space="preserve"> </w:t>
      </w:r>
      <w:r>
        <w:rPr>
          <w:iCs/>
          <w:i/>
        </w:rPr>
        <w:t xml:space="preserve">logit</w:t>
      </w:r>
      <w:r>
        <w:t xml:space="preserve"> </w:t>
      </w:r>
      <w:r>
        <w:t xml:space="preserve">link is obtained where</w:t>
      </w:r>
      <w:r>
        <w:t xml:space="preserve"> </w:t>
      </w:r>
      <m:oMath>
        <m:r>
          <m:t>F</m:t>
        </m:r>
        <m:d>
          <m:dPr>
            <m:begChr m:val="("/>
            <m:endChr m:val=")"/>
            <m:sepChr m:val=""/>
            <m:grow/>
          </m:dPr>
          <m:e/>
        </m:d>
      </m:oMath>
      <w:r>
        <w:t xml:space="preserve"> </w:t>
      </w:r>
      <w:r>
        <w:t xml:space="preserve">is standard logistic distribution</w:t>
      </w:r>
      <w:r>
        <w:t xml:space="preserve"> </w:t>
      </w:r>
      <m:oMath>
        <m:f>
          <m:fPr>
            <m:type m:val="lin"/>
          </m:fPr>
          <m:num>
            <m:r>
              <m:rPr>
                <m:sty m:val="p"/>
              </m:rPr>
              <m:t>exp</m:t>
            </m:r>
            <m:r>
              <m:t>x</m:t>
            </m:r>
          </m:num>
          <m:den>
            <m:r>
              <m:t>1</m:t>
            </m:r>
            <m:r>
              <m:rPr>
                <m:sty m:val="p"/>
              </m:rPr>
              <m:t>+</m:t>
            </m:r>
            <m:r>
              <m:rPr>
                <m:sty m:val="p"/>
              </m:rPr>
              <m:t>exp</m:t>
            </m:r>
            <m:r>
              <m:t>x</m:t>
            </m:r>
          </m:den>
        </m:f>
      </m:oMath>
      <w:r>
        <w:t xml:space="preserve">. We use a logit link because using this link makes it easier</w:t>
      </w:r>
      <w:r>
        <w:t xml:space="preserve"> </w:t>
      </w:r>
      <w:r>
        <w:t xml:space="preserve">to reason about prior specification (see supplementary materials). We</w:t>
      </w:r>
      <w:r>
        <w:t xml:space="preserve"> </w:t>
      </w:r>
      <w:r>
        <w:t xml:space="preserve">use symmetric thresholds because of the symmetry in our question</w:t>
      </w:r>
      <w:r>
        <w:t xml:space="preserve"> </w:t>
      </w:r>
      <w:r>
        <w:t xml:space="preserve">format: whether an MP appears as the first-named or second-named MP is</w:t>
      </w:r>
      <w:r>
        <w:t xml:space="preserve"> </w:t>
      </w:r>
      <w:r>
        <w:t xml:space="preserve">random, and so the distance between</w:t>
      </w:r>
      <w:r>
        <w:t xml:space="preserve"> </w:t>
      </w:r>
      <w:r>
        <w:t xml:space="preserve">“</w:t>
      </w:r>
      <w:r>
        <w:t xml:space="preserve">much more</w:t>
      </w:r>
      <w:r>
        <w:t xml:space="preserve">”</w:t>
      </w:r>
      <w:r>
        <w:t xml:space="preserve"> </w:t>
      </w:r>
      <w:r>
        <w:t xml:space="preserve">and</w:t>
      </w:r>
      <w:r>
        <w:t xml:space="preserve"> </w:t>
      </w:r>
      <w:r>
        <w:t xml:space="preserve">“</w:t>
      </w:r>
      <w:r>
        <w:t xml:space="preserve">somewhat more</w:t>
      </w:r>
      <w:r>
        <w:t xml:space="preserve">”</w:t>
      </w:r>
      <w:r>
        <w:t xml:space="preserve"> </w:t>
      </w:r>
      <w:r>
        <w:t xml:space="preserve">should not be different depending on whether we face the actual</w:t>
      </w:r>
      <w:r>
        <w:t xml:space="preserve"> </w:t>
      </w:r>
      <w:r>
        <w:t xml:space="preserve">comparison or the comparison with the order reversed.</w:t>
      </w:r>
      <w:r>
        <w:rPr>
          <w:rStyle w:val="FootnoteReference"/>
        </w:rPr>
        <w:footnoteReference w:id="28"/>
      </w:r>
      <w:r>
        <w:t xml:space="preserve"> </w:t>
      </w:r>
      <w:r>
        <w:t xml:space="preserve">Symmetric thresholds can be obtained either by specifying the</w:t>
      </w:r>
      <w:r>
        <w:t xml:space="preserve"> </w:t>
      </w:r>
      <w:r>
        <w:t xml:space="preserve">appropriate Jacobian</w:t>
      </w:r>
      <w:r>
        <w:t xml:space="preserve"> </w:t>
      </w:r>
      <w:r>
        <w:t xml:space="preserve">(Christensen 2019)</w:t>
      </w:r>
      <w:r>
        <w:t xml:space="preserve"> </w:t>
      </w:r>
      <w:r>
        <w:t xml:space="preserve">or by dealing with the</w:t>
      </w:r>
      <w:r>
        <w:t xml:space="preserve"> </w:t>
      </w:r>
      <w:r>
        <w:t xml:space="preserve">increments between thresholds. We use the latter approach here, and</w:t>
      </w:r>
      <w:r>
        <w:t xml:space="preserve"> </w:t>
      </w:r>
      <w:r>
        <w:t xml:space="preserve">stipulate that:</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τ</m:t>
                </m:r>
                <m:r>
                  <m:rPr>
                    <m:sty m:val="p"/>
                  </m:rPr>
                  <m:t>=</m:t>
                </m:r>
                <m:r>
                  <m:rPr>
                    <m:sty m:val="p"/>
                  </m:rPr>
                  <m:t>[</m:t>
                </m:r>
              </m:e>
              <m:e>
                <m:sSubSup>
                  <m:e>
                    <m:r>
                      <m:t>τ</m:t>
                    </m:r>
                  </m:e>
                  <m:sub>
                    <m:r>
                      <m:t>1</m:t>
                    </m:r>
                  </m:sub>
                  <m:sup>
                    <m:r>
                      <m:rPr>
                        <m:sty m:val="p"/>
                      </m:rPr>
                      <m:t>*</m:t>
                    </m:r>
                  </m:sup>
                </m:sSubSup>
                <m:r>
                  <m:rPr>
                    <m:sty m:val="p"/>
                  </m:rPr>
                  <m:t>,</m:t>
                </m:r>
              </m:e>
            </m:mr>
            <m:mr>
              <m:e/>
              <m:e>
                <m:sSubSup>
                  <m:e>
                    <m:r>
                      <m:t>τ</m:t>
                    </m:r>
                  </m:e>
                  <m:sub>
                    <m:r>
                      <m:t>1</m:t>
                    </m:r>
                  </m:sub>
                  <m:sup>
                    <m:r>
                      <m:rPr>
                        <m:sty m:val="p"/>
                      </m:rPr>
                      <m:t>*</m:t>
                    </m:r>
                  </m:sup>
                </m:sSubSup>
                <m:r>
                  <m:rPr>
                    <m:sty m:val="p"/>
                  </m:rPr>
                  <m:t>+</m:t>
                </m:r>
                <m:sSub>
                  <m:e>
                    <m:r>
                      <m:t>δ</m:t>
                    </m:r>
                  </m:e>
                  <m:sub>
                    <m:r>
                      <m:t>1</m:t>
                    </m:r>
                  </m:sub>
                </m:sSub>
                <m:r>
                  <m:rPr>
                    <m:sty m:val="p"/>
                  </m:rPr>
                  <m:t>,</m:t>
                </m:r>
              </m:e>
            </m:mr>
            <m:mr>
              <m:e/>
              <m:e>
                <m:sSubSup>
                  <m:e>
                    <m:r>
                      <m:t>τ</m:t>
                    </m:r>
                  </m:e>
                  <m:sub>
                    <m:r>
                      <m:t>1</m:t>
                    </m:r>
                  </m:sub>
                  <m:sup>
                    <m:r>
                      <m:rPr>
                        <m:sty m:val="p"/>
                      </m:rPr>
                      <m:t>*</m:t>
                    </m:r>
                  </m:sup>
                </m:sSubSup>
                <m:r>
                  <m:rPr>
                    <m:sty m:val="p"/>
                  </m:rPr>
                  <m:t>+</m:t>
                </m:r>
                <m:sSub>
                  <m:e>
                    <m:r>
                      <m:t>δ</m:t>
                    </m:r>
                  </m:e>
                  <m:sub>
                    <m:r>
                      <m:t>1</m:t>
                    </m:r>
                  </m:sub>
                </m:sSub>
                <m:r>
                  <m:rPr>
                    <m:sty m:val="p"/>
                  </m:rPr>
                  <m:t>+</m:t>
                </m:r>
                <m:sSub>
                  <m:e>
                    <m:r>
                      <m:t>δ</m:t>
                    </m:r>
                  </m:e>
                  <m:sub>
                    <m:r>
                      <m:t>2</m:t>
                    </m:r>
                  </m:sub>
                </m:sSub>
                <m:r>
                  <m:rPr>
                    <m:sty m:val="p"/>
                  </m:rPr>
                  <m:t>,</m:t>
                </m:r>
              </m:e>
            </m:mr>
            <m:mr>
              <m:e/>
              <m:e>
                <m:sSubSup>
                  <m:e>
                    <m:r>
                      <m:t>τ</m:t>
                    </m:r>
                  </m:e>
                  <m:sub>
                    <m:r>
                      <m:t>1</m:t>
                    </m:r>
                  </m:sub>
                  <m:sup>
                    <m:r>
                      <m:rPr>
                        <m:sty m:val="p"/>
                      </m:rPr>
                      <m:t>*</m:t>
                    </m:r>
                  </m:sup>
                </m:sSubSup>
                <m:r>
                  <m:rPr>
                    <m:sty m:val="p"/>
                  </m:rPr>
                  <m:t>+</m:t>
                </m:r>
                <m:r>
                  <m:t>2</m:t>
                </m:r>
                <m:r>
                  <m:rPr>
                    <m:sty m:val="p"/>
                  </m:rPr>
                  <m:t>⋅</m:t>
                </m:r>
                <m:sSub>
                  <m:e>
                    <m:r>
                      <m:t>δ</m:t>
                    </m:r>
                  </m:e>
                  <m:sub>
                    <m:r>
                      <m:t>1</m:t>
                    </m:r>
                  </m:sub>
                </m:sSub>
                <m:r>
                  <m:rPr>
                    <m:sty m:val="p"/>
                  </m:rPr>
                  <m:t>+</m:t>
                </m:r>
                <m:sSub>
                  <m:e>
                    <m:r>
                      <m:t>δ</m:t>
                    </m:r>
                  </m:e>
                  <m:sub>
                    <m:r>
                      <m:t>2</m:t>
                    </m:r>
                  </m:sub>
                </m:sSub>
                <m:r>
                  <m:rPr>
                    <m:sty m:val="p"/>
                  </m:rPr>
                  <m:t>]</m:t>
                </m:r>
              </m:e>
            </m:mr>
          </m:m>
        </m:oMath>
      </m:oMathPara>
    </w:p>
    <w:p>
      <w:pPr>
        <w:pStyle w:val="FirstParagraph"/>
      </w:pPr>
      <w:r>
        <w:t xml:space="preserve">This approach is illustrated in</w:t>
      </w:r>
      <w:r>
        <w:t xml:space="preserve"> </w:t>
      </w:r>
      <w:hyperlink w:anchor="fig-thresh">
        <w:r>
          <w:rPr>
            <w:rStyle w:val="Hyperlink"/>
          </w:rPr>
          <w:t xml:space="preserve">Figure 1</w:t>
        </w:r>
      </w:hyperlink>
      <w:r>
        <w:t xml:space="preserve">, which shows the ordered</w:t>
      </w:r>
      <w:r>
        <w:t xml:space="preserve"> </w:t>
      </w:r>
      <w:r>
        <w:t xml:space="preserve">thresholds and the increments used.</w:t>
      </w:r>
    </w:p>
    <w:tbl>
      <w:tblPr>
        <w:tblStyle w:val="Table"/>
        <w:tblW w:type="pct" w:w="5000"/>
        <w:tblLook w:firstRow="0" w:lastRow="0" w:firstColumn="0" w:lastColumn="0" w:noHBand="0" w:noVBand="0" w:val="0000"/>
        <w:jc w:val="start"/>
      </w:tblPr>
      <w:tblGrid>
        <w:gridCol w:w="7920"/>
      </w:tblGrid>
      <w:tr>
        <w:tc>
          <w:tcPr/>
          <w:bookmarkStart w:id="32" w:name="fig-thresh"/>
          <w:p>
            <w:pPr>
              <w:jc w:val="center"/>
            </w:pPr>
            <w:r>
              <w:drawing>
                <wp:inline>
                  <wp:extent cx="4754880" cy="2113280"/>
                  <wp:effectExtent b="0" l="0" r="0" t="0"/>
                  <wp:docPr descr="" title="" id="30" name="Picture"/>
                  <a:graphic>
                    <a:graphicData uri="http://schemas.openxmlformats.org/drawingml/2006/picture">
                      <pic:pic>
                        <pic:nvPicPr>
                          <pic:cNvPr descr="article_files/figure-docx/fig-thresh-1.png" id="31" name="Picture"/>
                          <pic:cNvPicPr>
                            <a:picLocks noChangeArrowheads="1" noChangeAspect="1"/>
                          </pic:cNvPicPr>
                        </pic:nvPicPr>
                        <pic:blipFill>
                          <a:blip r:embed="rId29"/>
                          <a:stretch>
                            <a:fillRect/>
                          </a:stretch>
                        </pic:blipFill>
                        <pic:spPr bwMode="auto">
                          <a:xfrm>
                            <a:off x="0" y="0"/>
                            <a:ext cx="4754880" cy="21132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Illustration of the symmetric thresholds used</w:t>
            </w:r>
          </w:p>
          <w:bookmarkEnd w:id="32"/>
        </w:tc>
      </w:tr>
    </w:tbl>
    <w:p>
      <w:pPr>
        <w:pStyle w:val="BodyText"/>
      </w:pPr>
      <w:r>
        <w:t xml:space="preserve">The thresholds describe how our linear predictor</w:t>
      </w:r>
      <w:r>
        <w:t xml:space="preserve"> </w:t>
      </w:r>
      <m:oMath>
        <m:sSub>
          <m:e>
            <m:r>
              <m:t>μ</m:t>
            </m:r>
          </m:e>
          <m:sub>
            <m:r>
              <m:t>i</m:t>
            </m:r>
          </m:sub>
        </m:sSub>
      </m:oMath>
      <w:r>
        <w:t xml:space="preserve"> </w:t>
      </w:r>
      <w:r>
        <w:t xml:space="preserve">is related to</w:t>
      </w:r>
      <w:r>
        <w:t xml:space="preserve"> </w:t>
      </w:r>
      <w:r>
        <w:t xml:space="preserve">the observed response</w:t>
      </w:r>
      <w:r>
        <w:t xml:space="preserve"> </w:t>
      </w:r>
      <m:oMath>
        <m:r>
          <m:t>Y</m:t>
        </m:r>
      </m:oMath>
      <w:r>
        <w:t xml:space="preserve">, but we now need to characterize</w:t>
      </w:r>
      <w:r>
        <w:t xml:space="preserve"> </w:t>
      </w:r>
      <m:oMath>
        <m:r>
          <m:t>μ</m:t>
        </m:r>
      </m:oMath>
      <w:r>
        <w:t xml:space="preserve">. We</w:t>
      </w:r>
      <w:r>
        <w:t xml:space="preserve"> </w:t>
      </w:r>
      <w:r>
        <w:t xml:space="preserve">set</w:t>
      </w:r>
      <w:r>
        <w:t xml:space="preserve"> </w:t>
      </w:r>
      <m:oMath>
        <m:r>
          <m:t>μ</m:t>
        </m:r>
      </m:oMath>
      <w:r>
        <w:t xml:space="preserve"> </w:t>
      </w:r>
      <w:r>
        <w:t xml:space="preserve">equal to the difference between MP ideal points. We use</w:t>
      </w:r>
      <w:r>
        <w:t xml:space="preserve"> </w:t>
      </w:r>
      <m:oMath>
        <m:sSub>
          <m:e>
            <m:r>
              <m:t>θ</m:t>
            </m:r>
          </m:e>
          <m:sub>
            <m:sSub>
              <m:e>
                <m:r>
                  <m:t>A</m:t>
                </m:r>
              </m:e>
              <m:sub>
                <m:d>
                  <m:dPr>
                    <m:begChr m:val="["/>
                    <m:endChr m:val="]"/>
                    <m:sepChr m:val=""/>
                    <m:grow/>
                  </m:dPr>
                  <m:e>
                    <m:r>
                      <m:t>i</m:t>
                    </m:r>
                  </m:e>
                </m:d>
              </m:sub>
            </m:sSub>
          </m:sub>
        </m:sSub>
      </m:oMath>
      <w:r>
        <w:t xml:space="preserve"> </w:t>
      </w:r>
      <w:r>
        <w:t xml:space="preserve">refers to the level of the latent trait of the</w:t>
      </w:r>
      <w:r>
        <w:t xml:space="preserve"> </w:t>
      </w:r>
      <w:r>
        <w:t xml:space="preserve">first named MP in the</w:t>
      </w:r>
      <w:r>
        <w:t xml:space="preserve"> </w:t>
      </w:r>
      <m:oMath>
        <m:r>
          <m:t>i</m:t>
        </m:r>
      </m:oMath>
      <w:r>
        <w:t xml:space="preserve">-th comparison, and</w:t>
      </w:r>
      <w:r>
        <w:t xml:space="preserve"> </w:t>
      </w:r>
      <m:oMath>
        <m:sSub>
          <m:e>
            <m:r>
              <m:t>θ</m:t>
            </m:r>
          </m:e>
          <m:sub>
            <m:r>
              <m:t>B</m:t>
            </m:r>
          </m:sub>
        </m:sSub>
      </m:oMath>
      <w:r>
        <w:t xml:space="preserve"> </w:t>
      </w:r>
      <w:r>
        <w:t xml:space="preserve">for the second</w:t>
      </w:r>
      <w:r>
        <w:t xml:space="preserve"> </w:t>
      </w:r>
      <w:r>
        <w:t xml:space="preserve">named MP. Thus,</w:t>
      </w:r>
    </w:p>
    <w:p>
      <w:pPr>
        <w:pStyle w:val="BodyText"/>
      </w:pPr>
      <w:bookmarkStart w:id="33" w:name="eq-vanillalp"/>
      <m:oMathPara>
        <m:oMathParaPr>
          <m:jc m:val="center"/>
        </m:oMathParaPr>
        <m:oMath>
          <m:sSub>
            <m:e>
              <m:r>
                <m:t>μ</m:t>
              </m:r>
            </m:e>
            <m:sub>
              <m:r>
                <m:t>i</m:t>
              </m:r>
            </m:sub>
          </m:sSub>
          <m:r>
            <m:rPr>
              <m:sty m:val="p"/>
            </m:rPr>
            <m:t>=</m:t>
          </m:r>
          <m:sSub>
            <m:e>
              <m:r>
                <m:t>θ</m:t>
              </m:r>
            </m:e>
            <m:sub>
              <m:sSub>
                <m:e>
                  <m:r>
                    <m:t>A</m:t>
                  </m:r>
                </m:e>
                <m:sub>
                  <m:d>
                    <m:dPr>
                      <m:begChr m:val="["/>
                      <m:endChr m:val="]"/>
                      <m:sepChr m:val=""/>
                      <m:grow/>
                    </m:dPr>
                    <m:e>
                      <m:r>
                        <m:t>i</m:t>
                      </m:r>
                    </m:e>
                  </m:d>
                </m:sub>
              </m:sSub>
            </m:sub>
          </m:sSub>
          <m:r>
            <m:rPr>
              <m:sty m:val="p"/>
            </m:rPr>
            <m:t>−</m:t>
          </m:r>
          <m:sSub>
            <m:e>
              <m:r>
                <m:t>θ</m:t>
              </m:r>
            </m:e>
            <m:sub>
              <m:sSub>
                <m:e>
                  <m:r>
                    <m:t>B</m:t>
                  </m:r>
                </m:e>
                <m:sub>
                  <m:d>
                    <m:dPr>
                      <m:begChr m:val="["/>
                      <m:endChr m:val="]"/>
                      <m:sepChr m:val=""/>
                      <m:grow/>
                    </m:dPr>
                    <m:e>
                      <m:r>
                        <m:t>i</m:t>
                      </m:r>
                    </m:e>
                  </m:d>
                </m:sub>
              </m:sSub>
            </m:sub>
          </m:sSub>
          <m:r>
            <m:t>  </m:t>
          </m:r>
          <m:d>
            <m:dPr>
              <m:begChr m:val="("/>
              <m:endChr m:val=")"/>
              <m:sepChr m:val=""/>
              <m:grow/>
            </m:dPr>
            <m:e>
              <m:r>
                <m:t>2</m:t>
              </m:r>
            </m:e>
          </m:d>
        </m:oMath>
      </m:oMathPara>
      <w:bookmarkEnd w:id="33"/>
    </w:p>
    <w:p>
      <w:pPr>
        <w:pStyle w:val="FirstParagraph"/>
      </w:pPr>
      <w:r>
        <w:t xml:space="preserve">There is no error term in this equation; the error is implied by the</w:t>
      </w:r>
      <w:r>
        <w:t xml:space="preserve"> </w:t>
      </w:r>
      <w:r>
        <w:t xml:space="preserve">use of the logistic function in</w:t>
      </w:r>
      <w:r>
        <w:t xml:space="preserve"> </w:t>
      </w:r>
      <w:hyperlink w:anchor="eq-linkfunc">
        <w:r>
          <w:rPr>
            <w:rStyle w:val="Hyperlink"/>
          </w:rPr>
          <w:t xml:space="preserve">Equation 1</w:t>
        </w:r>
      </w:hyperlink>
      <w:r>
        <w:t xml:space="preserve">. We then model</w:t>
      </w:r>
      <w:r>
        <w:t xml:space="preserve"> </w:t>
      </w:r>
      <m:oMath>
        <m:r>
          <m:t>θ</m:t>
        </m:r>
      </m:oMath>
      <w:r>
        <w:t xml:space="preserve"> </w:t>
      </w:r>
      <w:r>
        <w:t xml:space="preserve">as</w:t>
      </w:r>
      <w:r>
        <w:t xml:space="preserve"> </w:t>
      </w:r>
      <w:r>
        <w:t xml:space="preserve">a function of the legislator</w:t>
      </w:r>
      <w:r>
        <w:t xml:space="preserve"> </w:t>
      </w:r>
      <m:oMath>
        <m:r>
          <m:t>P</m:t>
        </m:r>
      </m:oMath>
      <w:r>
        <w:t xml:space="preserve">arty and a residual random</w:t>
      </w:r>
      <w:r>
        <w:t xml:space="preserve"> </w:t>
      </w:r>
      <w:r>
        <w:t xml:space="preserve">intercept</w:t>
      </w:r>
      <w:r>
        <w:t xml:space="preserve"> </w:t>
      </w:r>
      <m:oMath>
        <m:r>
          <m:t>α</m:t>
        </m:r>
      </m:oMath>
      <w:r>
        <w:t xml:space="preserve">.</w:t>
      </w:r>
      <w:r>
        <w:rPr>
          <w:rStyle w:val="FootnoteReference"/>
        </w:rPr>
        <w:footnoteReference w:id="34"/>
      </w:r>
      <w:r>
        <w:t xml:space="preserve"> </w:t>
      </w:r>
      <w:r>
        <w:t xml:space="preserve">If we use</w:t>
      </w:r>
      <w:r>
        <w:t xml:space="preserve"> </w:t>
      </w:r>
      <m:oMath>
        <m:r>
          <m:t>l</m:t>
        </m:r>
      </m:oMath>
      <w:r>
        <w:t xml:space="preserve"> </w:t>
      </w:r>
      <w:r>
        <w:t xml:space="preserve">to index legislators</w:t>
      </w:r>
      <w:r>
        <w:t xml:space="preserve"> </w:t>
      </w:r>
      <m:oMath>
        <m:r>
          <m:t>l</m:t>
        </m:r>
        <m:r>
          <m:rPr>
            <m:sty m:val="p"/>
          </m:rPr>
          <m:t>=</m:t>
        </m:r>
        <m:r>
          <m:t>1</m:t>
        </m:r>
        <m:r>
          <m:rPr>
            <m:sty m:val="p"/>
          </m:rPr>
          <m:t>,</m:t>
        </m:r>
        <m:r>
          <m:rPr>
            <m:sty m:val="p"/>
          </m:rPr>
          <m:t>.</m:t>
        </m:r>
        <m:r>
          <m:rPr>
            <m:sty m:val="p"/>
          </m:rPr>
          <m:t>.</m:t>
        </m:r>
        <m:r>
          <m:rPr>
            <m:sty m:val="p"/>
          </m:rPr>
          <m:t>.</m:t>
        </m:r>
        <m:r>
          <m:rPr>
            <m:sty m:val="p"/>
          </m:rPr>
          <m:t>,</m:t>
        </m:r>
        <m:r>
          <m:t>632</m:t>
        </m:r>
      </m:oMath>
      <w:r>
        <w:t xml:space="preserve">, then</w:t>
      </w:r>
      <w:r>
        <w:t xml:space="preserve"> </w:t>
      </w:r>
      <w:r>
        <w:t xml:space="preserve">we have</w:t>
      </w:r>
    </w:p>
    <w:p>
      <w:pPr>
        <w:pStyle w:val="BodyText"/>
      </w:pPr>
      <w:bookmarkStart w:id="35" w:name="eq-augmented"/>
      <m:oMathPara>
        <m:oMathParaPr>
          <m:jc m:val="center"/>
        </m:oMathParaPr>
        <m:oMath>
          <m:sSub>
            <m:e>
              <m:r>
                <m:t>θ</m:t>
              </m:r>
            </m:e>
            <m:sub>
              <m:r>
                <m:t>l</m:t>
              </m:r>
            </m:sub>
          </m:sSub>
          <m:r>
            <m:rPr>
              <m:sty m:val="p"/>
            </m:rPr>
            <m:t>=</m:t>
          </m:r>
          <m:sSub>
            <m:e>
              <m:r>
                <m:t>α</m:t>
              </m:r>
            </m:e>
            <m:sub>
              <m:r>
                <m:t>l</m:t>
              </m:r>
            </m:sub>
          </m:sSub>
          <m:r>
            <m:rPr>
              <m:sty m:val="p"/>
            </m:rPr>
            <m:t>+</m:t>
          </m:r>
          <m:sSub>
            <m:e>
              <m:r>
                <m:t>γ</m:t>
              </m:r>
            </m:e>
            <m:sub>
              <m:sSub>
                <m:e>
                  <m:r>
                    <m:t>P</m:t>
                  </m:r>
                </m:e>
                <m:sub>
                  <m:d>
                    <m:dPr>
                      <m:begChr m:val="["/>
                      <m:endChr m:val="]"/>
                      <m:sepChr m:val=""/>
                      <m:grow/>
                    </m:dPr>
                    <m:e>
                      <m:r>
                        <m:t>l</m:t>
                      </m:r>
                    </m:e>
                  </m:d>
                </m:sub>
              </m:sSub>
            </m:sub>
          </m:sSub>
          <m:r>
            <m:t>  </m:t>
          </m:r>
          <m:d>
            <m:dPr>
              <m:begChr m:val="("/>
              <m:endChr m:val=")"/>
              <m:sepChr m:val=""/>
              <m:grow/>
            </m:dPr>
            <m:e>
              <m:r>
                <m:t>3</m:t>
              </m:r>
            </m:e>
          </m:d>
        </m:oMath>
      </m:oMathPara>
      <w:bookmarkEnd w:id="35"/>
    </w:p>
    <w:p>
      <w:pPr>
        <w:pStyle w:val="FirstParagraph"/>
      </w:pPr>
      <w:r>
        <w:t xml:space="preserve">where the value of</w:t>
      </w:r>
      <w:r>
        <w:t xml:space="preserve"> </w:t>
      </w:r>
      <m:oMath>
        <m:r>
          <m:t>γ</m:t>
        </m:r>
      </m:oMath>
      <w:r>
        <w:t xml:space="preserve"> </w:t>
      </w:r>
      <w:r>
        <w:t xml:space="preserve">for the reference party, the Conservative</w:t>
      </w:r>
      <w:r>
        <w:t xml:space="preserve"> </w:t>
      </w:r>
      <w:r>
        <w:t xml:space="preserve">party, is set to zero. Values of</w:t>
      </w:r>
      <w:r>
        <w:t xml:space="preserve"> </w:t>
      </w:r>
      <m:oMath>
        <m:r>
          <m:t>α</m:t>
        </m:r>
      </m:oMath>
      <w:r>
        <w:t xml:space="preserve"> </w:t>
      </w:r>
      <w:r>
        <w:t xml:space="preserve">are drawn from a</w:t>
      </w:r>
      <w:r>
        <w:t xml:space="preserve"> </w:t>
      </w:r>
      <w:r>
        <w:t xml:space="preserve">distribution with estimated standard deviation:</w:t>
      </w:r>
    </w:p>
    <w:p>
      <w:pPr>
        <w:pStyle w:val="BodyText"/>
      </w:pPr>
      <m:oMathPara>
        <m:oMathParaPr>
          <m:jc m:val="center"/>
        </m:oMathParaPr>
        <m:oMath>
          <m:r>
            <m:t>α</m:t>
          </m:r>
          <m:r>
            <m:rPr>
              <m:sty m:val="p"/>
            </m:rPr>
            <m:t>∼</m:t>
          </m:r>
          <m:r>
            <m:t>N</m:t>
          </m:r>
          <m:d>
            <m:dPr>
              <m:begChr m:val="("/>
              <m:endChr m:val=")"/>
              <m:sepChr m:val=""/>
              <m:grow/>
            </m:dPr>
            <m:e>
              <m:r>
                <m:t>0</m:t>
              </m:r>
              <m:r>
                <m:rPr>
                  <m:sty m:val="p"/>
                </m:rPr>
                <m:t>,</m:t>
              </m:r>
              <m:r>
                <m:t>σ</m:t>
              </m:r>
            </m:e>
          </m:d>
        </m:oMath>
      </m:oMathPara>
    </w:p>
    <w:p>
      <w:pPr>
        <w:pStyle w:val="FirstParagraph"/>
      </w:pPr>
      <w:r>
        <w:t xml:space="preserve">We place the following priors on the model parameters:</w:t>
      </w:r>
    </w:p>
    <w:p>
      <w:pPr>
        <w:pStyle w:val="BodyText"/>
      </w:pPr>
      <m:oMathPara>
        <m:oMathParaPr>
          <m:jc m:val="center"/>
        </m:oMathParaPr>
        <m:oMath>
          <m:r>
            <m:t>σ</m:t>
          </m:r>
          <m:r>
            <m:rPr>
              <m:sty m:val="p"/>
            </m:rPr>
            <m:t>∼</m:t>
          </m:r>
          <m:sSup>
            <m:e>
              <m:r>
                <m:t>N</m:t>
              </m:r>
            </m:e>
            <m:sup>
              <m:r>
                <m:rPr>
                  <m:sty m:val="p"/>
                </m:rPr>
                <m:t>+</m:t>
              </m:r>
            </m:sup>
          </m:sSup>
          <m:d>
            <m:dPr>
              <m:begChr m:val="("/>
              <m:endChr m:val=")"/>
              <m:sepChr m:val=""/>
              <m:grow/>
            </m:dPr>
            <m:e>
              <m:r>
                <m:t>0</m:t>
              </m:r>
              <m:r>
                <m:rPr>
                  <m:sty m:val="p"/>
                </m:rPr>
                <m:t>,</m:t>
              </m:r>
              <m:r>
                <m:t>1</m:t>
              </m:r>
            </m:e>
          </m:d>
        </m:oMath>
      </m:oMathPara>
    </w:p>
    <w:p>
      <w:pPr>
        <w:pStyle w:val="FirstParagraph"/>
      </w:pPr>
      <m:oMathPara>
        <m:oMathParaPr>
          <m:jc m:val="center"/>
        </m:oMathParaPr>
        <m:oMath>
          <m:r>
            <m:t>γ</m:t>
          </m:r>
          <m:r>
            <m:rPr>
              <m:sty m:val="p"/>
            </m:rPr>
            <m:t>∼</m:t>
          </m:r>
          <m:r>
            <m:t>N</m:t>
          </m:r>
          <m:d>
            <m:dPr>
              <m:begChr m:val="("/>
              <m:endChr m:val=")"/>
              <m:sepChr m:val=""/>
              <m:grow/>
            </m:dPr>
            <m:e>
              <m:r>
                <m:t>0</m:t>
              </m:r>
              <m:r>
                <m:rPr>
                  <m:sty m:val="p"/>
                </m:rPr>
                <m:t>,</m:t>
              </m:r>
              <m:r>
                <m:t>2.5</m:t>
              </m:r>
            </m:e>
          </m:d>
        </m:oMath>
      </m:oMathPara>
    </w:p>
    <w:p>
      <w:pPr>
        <w:pStyle w:val="FirstParagraph"/>
      </w:pPr>
      <m:oMathPara>
        <m:oMathParaPr>
          <m:jc m:val="center"/>
        </m:oMathParaPr>
        <m:oMath>
          <m:sSubSup>
            <m:e>
              <m:r>
                <m:t>τ</m:t>
              </m:r>
            </m:e>
            <m:sub>
              <m:r>
                <m:t>1</m:t>
              </m:r>
            </m:sub>
            <m:sup>
              <m:r>
                <m:rPr>
                  <m:sty m:val="p"/>
                </m:rPr>
                <m:t>*</m:t>
              </m:r>
            </m:sup>
          </m:sSubSup>
          <m:r>
            <m:rPr>
              <m:sty m:val="p"/>
            </m:rPr>
            <m:t>∼</m:t>
          </m:r>
          <m:r>
            <m:t>N</m:t>
          </m:r>
          <m:d>
            <m:dPr>
              <m:begChr m:val="("/>
              <m:endChr m:val=")"/>
              <m:sepChr m:val=""/>
              <m:grow/>
            </m:dPr>
            <m:e>
              <m:r>
                <m:rPr>
                  <m:sty m:val="p"/>
                </m:rPr>
                <m:t>−</m:t>
              </m:r>
              <m:r>
                <m:t>1</m:t>
              </m:r>
              <m:r>
                <m:rPr>
                  <m:sty m:val="p"/>
                </m:rPr>
                <m:t>,</m:t>
              </m:r>
              <m:r>
                <m:t>2.5</m:t>
              </m:r>
            </m:e>
          </m:d>
        </m:oMath>
      </m:oMathPara>
    </w:p>
    <w:p>
      <w:pPr>
        <w:pStyle w:val="FirstParagraph"/>
      </w:pPr>
      <m:oMathPara>
        <m:oMathParaPr>
          <m:jc m:val="center"/>
        </m:oMathParaPr>
        <m:oMath>
          <m:sSub>
            <m:e>
              <m:r>
                <m:t>δ</m:t>
              </m:r>
            </m:e>
            <m:sub>
              <m:r>
                <m:t>i</m:t>
              </m:r>
            </m:sub>
          </m:sSub>
          <m:r>
            <m:rPr>
              <m:sty m:val="p"/>
            </m:rPr>
            <m:t>∼</m:t>
          </m:r>
          <m:sSup>
            <m:e>
              <m:r>
                <m:t>N</m:t>
              </m:r>
            </m:e>
            <m:sup>
              <m:r>
                <m:rPr>
                  <m:sty m:val="p"/>
                </m:rPr>
                <m:t>+</m:t>
              </m:r>
            </m:sup>
          </m:sSup>
          <m:d>
            <m:dPr>
              <m:begChr m:val="("/>
              <m:endChr m:val=")"/>
              <m:sepChr m:val=""/>
              <m:grow/>
            </m:dPr>
            <m:e>
              <m:r>
                <m:t>0</m:t>
              </m:r>
              <m:r>
                <m:rPr>
                  <m:sty m:val="p"/>
                </m:rPr>
                <m:t>,</m:t>
              </m:r>
              <m:r>
                <m:t>1</m:t>
              </m:r>
            </m:e>
          </m:d>
        </m:oMath>
      </m:oMathPara>
    </w:p>
    <w:p>
      <w:pPr>
        <w:pStyle w:val="FirstParagraph"/>
      </w:pPr>
      <w:r>
        <w:t xml:space="preserve">We estimate this model in Stan, using four chains for 2,000</w:t>
      </w:r>
      <w:r>
        <w:t xml:space="preserve"> </w:t>
      </w:r>
      <w:r>
        <w:t xml:space="preserve">iterations, with the first 1,000 iterations discarded as warmup. There</w:t>
      </w:r>
      <w:r>
        <w:t xml:space="preserve"> </w:t>
      </w:r>
      <w:r>
        <w:t xml:space="preserve">were no problems with convergence.</w:t>
      </w:r>
    </w:p>
    <w:bookmarkEnd w:id="36"/>
    <w:bookmarkStart w:id="51" w:name="results"/>
    <w:p>
      <w:pPr>
        <w:pStyle w:val="Heading1"/>
      </w:pPr>
      <w:r>
        <w:t xml:space="preserve">Results</w:t>
      </w:r>
    </w:p>
    <w:tbl>
      <w:tblPr>
        <w:tblStyle w:val="Table"/>
        <w:tblW w:type="pct" w:w="5000"/>
        <w:tblLook w:firstRow="0" w:lastRow="0" w:firstColumn="0" w:lastColumn="0" w:noHBand="0" w:noVBand="0" w:val="0000"/>
        <w:jc w:val="start"/>
      </w:tblPr>
      <w:tblGrid>
        <w:gridCol w:w="7920"/>
      </w:tblGrid>
      <w:tr>
        <w:tc>
          <w:tcPr/>
          <w:bookmarkStart w:id="40" w:name="fig-bees"/>
          <w:p>
            <w:pPr>
              <w:jc w:val="center"/>
            </w:pPr>
            <w:r>
              <w:drawing>
                <wp:inline>
                  <wp:extent cx="4754880" cy="3169920"/>
                  <wp:effectExtent b="0" l="0" r="0" t="0"/>
                  <wp:docPr descr="" title="" id="38" name="Picture"/>
                  <a:graphic>
                    <a:graphicData uri="http://schemas.openxmlformats.org/drawingml/2006/picture">
                      <pic:pic>
                        <pic:nvPicPr>
                          <pic:cNvPr descr="article_files/figure-docx/fig-bees-1.png" id="39" name="Picture"/>
                          <pic:cNvPicPr>
                            <a:picLocks noChangeArrowheads="1" noChangeAspect="1"/>
                          </pic:cNvPicPr>
                        </pic:nvPicPr>
                        <pic:blipFill>
                          <a:blip r:embed="rId37"/>
                          <a:stretch>
                            <a:fillRect/>
                          </a:stretch>
                        </pic:blipFill>
                        <pic:spPr bwMode="auto">
                          <a:xfrm>
                            <a:off x="0" y="0"/>
                            <a:ext cx="4754880" cy="3169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Bee-swarm plot of MPs’ left-right positions</w:t>
            </w:r>
          </w:p>
          <w:bookmarkEnd w:id="40"/>
        </w:tc>
      </w:tr>
    </w:tbl>
    <w:p>
      <w:pPr>
        <w:pStyle w:val="BodyText"/>
      </w:pPr>
      <w:hyperlink w:anchor="fig-bees">
        <w:r>
          <w:rPr>
            <w:rStyle w:val="Hyperlink"/>
          </w:rPr>
          <w:t xml:space="preserve">Figure 2</w:t>
        </w:r>
      </w:hyperlink>
      <w:r>
        <w:t xml:space="preserve"> </w:t>
      </w:r>
      <w:r>
        <w:t xml:space="preserve">shows a beeswarm plot of MPs’ ideal points, with parties</w:t>
      </w:r>
      <w:r>
        <w:t xml:space="preserve"> </w:t>
      </w:r>
      <w:r>
        <w:t xml:space="preserve">ordered by mean position. The relative ordering of the parties is</w:t>
      </w:r>
      <w:r>
        <w:t xml:space="preserve"> </w:t>
      </w:r>
      <w:r>
        <w:t xml:space="preserve">broadly as expected, with the Liberal Democrats to the left of the</w:t>
      </w:r>
      <w:r>
        <w:t xml:space="preserve"> </w:t>
      </w:r>
      <w:r>
        <w:t xml:space="preserve">Conservatives, and the positions of the SNP and Plaid Cymru</w:t>
      </w:r>
      <w:r>
        <w:t xml:space="preserve"> </w:t>
      </w:r>
      <w:r>
        <w:t xml:space="preserve">parliamentary groups to the left of Labour. The within-party</w:t>
      </w:r>
      <w:r>
        <w:t xml:space="preserve"> </w:t>
      </w:r>
      <w:r>
        <w:t xml:space="preserve">dispersion of the ideal points also makes sense: Labour MPs’ positions</w:t>
      </w:r>
      <w:r>
        <w:t xml:space="preserve"> </w:t>
      </w:r>
      <w:r>
        <w:t xml:space="preserve">are more dispersed than those of the Conservative party, whilst the</w:t>
      </w:r>
      <w:r>
        <w:t xml:space="preserve"> </w:t>
      </w:r>
      <w:r>
        <w:t xml:space="preserve">Liberal Democrats are split between more left-wing Liberal Democrats</w:t>
      </w:r>
      <w:r>
        <w:t xml:space="preserve"> </w:t>
      </w:r>
      <w:r>
        <w:t xml:space="preserve">(Layla Moran and Daisy Cooper) and the more free-market wing of the</w:t>
      </w:r>
      <w:r>
        <w:t xml:space="preserve"> </w:t>
      </w:r>
      <w:r>
        <w:t xml:space="preserve">party (Ed Davey and, to a lesser extent, the party’s Scottish MPs).</w:t>
      </w:r>
    </w:p>
    <w:p>
      <w:pPr>
        <w:pStyle w:val="BodyText"/>
      </w:pPr>
      <w:hyperlink w:anchor="fig-bees">
        <w:r>
          <w:rPr>
            <w:rStyle w:val="Hyperlink"/>
          </w:rPr>
          <w:t xml:space="preserve">Figure 2</w:t>
        </w:r>
      </w:hyperlink>
      <w:r>
        <w:t xml:space="preserve"> </w:t>
      </w:r>
      <w:r>
        <w:t xml:space="preserve">plots each individual legislators as a single point, and</w:t>
      </w:r>
      <w:r>
        <w:t xml:space="preserve"> </w:t>
      </w:r>
      <w:r>
        <w:t xml:space="preserve">ignores the uncertainty associated with each estimate. The average</w:t>
      </w:r>
      <w:r>
        <w:t xml:space="preserve"> </w:t>
      </w:r>
      <w:r>
        <w:t xml:space="preserve">width of the 95% credible interval on each estimate is 1.97</w:t>
      </w:r>
      <w:r>
        <w:t xml:space="preserve"> </w:t>
      </w:r>
      <w:r>
        <w:t xml:space="preserve">units. By comparison, the range of ideal points is (1.48 -</w:t>
      </w:r>
      <w:r>
        <w:t xml:space="preserve"> </w:t>
      </w:r>
      <w:r>
        <w:t xml:space="preserve">-5.97 =) 7.45 units, and the standard deviation is</w:t>
      </w:r>
      <w:r>
        <w:t xml:space="preserve"> </w:t>
      </w:r>
      <w:r>
        <w:t xml:space="preserve">1.83 units.</w:t>
      </w:r>
    </w:p>
    <w:p>
      <w:pPr>
        <w:pStyle w:val="BodyText"/>
      </w:pPr>
      <w:r>
        <w:t xml:space="preserve">We can investigate the face validity of the estimates by examining MPs</w:t>
      </w:r>
      <w:r>
        <w:t xml:space="preserve"> </w:t>
      </w:r>
      <w:r>
        <w:t xml:space="preserve">at the extremes and middle of the distribution.</w:t>
      </w:r>
      <w:r>
        <w:t xml:space="preserve"> </w:t>
      </w:r>
      <w:hyperlink w:anchor="tbl-extremes">
        <w:r>
          <w:rPr>
            <w:rStyle w:val="Hyperlink"/>
          </w:rPr>
          <w:t xml:space="preserve">Table 2</w:t>
        </w:r>
      </w:hyperlink>
      <w:r>
        <w:t xml:space="preserve"> </w:t>
      </w:r>
      <w:r>
        <w:t xml:space="preserve">gives</w:t>
      </w:r>
      <w:r>
        <w:t xml:space="preserve"> </w:t>
      </w:r>
      <w:r>
        <w:t xml:space="preserve">information on the six most left-wing, most centrist and most</w:t>
      </w:r>
      <w:r>
        <w:t xml:space="preserve"> </w:t>
      </w:r>
      <w:r>
        <w:t xml:space="preserve">right-wing MPs, where</w:t>
      </w:r>
      <w:r>
        <w:t xml:space="preserve"> </w:t>
      </w:r>
      <w:r>
        <w:t xml:space="preserve">“</w:t>
      </w:r>
      <w:r>
        <w:t xml:space="preserve">centrist</w:t>
      </w:r>
      <w:r>
        <w:t xml:space="preserve">”</w:t>
      </w:r>
      <w:r>
        <w:t xml:space="preserve"> </w:t>
      </w:r>
      <w:r>
        <w:t xml:space="preserve">is defined relative to the</w:t>
      </w:r>
      <w:r>
        <w:t xml:space="preserve"> </w:t>
      </w:r>
      <w:r>
        <w:t xml:space="preserve">distribution of MPs in the 2019-2024 parliament. The two most</w:t>
      </w:r>
      <w:r>
        <w:t xml:space="preserve"> </w:t>
      </w:r>
      <w:r>
        <w:t xml:space="preserve">right-wing MPs, Mark Jenkinson and John Redwood, are respectively a</w:t>
      </w:r>
      <w:r>
        <w:t xml:space="preserve"> </w:t>
      </w:r>
      <w:r>
        <w:t xml:space="preserve">former UKIP candidate and a</w:t>
      </w:r>
      <w:r>
        <w:t xml:space="preserve"> </w:t>
      </w:r>
      <w:r>
        <w:t xml:space="preserve">“</w:t>
      </w:r>
      <w:r>
        <w:t xml:space="preserve">right-wing true-believer in the cold</w:t>
      </w:r>
      <w:r>
        <w:t xml:space="preserve"> </w:t>
      </w:r>
      <w:r>
        <w:t xml:space="preserve">realities of the free market</w:t>
      </w:r>
      <w:r>
        <w:t xml:space="preserve">”</w:t>
      </w:r>
      <w:r>
        <w:t xml:space="preserve">.</w:t>
      </w:r>
      <w:r>
        <w:rPr>
          <w:rStyle w:val="FootnoteReference"/>
        </w:rPr>
        <w:footnoteReference w:id="41"/>
      </w:r>
      <w:r>
        <w:t xml:space="preserve"> </w:t>
      </w:r>
      <w:r>
        <w:t xml:space="preserve">The most left-wing MP is the</w:t>
      </w:r>
      <w:r>
        <w:t xml:space="preserve"> </w:t>
      </w:r>
      <w:r>
        <w:t xml:space="preserve">sole representative of the Green party, whilst the most left-wing</w:t>
      </w:r>
      <w:r>
        <w:t xml:space="preserve"> </w:t>
      </w:r>
      <w:r>
        <w:t xml:space="preserve">Labour MP John McDonnell is an occasional Marxist and former Shadow</w:t>
      </w:r>
      <w:r>
        <w:t xml:space="preserve"> </w:t>
      </w:r>
      <w:r>
        <w:t xml:space="preserve">Chancellor of the Exchequer under Jeremy Corbyn.</w:t>
      </w:r>
      <w:r>
        <w:rPr>
          <w:rStyle w:val="FootnoteReference"/>
        </w:rPr>
        <w:footnoteReference w:id="43"/>
      </w:r>
      <w:r>
        <w:t xml:space="preserve"> </w:t>
      </w:r>
      <w:r>
        <w:t xml:space="preserve">The</w:t>
      </w:r>
      <w:r>
        <w:t xml:space="preserve"> </w:t>
      </w:r>
      <w:r>
        <w:t xml:space="preserve">centrist MPs are those on the left wing of the Conservative party,</w:t>
      </w:r>
      <w:r>
        <w:t xml:space="preserve"> </w:t>
      </w:r>
      <w:r>
        <w:t xml:space="preserve">including, in Robert Buckland, a member of the One Nation caucus and</w:t>
      </w:r>
      <w:r>
        <w:t xml:space="preserve"> </w:t>
      </w:r>
      <w:r>
        <w:t xml:space="preserve">patron of the Tory Reform Group.</w:t>
      </w:r>
    </w:p>
    <w:bookmarkStart w:id="45" w:name="tbl-extremes"/>
    <w:p>
      <w:pPr>
        <w:pStyle w:val="TableCaption"/>
      </w:pPr>
      <w:r>
        <w:t xml:space="preserve">Table 2: MPs on the left, middle, and right of the recovered dimension. Columns Lo and Hi refer to the 2.5th and 97.5th percentiles of the posterior distribution.</w:t>
      </w:r>
    </w:p>
    <w:tbl>
      <w:tblPr>
        <w:tblStyle w:val="Table"/>
        <w:tblW w:type="pct" w:w="5000"/>
        <w:tblLook w:firstRow="1" w:lastRow="0" w:firstColumn="0" w:lastColumn="0" w:noHBand="0" w:noVBand="0" w:val="0020"/>
        <w:jc w:val="start"/>
        <w:tblCaption w:val="Table 2: MPs on the left, middle, and right of the recovered dimension. Columns Lo and Hi refer to the 2.5th and 97.5th percentiles of the posterior distribution."/>
      </w:tblPr>
      <w:tblGrid>
        <w:gridCol w:w="990"/>
        <w:gridCol w:w="990"/>
        <w:gridCol w:w="990"/>
        <w:gridCol w:w="990"/>
        <w:gridCol w:w="990"/>
        <w:gridCol w:w="990"/>
        <w:gridCol w:w="990"/>
        <w:gridCol w:w="990"/>
      </w:tblGrid>
      <w:tr>
        <w:trPr>
          <w:tblHeader w:val="true"/>
        </w:trPr>
        <w:tc>
          <w:tcPr>
            <w:gridSpan w:val="2"/>
          </w:tcPr>
          <w:p>
            <w:pPr>
              <w:pStyle w:val="Compact"/>
            </w:pPr>
          </w:p>
        </w:tc>
        <w:tc>
          <w:tcPr>
            <w:gridSpan w:val="3"/>
          </w:tcPr>
          <w:p>
            <w:pPr>
              <w:pStyle w:val="Compact"/>
              <w:jc w:val="center"/>
            </w:pPr>
            <w:r>
              <w:t xml:space="preserve">Position</w:t>
            </w:r>
          </w:p>
        </w:tc>
        <w:tc>
          <w:tcPr>
            <w:gridSpan w:val="3"/>
          </w:tcPr>
          <w:p>
            <w:pPr>
              <w:pStyle w:val="Compact"/>
              <w:jc w:val="center"/>
            </w:pPr>
            <w:r>
              <w:t xml:space="preserve">Rank</w:t>
            </w:r>
          </w:p>
        </w:tc>
      </w:tr>
      <w:tr>
        <w:trPr>
          <w:tblHeader w:val="true"/>
        </w:trPr>
        <w:tc>
          <w:tcPr/>
          <w:p>
            <w:pPr>
              <w:pStyle w:val="Compact"/>
              <w:jc w:val="left"/>
            </w:pPr>
            <w:r>
              <w:t xml:space="preserve">MP</w:t>
            </w:r>
          </w:p>
        </w:tc>
        <w:tc>
          <w:tcPr/>
          <w:p>
            <w:pPr>
              <w:pStyle w:val="Compact"/>
              <w:jc w:val="left"/>
            </w:pPr>
            <w:r>
              <w:t xml:space="preserve">Party</w:t>
            </w:r>
          </w:p>
        </w:tc>
        <w:tc>
          <w:tcPr/>
          <w:p>
            <w:pPr>
              <w:pStyle w:val="Compact"/>
              <w:jc w:val="right"/>
            </w:pPr>
            <w:r>
              <w:t xml:space="preserve">Mean</w:t>
            </w:r>
          </w:p>
        </w:tc>
        <w:tc>
          <w:tcPr/>
          <w:p>
            <w:pPr>
              <w:pStyle w:val="Compact"/>
              <w:jc w:val="right"/>
            </w:pPr>
            <w:r>
              <w:t xml:space="preserve">Lo</w:t>
            </w:r>
          </w:p>
        </w:tc>
        <w:tc>
          <w:tcPr/>
          <w:p>
            <w:pPr>
              <w:pStyle w:val="Compact"/>
              <w:jc w:val="right"/>
            </w:pPr>
            <w:r>
              <w:t xml:space="preserve">Hi</w:t>
            </w:r>
          </w:p>
        </w:tc>
        <w:tc>
          <w:tcPr/>
          <w:p>
            <w:pPr>
              <w:pStyle w:val="Compact"/>
              <w:jc w:val="right"/>
            </w:pPr>
            <w:r>
              <w:t xml:space="preserve">Rank</w:t>
            </w:r>
          </w:p>
        </w:tc>
        <w:tc>
          <w:tcPr/>
          <w:p>
            <w:pPr>
              <w:pStyle w:val="Compact"/>
              <w:jc w:val="right"/>
            </w:pPr>
            <w:r>
              <w:t xml:space="preserve">Lo</w:t>
            </w:r>
          </w:p>
        </w:tc>
        <w:tc>
          <w:tcPr/>
          <w:p>
            <w:pPr>
              <w:pStyle w:val="Compact"/>
              <w:jc w:val="right"/>
            </w:pPr>
            <w:r>
              <w:t xml:space="preserve">Hi</w:t>
            </w:r>
          </w:p>
        </w:tc>
      </w:tr>
      <w:tr>
        <w:tc>
          <w:tcPr>
            <w:gridSpan w:val="8"/>
          </w:tcPr>
          <w:p>
            <w:pPr>
              <w:pStyle w:val="Compact"/>
              <w:jc w:val="left"/>
            </w:pPr>
            <w:r>
              <w:rPr>
                <w:bCs/>
                <w:b/>
              </w:rPr>
              <w:t xml:space="preserve">Left-wing</w:t>
            </w:r>
          </w:p>
        </w:tc>
      </w:tr>
      <w:tr>
        <w:tc>
          <w:tcPr/>
          <w:p>
            <w:pPr>
              <w:pStyle w:val="Compact"/>
              <w:jc w:val="left"/>
            </w:pPr>
            <w:r>
              <w:t xml:space="preserve">Caroline LUCAS</w:t>
            </w:r>
          </w:p>
        </w:tc>
        <w:tc>
          <w:tcPr/>
          <w:p>
            <w:pPr>
              <w:pStyle w:val="Compact"/>
              <w:jc w:val="left"/>
            </w:pPr>
            <w:r>
              <w:t xml:space="preserve">Green</w:t>
            </w:r>
          </w:p>
        </w:tc>
        <w:tc>
          <w:tcPr/>
          <w:p>
            <w:pPr>
              <w:pStyle w:val="Compact"/>
              <w:jc w:val="right"/>
            </w:pPr>
            <w:r>
              <w:t xml:space="preserve">-5.97</w:t>
            </w:r>
          </w:p>
        </w:tc>
        <w:tc>
          <w:tcPr/>
          <w:p>
            <w:pPr>
              <w:pStyle w:val="Compact"/>
              <w:jc w:val="right"/>
            </w:pPr>
            <w:r>
              <w:t xml:space="preserve">-7.57</w:t>
            </w:r>
          </w:p>
        </w:tc>
        <w:tc>
          <w:tcPr/>
          <w:p>
            <w:pPr>
              <w:pStyle w:val="Compact"/>
              <w:jc w:val="right"/>
            </w:pPr>
            <w:r>
              <w:t xml:space="preserve">-4.47</w:t>
            </w:r>
          </w:p>
        </w:tc>
        <w:tc>
          <w:tcPr/>
          <w:p>
            <w:pPr>
              <w:pStyle w:val="Compact"/>
              <w:jc w:val="right"/>
            </w:pPr>
            <w:r>
              <w:t xml:space="preserve">1</w:t>
            </w:r>
          </w:p>
        </w:tc>
        <w:tc>
          <w:tcPr/>
          <w:p>
            <w:pPr>
              <w:pStyle w:val="Compact"/>
              <w:jc w:val="right"/>
            </w:pPr>
            <w:r>
              <w:t xml:space="preserve">1</w:t>
            </w:r>
          </w:p>
        </w:tc>
        <w:tc>
          <w:tcPr/>
          <w:p>
            <w:pPr>
              <w:pStyle w:val="Compact"/>
              <w:jc w:val="right"/>
            </w:pPr>
            <w:r>
              <w:t xml:space="preserve">36</w:t>
            </w:r>
          </w:p>
        </w:tc>
      </w:tr>
      <w:tr>
        <w:tc>
          <w:tcPr/>
          <w:p>
            <w:pPr>
              <w:pStyle w:val="Compact"/>
              <w:jc w:val="left"/>
            </w:pPr>
            <w:r>
              <w:t xml:space="preserve">Steven BONNAR</w:t>
            </w:r>
          </w:p>
        </w:tc>
        <w:tc>
          <w:tcPr/>
          <w:p>
            <w:pPr>
              <w:pStyle w:val="Compact"/>
              <w:jc w:val="left"/>
            </w:pPr>
            <w:r>
              <w:t xml:space="preserve">SNP</w:t>
            </w:r>
          </w:p>
        </w:tc>
        <w:tc>
          <w:tcPr/>
          <w:p>
            <w:pPr>
              <w:pStyle w:val="Compact"/>
              <w:jc w:val="right"/>
            </w:pPr>
            <w:r>
              <w:t xml:space="preserve">-5.09</w:t>
            </w:r>
          </w:p>
        </w:tc>
        <w:tc>
          <w:tcPr/>
          <w:p>
            <w:pPr>
              <w:pStyle w:val="Compact"/>
              <w:jc w:val="right"/>
            </w:pPr>
            <w:r>
              <w:t xml:space="preserve">-6.30</w:t>
            </w:r>
          </w:p>
        </w:tc>
        <w:tc>
          <w:tcPr/>
          <w:p>
            <w:pPr>
              <w:pStyle w:val="Compact"/>
              <w:jc w:val="right"/>
            </w:pPr>
            <w:r>
              <w:t xml:space="preserve">-3.85</w:t>
            </w:r>
          </w:p>
        </w:tc>
        <w:tc>
          <w:tcPr/>
          <w:p>
            <w:pPr>
              <w:pStyle w:val="Compact"/>
              <w:jc w:val="right"/>
            </w:pPr>
            <w:r>
              <w:t xml:space="preserve">2</w:t>
            </w:r>
          </w:p>
        </w:tc>
        <w:tc>
          <w:tcPr/>
          <w:p>
            <w:pPr>
              <w:pStyle w:val="Compact"/>
              <w:jc w:val="right"/>
            </w:pPr>
            <w:r>
              <w:t xml:space="preserve">1</w:t>
            </w:r>
          </w:p>
        </w:tc>
        <w:tc>
          <w:tcPr/>
          <w:p>
            <w:pPr>
              <w:pStyle w:val="Compact"/>
              <w:jc w:val="right"/>
            </w:pPr>
            <w:r>
              <w:t xml:space="preserve">85</w:t>
            </w:r>
          </w:p>
        </w:tc>
      </w:tr>
      <w:tr>
        <w:tc>
          <w:tcPr/>
          <w:p>
            <w:pPr>
              <w:pStyle w:val="Compact"/>
              <w:jc w:val="left"/>
            </w:pPr>
            <w:r>
              <w:t xml:space="preserve">John Martin MCDONNELL</w:t>
            </w:r>
          </w:p>
        </w:tc>
        <w:tc>
          <w:tcPr/>
          <w:p>
            <w:pPr>
              <w:pStyle w:val="Compact"/>
              <w:jc w:val="left"/>
            </w:pPr>
            <w:r>
              <w:t xml:space="preserve">Labour</w:t>
            </w:r>
          </w:p>
        </w:tc>
        <w:tc>
          <w:tcPr/>
          <w:p>
            <w:pPr>
              <w:pStyle w:val="Compact"/>
              <w:jc w:val="right"/>
            </w:pPr>
            <w:r>
              <w:t xml:space="preserve">-5.04</w:t>
            </w:r>
          </w:p>
        </w:tc>
        <w:tc>
          <w:tcPr/>
          <w:p>
            <w:pPr>
              <w:pStyle w:val="Compact"/>
              <w:jc w:val="right"/>
            </w:pPr>
            <w:r>
              <w:t xml:space="preserve">-5.98</w:t>
            </w:r>
          </w:p>
        </w:tc>
        <w:tc>
          <w:tcPr/>
          <w:p>
            <w:pPr>
              <w:pStyle w:val="Compact"/>
              <w:jc w:val="right"/>
            </w:pPr>
            <w:r>
              <w:t xml:space="preserve">-4.12</w:t>
            </w:r>
          </w:p>
        </w:tc>
        <w:tc>
          <w:tcPr/>
          <w:p>
            <w:pPr>
              <w:pStyle w:val="Compact"/>
              <w:jc w:val="right"/>
            </w:pPr>
            <w:r>
              <w:t xml:space="preserve">3</w:t>
            </w:r>
          </w:p>
        </w:tc>
        <w:tc>
          <w:tcPr/>
          <w:p>
            <w:pPr>
              <w:pStyle w:val="Compact"/>
              <w:jc w:val="right"/>
            </w:pPr>
            <w:r>
              <w:t xml:space="preserve">2</w:t>
            </w:r>
          </w:p>
        </w:tc>
        <w:tc>
          <w:tcPr/>
          <w:p>
            <w:pPr>
              <w:pStyle w:val="Compact"/>
              <w:jc w:val="right"/>
            </w:pPr>
            <w:r>
              <w:t xml:space="preserve">61</w:t>
            </w:r>
          </w:p>
        </w:tc>
      </w:tr>
      <w:tr>
        <w:tc>
          <w:tcPr/>
          <w:p>
            <w:pPr>
              <w:pStyle w:val="Compact"/>
              <w:jc w:val="left"/>
            </w:pPr>
            <w:r>
              <w:t xml:space="preserve">Barry GARDINER</w:t>
            </w:r>
          </w:p>
        </w:tc>
        <w:tc>
          <w:tcPr/>
          <w:p>
            <w:pPr>
              <w:pStyle w:val="Compact"/>
              <w:jc w:val="left"/>
            </w:pPr>
            <w:r>
              <w:t xml:space="preserve">Labour</w:t>
            </w:r>
          </w:p>
        </w:tc>
        <w:tc>
          <w:tcPr/>
          <w:p>
            <w:pPr>
              <w:pStyle w:val="Compact"/>
              <w:jc w:val="right"/>
            </w:pPr>
            <w:r>
              <w:t xml:space="preserve">-4.97</w:t>
            </w:r>
          </w:p>
        </w:tc>
        <w:tc>
          <w:tcPr/>
          <w:p>
            <w:pPr>
              <w:pStyle w:val="Compact"/>
              <w:jc w:val="right"/>
            </w:pPr>
            <w:r>
              <w:t xml:space="preserve">-5.93</w:t>
            </w:r>
          </w:p>
        </w:tc>
        <w:tc>
          <w:tcPr/>
          <w:p>
            <w:pPr>
              <w:pStyle w:val="Compact"/>
              <w:jc w:val="right"/>
            </w:pPr>
            <w:r>
              <w:t xml:space="preserve">-4.04</w:t>
            </w:r>
          </w:p>
        </w:tc>
        <w:tc>
          <w:tcPr/>
          <w:p>
            <w:pPr>
              <w:pStyle w:val="Compact"/>
              <w:jc w:val="right"/>
            </w:pPr>
            <w:r>
              <w:t xml:space="preserve">4</w:t>
            </w:r>
          </w:p>
        </w:tc>
        <w:tc>
          <w:tcPr/>
          <w:p>
            <w:pPr>
              <w:pStyle w:val="Compact"/>
              <w:jc w:val="right"/>
            </w:pPr>
            <w:r>
              <w:t xml:space="preserve">2</w:t>
            </w:r>
          </w:p>
        </w:tc>
        <w:tc>
          <w:tcPr/>
          <w:p>
            <w:pPr>
              <w:pStyle w:val="Compact"/>
              <w:jc w:val="right"/>
            </w:pPr>
            <w:r>
              <w:t xml:space="preserve">69</w:t>
            </w:r>
          </w:p>
        </w:tc>
      </w:tr>
      <w:tr>
        <w:tc>
          <w:tcPr/>
          <w:p>
            <w:pPr>
              <w:pStyle w:val="Compact"/>
              <w:jc w:val="left"/>
            </w:pPr>
            <w:r>
              <w:t xml:space="preserve">Tommy SHEPPARD</w:t>
            </w:r>
          </w:p>
        </w:tc>
        <w:tc>
          <w:tcPr/>
          <w:p>
            <w:pPr>
              <w:pStyle w:val="Compact"/>
              <w:jc w:val="left"/>
            </w:pPr>
            <w:r>
              <w:t xml:space="preserve">SNP</w:t>
            </w:r>
          </w:p>
        </w:tc>
        <w:tc>
          <w:tcPr/>
          <w:p>
            <w:pPr>
              <w:pStyle w:val="Compact"/>
              <w:jc w:val="right"/>
            </w:pPr>
            <w:r>
              <w:t xml:space="preserve">-4.92</w:t>
            </w:r>
          </w:p>
        </w:tc>
        <w:tc>
          <w:tcPr/>
          <w:p>
            <w:pPr>
              <w:pStyle w:val="Compact"/>
              <w:jc w:val="right"/>
            </w:pPr>
            <w:r>
              <w:t xml:space="preserve">-6.15</w:t>
            </w:r>
          </w:p>
        </w:tc>
        <w:tc>
          <w:tcPr/>
          <w:p>
            <w:pPr>
              <w:pStyle w:val="Compact"/>
              <w:jc w:val="right"/>
            </w:pPr>
            <w:r>
              <w:t xml:space="preserve">-3.66</w:t>
            </w:r>
          </w:p>
        </w:tc>
        <w:tc>
          <w:tcPr/>
          <w:p>
            <w:pPr>
              <w:pStyle w:val="Compact"/>
              <w:jc w:val="right"/>
            </w:pPr>
            <w:r>
              <w:t xml:space="preserve">5</w:t>
            </w:r>
          </w:p>
        </w:tc>
        <w:tc>
          <w:tcPr/>
          <w:p>
            <w:pPr>
              <w:pStyle w:val="Compact"/>
              <w:jc w:val="right"/>
            </w:pPr>
            <w:r>
              <w:t xml:space="preserve">1</w:t>
            </w:r>
          </w:p>
        </w:tc>
        <w:tc>
          <w:tcPr/>
          <w:p>
            <w:pPr>
              <w:pStyle w:val="Compact"/>
              <w:jc w:val="right"/>
            </w:pPr>
            <w:r>
              <w:t xml:space="preserve">106</w:t>
            </w:r>
          </w:p>
        </w:tc>
      </w:tr>
      <w:tr>
        <w:tc>
          <w:tcPr/>
          <w:p>
            <w:pPr>
              <w:pStyle w:val="Compact"/>
              <w:jc w:val="left"/>
            </w:pPr>
            <w:r>
              <w:t xml:space="preserve">Mhairi BLACK</w:t>
            </w:r>
          </w:p>
        </w:tc>
        <w:tc>
          <w:tcPr/>
          <w:p>
            <w:pPr>
              <w:pStyle w:val="Compact"/>
              <w:jc w:val="left"/>
            </w:pPr>
            <w:r>
              <w:t xml:space="preserve">SNP</w:t>
            </w:r>
          </w:p>
        </w:tc>
        <w:tc>
          <w:tcPr/>
          <w:p>
            <w:pPr>
              <w:pStyle w:val="Compact"/>
              <w:jc w:val="right"/>
            </w:pPr>
            <w:r>
              <w:t xml:space="preserve">-4.87</w:t>
            </w:r>
          </w:p>
        </w:tc>
        <w:tc>
          <w:tcPr/>
          <w:p>
            <w:pPr>
              <w:pStyle w:val="Compact"/>
              <w:jc w:val="right"/>
            </w:pPr>
            <w:r>
              <w:t xml:space="preserve">-6.12</w:t>
            </w:r>
          </w:p>
        </w:tc>
        <w:tc>
          <w:tcPr/>
          <w:p>
            <w:pPr>
              <w:pStyle w:val="Compact"/>
              <w:jc w:val="right"/>
            </w:pPr>
            <w:r>
              <w:t xml:space="preserve">-3.60</w:t>
            </w:r>
          </w:p>
        </w:tc>
        <w:tc>
          <w:tcPr/>
          <w:p>
            <w:pPr>
              <w:pStyle w:val="Compact"/>
              <w:jc w:val="right"/>
            </w:pPr>
            <w:r>
              <w:t xml:space="preserve">6</w:t>
            </w:r>
          </w:p>
        </w:tc>
        <w:tc>
          <w:tcPr/>
          <w:p>
            <w:pPr>
              <w:pStyle w:val="Compact"/>
              <w:jc w:val="right"/>
            </w:pPr>
            <w:r>
              <w:t xml:space="preserve">1</w:t>
            </w:r>
          </w:p>
        </w:tc>
        <w:tc>
          <w:tcPr/>
          <w:p>
            <w:pPr>
              <w:pStyle w:val="Compact"/>
              <w:jc w:val="right"/>
            </w:pPr>
            <w:r>
              <w:t xml:space="preserve">113</w:t>
            </w:r>
          </w:p>
        </w:tc>
      </w:tr>
      <w:tr>
        <w:tc>
          <w:tcPr>
            <w:gridSpan w:val="8"/>
          </w:tcPr>
          <w:p>
            <w:pPr>
              <w:pStyle w:val="Compact"/>
              <w:jc w:val="left"/>
            </w:pPr>
            <w:r>
              <w:rPr>
                <w:bCs/>
                <w:b/>
              </w:rPr>
              <w:t xml:space="preserve">Middle</w:t>
            </w:r>
          </w:p>
        </w:tc>
      </w:tr>
      <w:tr>
        <w:tc>
          <w:tcPr/>
          <w:p>
            <w:pPr>
              <w:pStyle w:val="Compact"/>
              <w:jc w:val="left"/>
            </w:pPr>
            <w:r>
              <w:t xml:space="preserve">Robert BUCKLAND</w:t>
            </w:r>
          </w:p>
        </w:tc>
        <w:tc>
          <w:tcPr/>
          <w:p>
            <w:pPr>
              <w:pStyle w:val="Compact"/>
              <w:jc w:val="left"/>
            </w:pPr>
            <w:r>
              <w:t xml:space="preserve">Cons.</w:t>
            </w:r>
          </w:p>
        </w:tc>
        <w:tc>
          <w:tcPr/>
          <w:p>
            <w:pPr>
              <w:pStyle w:val="Compact"/>
              <w:jc w:val="right"/>
            </w:pPr>
            <w:r>
              <w:t xml:space="preserve">-0.39</w:t>
            </w:r>
          </w:p>
        </w:tc>
        <w:tc>
          <w:tcPr/>
          <w:p>
            <w:pPr>
              <w:pStyle w:val="Compact"/>
              <w:jc w:val="right"/>
            </w:pPr>
            <w:r>
              <w:t xml:space="preserve">-1.38</w:t>
            </w:r>
          </w:p>
        </w:tc>
        <w:tc>
          <w:tcPr/>
          <w:p>
            <w:pPr>
              <w:pStyle w:val="Compact"/>
              <w:jc w:val="right"/>
            </w:pPr>
            <w:r>
              <w:t xml:space="preserve">0.63</w:t>
            </w:r>
          </w:p>
        </w:tc>
        <w:tc>
          <w:tcPr/>
          <w:p>
            <w:pPr>
              <w:pStyle w:val="Compact"/>
              <w:jc w:val="right"/>
            </w:pPr>
            <w:r>
              <w:t xml:space="preserve">314</w:t>
            </w:r>
          </w:p>
        </w:tc>
        <w:tc>
          <w:tcPr/>
          <w:p>
            <w:pPr>
              <w:pStyle w:val="Compact"/>
              <w:jc w:val="right"/>
            </w:pPr>
            <w:r>
              <w:t xml:space="preserve">257</w:t>
            </w:r>
          </w:p>
        </w:tc>
        <w:tc>
          <w:tcPr/>
          <w:p>
            <w:pPr>
              <w:pStyle w:val="Compact"/>
              <w:jc w:val="right"/>
            </w:pPr>
            <w:r>
              <w:t xml:space="preserve">553</w:t>
            </w:r>
          </w:p>
        </w:tc>
      </w:tr>
      <w:tr>
        <w:tc>
          <w:tcPr/>
          <w:p>
            <w:pPr>
              <w:pStyle w:val="Compact"/>
              <w:jc w:val="left"/>
            </w:pPr>
            <w:r>
              <w:t xml:space="preserve">Richard HOLDEN</w:t>
            </w:r>
          </w:p>
        </w:tc>
        <w:tc>
          <w:tcPr/>
          <w:p>
            <w:pPr>
              <w:pStyle w:val="Compact"/>
              <w:jc w:val="left"/>
            </w:pPr>
            <w:r>
              <w:t xml:space="preserve">Cons.</w:t>
            </w:r>
          </w:p>
        </w:tc>
        <w:tc>
          <w:tcPr/>
          <w:p>
            <w:pPr>
              <w:pStyle w:val="Compact"/>
              <w:jc w:val="right"/>
            </w:pPr>
            <w:r>
              <w:t xml:space="preserve">-0.38</w:t>
            </w:r>
          </w:p>
        </w:tc>
        <w:tc>
          <w:tcPr/>
          <w:p>
            <w:pPr>
              <w:pStyle w:val="Compact"/>
              <w:jc w:val="right"/>
            </w:pPr>
            <w:r>
              <w:t xml:space="preserve">-1.42</w:t>
            </w:r>
          </w:p>
        </w:tc>
        <w:tc>
          <w:tcPr/>
          <w:p>
            <w:pPr>
              <w:pStyle w:val="Compact"/>
              <w:jc w:val="right"/>
            </w:pPr>
            <w:r>
              <w:t xml:space="preserve">0.63</w:t>
            </w:r>
          </w:p>
        </w:tc>
        <w:tc>
          <w:tcPr/>
          <w:p>
            <w:pPr>
              <w:pStyle w:val="Compact"/>
              <w:jc w:val="right"/>
            </w:pPr>
            <w:r>
              <w:t xml:space="preserve">315</w:t>
            </w:r>
          </w:p>
        </w:tc>
        <w:tc>
          <w:tcPr/>
          <w:p>
            <w:pPr>
              <w:pStyle w:val="Compact"/>
              <w:jc w:val="right"/>
            </w:pPr>
            <w:r>
              <w:t xml:space="preserve">257</w:t>
            </w:r>
          </w:p>
        </w:tc>
        <w:tc>
          <w:tcPr/>
          <w:p>
            <w:pPr>
              <w:pStyle w:val="Compact"/>
              <w:jc w:val="right"/>
            </w:pPr>
            <w:r>
              <w:t xml:space="preserve">558</w:t>
            </w:r>
          </w:p>
        </w:tc>
      </w:tr>
      <w:tr>
        <w:tc>
          <w:tcPr/>
          <w:p>
            <w:pPr>
              <w:pStyle w:val="Compact"/>
              <w:jc w:val="left"/>
            </w:pPr>
            <w:r>
              <w:t xml:space="preserve">Iain STEWART</w:t>
            </w:r>
          </w:p>
        </w:tc>
        <w:tc>
          <w:tcPr/>
          <w:p>
            <w:pPr>
              <w:pStyle w:val="Compact"/>
              <w:jc w:val="left"/>
            </w:pPr>
            <w:r>
              <w:t xml:space="preserve">Cons.</w:t>
            </w:r>
          </w:p>
        </w:tc>
        <w:tc>
          <w:tcPr/>
          <w:p>
            <w:pPr>
              <w:pStyle w:val="Compact"/>
              <w:jc w:val="right"/>
            </w:pPr>
            <w:r>
              <w:t xml:space="preserve">-0.37</w:t>
            </w:r>
          </w:p>
        </w:tc>
        <w:tc>
          <w:tcPr/>
          <w:p>
            <w:pPr>
              <w:pStyle w:val="Compact"/>
              <w:jc w:val="right"/>
            </w:pPr>
            <w:r>
              <w:t xml:space="preserve">-1.31</w:t>
            </w:r>
          </w:p>
        </w:tc>
        <w:tc>
          <w:tcPr/>
          <w:p>
            <w:pPr>
              <w:pStyle w:val="Compact"/>
              <w:jc w:val="right"/>
            </w:pPr>
            <w:r>
              <w:t xml:space="preserve">0.57</w:t>
            </w:r>
          </w:p>
        </w:tc>
        <w:tc>
          <w:tcPr/>
          <w:p>
            <w:pPr>
              <w:pStyle w:val="Compact"/>
              <w:jc w:val="right"/>
            </w:pPr>
            <w:r>
              <w:t xml:space="preserve">316</w:t>
            </w:r>
          </w:p>
        </w:tc>
        <w:tc>
          <w:tcPr/>
          <w:p>
            <w:pPr>
              <w:pStyle w:val="Compact"/>
              <w:jc w:val="right"/>
            </w:pPr>
            <w:r>
              <w:t xml:space="preserve">260</w:t>
            </w:r>
          </w:p>
        </w:tc>
        <w:tc>
          <w:tcPr/>
          <w:p>
            <w:pPr>
              <w:pStyle w:val="Compact"/>
              <w:jc w:val="right"/>
            </w:pPr>
            <w:r>
              <w:t xml:space="preserve">544</w:t>
            </w:r>
          </w:p>
        </w:tc>
      </w:tr>
      <w:tr>
        <w:tc>
          <w:tcPr/>
          <w:p>
            <w:pPr>
              <w:pStyle w:val="Compact"/>
              <w:jc w:val="left"/>
            </w:pPr>
            <w:r>
              <w:t xml:space="preserve">John STEVENSON</w:t>
            </w:r>
          </w:p>
        </w:tc>
        <w:tc>
          <w:tcPr/>
          <w:p>
            <w:pPr>
              <w:pStyle w:val="Compact"/>
              <w:jc w:val="left"/>
            </w:pPr>
            <w:r>
              <w:t xml:space="preserve">Cons.</w:t>
            </w:r>
          </w:p>
        </w:tc>
        <w:tc>
          <w:tcPr/>
          <w:p>
            <w:pPr>
              <w:pStyle w:val="Compact"/>
              <w:jc w:val="right"/>
            </w:pPr>
            <w:r>
              <w:t xml:space="preserve">-0.35</w:t>
            </w:r>
          </w:p>
        </w:tc>
        <w:tc>
          <w:tcPr/>
          <w:p>
            <w:pPr>
              <w:pStyle w:val="Compact"/>
              <w:jc w:val="right"/>
            </w:pPr>
            <w:r>
              <w:t xml:space="preserve">-1.30</w:t>
            </w:r>
          </w:p>
        </w:tc>
        <w:tc>
          <w:tcPr/>
          <w:p>
            <w:pPr>
              <w:pStyle w:val="Compact"/>
              <w:jc w:val="right"/>
            </w:pPr>
            <w:r>
              <w:t xml:space="preserve">0.56</w:t>
            </w:r>
          </w:p>
        </w:tc>
        <w:tc>
          <w:tcPr/>
          <w:p>
            <w:pPr>
              <w:pStyle w:val="Compact"/>
              <w:jc w:val="right"/>
            </w:pPr>
            <w:r>
              <w:t xml:space="preserve">317</w:t>
            </w:r>
          </w:p>
        </w:tc>
        <w:tc>
          <w:tcPr/>
          <w:p>
            <w:pPr>
              <w:pStyle w:val="Compact"/>
              <w:jc w:val="right"/>
            </w:pPr>
            <w:r>
              <w:t xml:space="preserve">260</w:t>
            </w:r>
          </w:p>
        </w:tc>
        <w:tc>
          <w:tcPr/>
          <w:p>
            <w:pPr>
              <w:pStyle w:val="Compact"/>
              <w:jc w:val="right"/>
            </w:pPr>
            <w:r>
              <w:t xml:space="preserve">544</w:t>
            </w:r>
          </w:p>
        </w:tc>
      </w:tr>
      <w:tr>
        <w:tc>
          <w:tcPr/>
          <w:p>
            <w:pPr>
              <w:pStyle w:val="Compact"/>
              <w:jc w:val="left"/>
            </w:pPr>
            <w:r>
              <w:t xml:space="preserve">Helen GRANT</w:t>
            </w:r>
          </w:p>
        </w:tc>
        <w:tc>
          <w:tcPr/>
          <w:p>
            <w:pPr>
              <w:pStyle w:val="Compact"/>
              <w:jc w:val="left"/>
            </w:pPr>
            <w:r>
              <w:t xml:space="preserve">Cons.</w:t>
            </w:r>
          </w:p>
        </w:tc>
        <w:tc>
          <w:tcPr/>
          <w:p>
            <w:pPr>
              <w:pStyle w:val="Compact"/>
              <w:jc w:val="right"/>
            </w:pPr>
            <w:r>
              <w:t xml:space="preserve">-0.35</w:t>
            </w:r>
          </w:p>
        </w:tc>
        <w:tc>
          <w:tcPr/>
          <w:p>
            <w:pPr>
              <w:pStyle w:val="Compact"/>
              <w:jc w:val="right"/>
            </w:pPr>
            <w:r>
              <w:t xml:space="preserve">-1.11</w:t>
            </w:r>
          </w:p>
        </w:tc>
        <w:tc>
          <w:tcPr/>
          <w:p>
            <w:pPr>
              <w:pStyle w:val="Compact"/>
              <w:jc w:val="right"/>
            </w:pPr>
            <w:r>
              <w:t xml:space="preserve">0.44</w:t>
            </w:r>
          </w:p>
        </w:tc>
        <w:tc>
          <w:tcPr/>
          <w:p>
            <w:pPr>
              <w:pStyle w:val="Compact"/>
              <w:jc w:val="right"/>
            </w:pPr>
            <w:r>
              <w:t xml:space="preserve">318</w:t>
            </w:r>
          </w:p>
        </w:tc>
        <w:tc>
          <w:tcPr/>
          <w:p>
            <w:pPr>
              <w:pStyle w:val="Compact"/>
              <w:jc w:val="right"/>
            </w:pPr>
            <w:r>
              <w:t xml:space="preserve">265</w:t>
            </w:r>
          </w:p>
        </w:tc>
        <w:tc>
          <w:tcPr/>
          <w:p>
            <w:pPr>
              <w:pStyle w:val="Compact"/>
              <w:jc w:val="right"/>
            </w:pPr>
            <w:r>
              <w:t xml:space="preserve">526</w:t>
            </w:r>
          </w:p>
        </w:tc>
      </w:tr>
      <w:tr>
        <w:tc>
          <w:tcPr/>
          <w:p>
            <w:pPr>
              <w:pStyle w:val="Compact"/>
              <w:jc w:val="left"/>
            </w:pPr>
            <w:r>
              <w:t xml:space="preserve">Jane STEVENSON</w:t>
            </w:r>
          </w:p>
        </w:tc>
        <w:tc>
          <w:tcPr/>
          <w:p>
            <w:pPr>
              <w:pStyle w:val="Compact"/>
              <w:jc w:val="left"/>
            </w:pPr>
            <w:r>
              <w:t xml:space="preserve">Cons.</w:t>
            </w:r>
          </w:p>
        </w:tc>
        <w:tc>
          <w:tcPr/>
          <w:p>
            <w:pPr>
              <w:pStyle w:val="Compact"/>
              <w:jc w:val="right"/>
            </w:pPr>
            <w:r>
              <w:t xml:space="preserve">-0.35</w:t>
            </w:r>
          </w:p>
        </w:tc>
        <w:tc>
          <w:tcPr/>
          <w:p>
            <w:pPr>
              <w:pStyle w:val="Compact"/>
              <w:jc w:val="right"/>
            </w:pPr>
            <w:r>
              <w:t xml:space="preserve">-1.54</w:t>
            </w:r>
          </w:p>
        </w:tc>
        <w:tc>
          <w:tcPr/>
          <w:p>
            <w:pPr>
              <w:pStyle w:val="Compact"/>
              <w:jc w:val="right"/>
            </w:pPr>
            <w:r>
              <w:t xml:space="preserve">0.83</w:t>
            </w:r>
          </w:p>
        </w:tc>
        <w:tc>
          <w:tcPr/>
          <w:p>
            <w:pPr>
              <w:pStyle w:val="Compact"/>
              <w:jc w:val="right"/>
            </w:pPr>
            <w:r>
              <w:t xml:space="preserve">319</w:t>
            </w:r>
          </w:p>
        </w:tc>
        <w:tc>
          <w:tcPr/>
          <w:p>
            <w:pPr>
              <w:pStyle w:val="Compact"/>
              <w:jc w:val="right"/>
            </w:pPr>
            <w:r>
              <w:t xml:space="preserve">255</w:t>
            </w:r>
          </w:p>
        </w:tc>
        <w:tc>
          <w:tcPr/>
          <w:p>
            <w:pPr>
              <w:pStyle w:val="Compact"/>
              <w:jc w:val="right"/>
            </w:pPr>
            <w:r>
              <w:t xml:space="preserve">575</w:t>
            </w:r>
          </w:p>
        </w:tc>
      </w:tr>
      <w:tr>
        <w:tc>
          <w:tcPr>
            <w:gridSpan w:val="8"/>
          </w:tcPr>
          <w:p>
            <w:pPr>
              <w:pStyle w:val="Compact"/>
              <w:jc w:val="left"/>
            </w:pPr>
            <w:r>
              <w:rPr>
                <w:bCs/>
                <w:b/>
              </w:rPr>
              <w:t xml:space="preserve">Right-wing</w:t>
            </w:r>
          </w:p>
        </w:tc>
      </w:tr>
      <w:tr>
        <w:tc>
          <w:tcPr/>
          <w:p>
            <w:pPr>
              <w:pStyle w:val="Compact"/>
              <w:jc w:val="left"/>
            </w:pPr>
            <w:r>
              <w:t xml:space="preserve">Mark FRANCOIS</w:t>
            </w:r>
          </w:p>
        </w:tc>
        <w:tc>
          <w:tcPr/>
          <w:p>
            <w:pPr>
              <w:pStyle w:val="Compact"/>
              <w:jc w:val="left"/>
            </w:pPr>
            <w:r>
              <w:t xml:space="preserve">Cons.</w:t>
            </w:r>
          </w:p>
        </w:tc>
        <w:tc>
          <w:tcPr/>
          <w:p>
            <w:pPr>
              <w:pStyle w:val="Compact"/>
              <w:jc w:val="right"/>
            </w:pPr>
            <w:r>
              <w:t xml:space="preserve">0.95</w:t>
            </w:r>
          </w:p>
        </w:tc>
        <w:tc>
          <w:tcPr/>
          <w:p>
            <w:pPr>
              <w:pStyle w:val="Compact"/>
              <w:jc w:val="right"/>
            </w:pPr>
            <w:r>
              <w:t xml:space="preserve">0.16</w:t>
            </w:r>
          </w:p>
        </w:tc>
        <w:tc>
          <w:tcPr/>
          <w:p>
            <w:pPr>
              <w:pStyle w:val="Compact"/>
              <w:jc w:val="right"/>
            </w:pPr>
            <w:r>
              <w:t xml:space="preserve">1.75</w:t>
            </w:r>
          </w:p>
        </w:tc>
        <w:tc>
          <w:tcPr/>
          <w:p>
            <w:pPr>
              <w:pStyle w:val="Compact"/>
              <w:jc w:val="right"/>
            </w:pPr>
            <w:r>
              <w:t xml:space="preserve">604</w:t>
            </w:r>
          </w:p>
        </w:tc>
        <w:tc>
          <w:tcPr/>
          <w:p>
            <w:pPr>
              <w:pStyle w:val="Compact"/>
              <w:jc w:val="right"/>
            </w:pPr>
            <w:r>
              <w:t xml:space="preserve">472</w:t>
            </w:r>
          </w:p>
        </w:tc>
        <w:tc>
          <w:tcPr/>
          <w:p>
            <w:pPr>
              <w:pStyle w:val="Compact"/>
              <w:jc w:val="right"/>
            </w:pPr>
            <w:r>
              <w:t xml:space="preserve">608</w:t>
            </w:r>
          </w:p>
        </w:tc>
      </w:tr>
      <w:tr>
        <w:tc>
          <w:tcPr/>
          <w:p>
            <w:pPr>
              <w:pStyle w:val="Compact"/>
              <w:jc w:val="left"/>
            </w:pPr>
            <w:r>
              <w:t xml:space="preserve">Craig MACKINLAY</w:t>
            </w:r>
          </w:p>
        </w:tc>
        <w:tc>
          <w:tcPr/>
          <w:p>
            <w:pPr>
              <w:pStyle w:val="Compact"/>
              <w:jc w:val="left"/>
            </w:pPr>
            <w:r>
              <w:t xml:space="preserve">Cons.</w:t>
            </w:r>
          </w:p>
        </w:tc>
        <w:tc>
          <w:tcPr/>
          <w:p>
            <w:pPr>
              <w:pStyle w:val="Compact"/>
              <w:jc w:val="right"/>
            </w:pPr>
            <w:r>
              <w:t xml:space="preserve">1.10</w:t>
            </w:r>
          </w:p>
        </w:tc>
        <w:tc>
          <w:tcPr/>
          <w:p>
            <w:pPr>
              <w:pStyle w:val="Compact"/>
              <w:jc w:val="right"/>
            </w:pPr>
            <w:r>
              <w:t xml:space="preserve">0.40</w:t>
            </w:r>
          </w:p>
        </w:tc>
        <w:tc>
          <w:tcPr/>
          <w:p>
            <w:pPr>
              <w:pStyle w:val="Compact"/>
              <w:jc w:val="right"/>
            </w:pPr>
            <w:r>
              <w:t xml:space="preserve">1.82</w:t>
            </w:r>
          </w:p>
        </w:tc>
        <w:tc>
          <w:tcPr/>
          <w:p>
            <w:pPr>
              <w:pStyle w:val="Compact"/>
              <w:jc w:val="right"/>
            </w:pPr>
            <w:r>
              <w:t xml:space="preserve">605</w:t>
            </w:r>
          </w:p>
        </w:tc>
        <w:tc>
          <w:tcPr/>
          <w:p>
            <w:pPr>
              <w:pStyle w:val="Compact"/>
              <w:jc w:val="right"/>
            </w:pPr>
            <w:r>
              <w:t xml:space="preserve">520</w:t>
            </w:r>
          </w:p>
        </w:tc>
        <w:tc>
          <w:tcPr/>
          <w:p>
            <w:pPr>
              <w:pStyle w:val="Compact"/>
              <w:jc w:val="right"/>
            </w:pPr>
            <w:r>
              <w:t xml:space="preserve">608</w:t>
            </w:r>
          </w:p>
        </w:tc>
      </w:tr>
      <w:tr>
        <w:tc>
          <w:tcPr/>
          <w:p>
            <w:pPr>
              <w:pStyle w:val="Compact"/>
              <w:jc w:val="left"/>
            </w:pPr>
            <w:r>
              <w:t xml:space="preserve">Esther MCVEY</w:t>
            </w:r>
          </w:p>
        </w:tc>
        <w:tc>
          <w:tcPr/>
          <w:p>
            <w:pPr>
              <w:pStyle w:val="Compact"/>
              <w:jc w:val="left"/>
            </w:pPr>
            <w:r>
              <w:t xml:space="preserve">Cons.</w:t>
            </w:r>
          </w:p>
        </w:tc>
        <w:tc>
          <w:tcPr/>
          <w:p>
            <w:pPr>
              <w:pStyle w:val="Compact"/>
              <w:jc w:val="right"/>
            </w:pPr>
            <w:r>
              <w:t xml:space="preserve">1.23</w:t>
            </w:r>
          </w:p>
        </w:tc>
        <w:tc>
          <w:tcPr/>
          <w:p>
            <w:pPr>
              <w:pStyle w:val="Compact"/>
              <w:jc w:val="right"/>
            </w:pPr>
            <w:r>
              <w:t xml:space="preserve">0.57</w:t>
            </w:r>
          </w:p>
        </w:tc>
        <w:tc>
          <w:tcPr/>
          <w:p>
            <w:pPr>
              <w:pStyle w:val="Compact"/>
              <w:jc w:val="right"/>
            </w:pPr>
            <w:r>
              <w:t xml:space="preserve">1.92</w:t>
            </w:r>
          </w:p>
        </w:tc>
        <w:tc>
          <w:tcPr/>
          <w:p>
            <w:pPr>
              <w:pStyle w:val="Compact"/>
              <w:jc w:val="right"/>
            </w:pPr>
            <w:r>
              <w:t xml:space="preserve">606</w:t>
            </w:r>
          </w:p>
        </w:tc>
        <w:tc>
          <w:tcPr/>
          <w:p>
            <w:pPr>
              <w:pStyle w:val="Compact"/>
              <w:jc w:val="right"/>
            </w:pPr>
            <w:r>
              <w:t xml:space="preserve">546</w:t>
            </w:r>
          </w:p>
        </w:tc>
        <w:tc>
          <w:tcPr/>
          <w:p>
            <w:pPr>
              <w:pStyle w:val="Compact"/>
              <w:jc w:val="right"/>
            </w:pPr>
            <w:r>
              <w:t xml:space="preserve">609</w:t>
            </w:r>
          </w:p>
        </w:tc>
      </w:tr>
      <w:tr>
        <w:tc>
          <w:tcPr/>
          <w:p>
            <w:pPr>
              <w:pStyle w:val="Compact"/>
              <w:jc w:val="left"/>
            </w:pPr>
            <w:r>
              <w:t xml:space="preserve">Suella BRAVERMAN</w:t>
            </w:r>
          </w:p>
        </w:tc>
        <w:tc>
          <w:tcPr/>
          <w:p>
            <w:pPr>
              <w:pStyle w:val="Compact"/>
              <w:jc w:val="left"/>
            </w:pPr>
            <w:r>
              <w:t xml:space="preserve">Cons.</w:t>
            </w:r>
          </w:p>
        </w:tc>
        <w:tc>
          <w:tcPr/>
          <w:p>
            <w:pPr>
              <w:pStyle w:val="Compact"/>
              <w:jc w:val="right"/>
            </w:pPr>
            <w:r>
              <w:t xml:space="preserve">1.29</w:t>
            </w:r>
          </w:p>
        </w:tc>
        <w:tc>
          <w:tcPr/>
          <w:p>
            <w:pPr>
              <w:pStyle w:val="Compact"/>
              <w:jc w:val="right"/>
            </w:pPr>
            <w:r>
              <w:t xml:space="preserve">0.53</w:t>
            </w:r>
          </w:p>
        </w:tc>
        <w:tc>
          <w:tcPr/>
          <w:p>
            <w:pPr>
              <w:pStyle w:val="Compact"/>
              <w:jc w:val="right"/>
            </w:pPr>
            <w:r>
              <w:t xml:space="preserve">2.05</w:t>
            </w:r>
          </w:p>
        </w:tc>
        <w:tc>
          <w:tcPr/>
          <w:p>
            <w:pPr>
              <w:pStyle w:val="Compact"/>
              <w:jc w:val="right"/>
            </w:pPr>
            <w:r>
              <w:t xml:space="preserve">607</w:t>
            </w:r>
          </w:p>
        </w:tc>
        <w:tc>
          <w:tcPr/>
          <w:p>
            <w:pPr>
              <w:pStyle w:val="Compact"/>
              <w:jc w:val="right"/>
            </w:pPr>
            <w:r>
              <w:t xml:space="preserve">542</w:t>
            </w:r>
          </w:p>
        </w:tc>
        <w:tc>
          <w:tcPr/>
          <w:p>
            <w:pPr>
              <w:pStyle w:val="Compact"/>
              <w:jc w:val="right"/>
            </w:pPr>
            <w:r>
              <w:t xml:space="preserve">609</w:t>
            </w:r>
          </w:p>
        </w:tc>
      </w:tr>
      <w:tr>
        <w:tc>
          <w:tcPr/>
          <w:p>
            <w:pPr>
              <w:pStyle w:val="Compact"/>
              <w:jc w:val="left"/>
            </w:pPr>
            <w:r>
              <w:t xml:space="preserve">Mark JENKINSON</w:t>
            </w:r>
          </w:p>
        </w:tc>
        <w:tc>
          <w:tcPr/>
          <w:p>
            <w:pPr>
              <w:pStyle w:val="Compact"/>
              <w:jc w:val="left"/>
            </w:pPr>
            <w:r>
              <w:t xml:space="preserve">Cons.</w:t>
            </w:r>
          </w:p>
        </w:tc>
        <w:tc>
          <w:tcPr/>
          <w:p>
            <w:pPr>
              <w:pStyle w:val="Compact"/>
              <w:jc w:val="right"/>
            </w:pPr>
            <w:r>
              <w:t xml:space="preserve">1.40</w:t>
            </w:r>
          </w:p>
        </w:tc>
        <w:tc>
          <w:tcPr/>
          <w:p>
            <w:pPr>
              <w:pStyle w:val="Compact"/>
              <w:jc w:val="right"/>
            </w:pPr>
            <w:r>
              <w:t xml:space="preserve">0.50</w:t>
            </w:r>
          </w:p>
        </w:tc>
        <w:tc>
          <w:tcPr/>
          <w:p>
            <w:pPr>
              <w:pStyle w:val="Compact"/>
              <w:jc w:val="right"/>
            </w:pPr>
            <w:r>
              <w:t xml:space="preserve">2.31</w:t>
            </w:r>
          </w:p>
        </w:tc>
        <w:tc>
          <w:tcPr/>
          <w:p>
            <w:pPr>
              <w:pStyle w:val="Compact"/>
              <w:jc w:val="right"/>
            </w:pPr>
            <w:r>
              <w:t xml:space="preserve">608</w:t>
            </w:r>
          </w:p>
        </w:tc>
        <w:tc>
          <w:tcPr/>
          <w:p>
            <w:pPr>
              <w:pStyle w:val="Compact"/>
              <w:jc w:val="right"/>
            </w:pPr>
            <w:r>
              <w:t xml:space="preserve">537</w:t>
            </w:r>
          </w:p>
        </w:tc>
        <w:tc>
          <w:tcPr/>
          <w:p>
            <w:pPr>
              <w:pStyle w:val="Compact"/>
              <w:jc w:val="right"/>
            </w:pPr>
            <w:r>
              <w:t xml:space="preserve">609</w:t>
            </w:r>
          </w:p>
        </w:tc>
      </w:tr>
      <w:tr>
        <w:tc>
          <w:tcPr/>
          <w:p>
            <w:pPr>
              <w:pStyle w:val="Compact"/>
              <w:jc w:val="left"/>
            </w:pPr>
            <w:r>
              <w:t xml:space="preserve">John REDWOOD</w:t>
            </w:r>
          </w:p>
        </w:tc>
        <w:tc>
          <w:tcPr/>
          <w:p>
            <w:pPr>
              <w:pStyle w:val="Compact"/>
              <w:jc w:val="left"/>
            </w:pPr>
            <w:r>
              <w:t xml:space="preserve">Cons.</w:t>
            </w:r>
          </w:p>
        </w:tc>
        <w:tc>
          <w:tcPr/>
          <w:p>
            <w:pPr>
              <w:pStyle w:val="Compact"/>
              <w:jc w:val="right"/>
            </w:pPr>
            <w:r>
              <w:t xml:space="preserve">1.48</w:t>
            </w:r>
          </w:p>
        </w:tc>
        <w:tc>
          <w:tcPr/>
          <w:p>
            <w:pPr>
              <w:pStyle w:val="Compact"/>
              <w:jc w:val="right"/>
            </w:pPr>
            <w:r>
              <w:t xml:space="preserve">0.62</w:t>
            </w:r>
          </w:p>
        </w:tc>
        <w:tc>
          <w:tcPr/>
          <w:p>
            <w:pPr>
              <w:pStyle w:val="Compact"/>
              <w:jc w:val="right"/>
            </w:pPr>
            <w:r>
              <w:t xml:space="preserve">2.34</w:t>
            </w:r>
          </w:p>
        </w:tc>
        <w:tc>
          <w:tcPr/>
          <w:p>
            <w:pPr>
              <w:pStyle w:val="Compact"/>
              <w:jc w:val="right"/>
            </w:pPr>
            <w:r>
              <w:t xml:space="preserve">609</w:t>
            </w:r>
          </w:p>
        </w:tc>
        <w:tc>
          <w:tcPr/>
          <w:p>
            <w:pPr>
              <w:pStyle w:val="Compact"/>
              <w:jc w:val="right"/>
            </w:pPr>
            <w:r>
              <w:t xml:space="preserve">554</w:t>
            </w:r>
          </w:p>
        </w:tc>
        <w:tc>
          <w:tcPr/>
          <w:p>
            <w:pPr>
              <w:pStyle w:val="Compact"/>
              <w:jc w:val="right"/>
            </w:pPr>
            <w:r>
              <w:t xml:space="preserve">609</w:t>
            </w:r>
          </w:p>
        </w:tc>
      </w:tr>
    </w:tbl>
    <w:bookmarkEnd w:id="45"/>
    <w:p>
      <w:pPr>
        <w:pStyle w:val="BodyText"/>
      </w:pPr>
      <w:r>
        <w:t xml:space="preserve">The table also gives information on the rank of each MP, together with</w:t>
      </w:r>
      <w:r>
        <w:t xml:space="preserve"> </w:t>
      </w:r>
      <w:r>
        <w:t xml:space="preserve">the endpoints of the 95% credible interval. Thus, while we present</w:t>
      </w:r>
      <w:r>
        <w:t xml:space="preserve"> </w:t>
      </w:r>
      <w:r>
        <w:t xml:space="preserve">Caroline Lucas as the most left-wing MP, we could not rule out the</w:t>
      </w:r>
      <w:r>
        <w:t xml:space="preserve"> </w:t>
      </w:r>
      <w:r>
        <w:t xml:space="preserve">possibility that she is actually the 36th left-most MP. Uncertainty in</w:t>
      </w:r>
      <w:r>
        <w:t xml:space="preserve"> </w:t>
      </w:r>
      <w:r>
        <w:t xml:space="preserve">rank is particularly acute for centrist MPs, whose rank differs by</w:t>
      </w:r>
      <w:r>
        <w:t xml:space="preserve"> </w:t>
      </w:r>
      <w:r>
        <w:t xml:space="preserve">almost three hundred places across samples from the</w:t>
      </w:r>
      <w:r>
        <w:t xml:space="preserve"> </w:t>
      </w:r>
      <w:r>
        <w:t xml:space="preserve">posterior. Nevertheless, we can still distinguish between MPs at these</w:t>
      </w:r>
      <w:r>
        <w:t xml:space="preserve"> </w:t>
      </w:r>
      <w:r>
        <w:t xml:space="preserve">points: the posterior probability that Robert Buckland is to the left</w:t>
      </w:r>
      <w:r>
        <w:t xml:space="preserve"> </w:t>
      </w:r>
      <w:r>
        <w:t xml:space="preserve">of Mark Francois (for example) is 100, while the probability that</w:t>
      </w:r>
      <w:r>
        <w:t xml:space="preserve"> </w:t>
      </w:r>
      <w:r>
        <w:t xml:space="preserve">Mark Francois is to the left of John Redwood is 15. Generally the</w:t>
      </w:r>
      <w:r>
        <w:t xml:space="preserve"> </w:t>
      </w:r>
      <w:r>
        <w:t xml:space="preserve">uncertainty in the estimates is primarily a function of the number of</w:t>
      </w:r>
      <w:r>
        <w:t xml:space="preserve"> </w:t>
      </w:r>
      <w:r>
        <w:t xml:space="preserve">comparisons and only secondarily a function of the extremism of the</w:t>
      </w:r>
      <w:r>
        <w:t xml:space="preserve"> </w:t>
      </w:r>
      <w:r>
        <w:t xml:space="preserve">MPs’ position (see</w:t>
      </w:r>
      <w:r>
        <w:t xml:space="preserve"> </w:t>
      </w:r>
      <w:hyperlink w:anchor="fig-uncertainty">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uncertainty"/>
          <w:p>
            <w:pPr>
              <w:jc w:val="center"/>
            </w:pPr>
            <w:r>
              <w:drawing>
                <wp:inline>
                  <wp:extent cx="4754880" cy="3169920"/>
                  <wp:effectExtent b="0" l="0" r="0" t="0"/>
                  <wp:docPr descr="" title="" id="47" name="Picture"/>
                  <a:graphic>
                    <a:graphicData uri="http://schemas.openxmlformats.org/drawingml/2006/picture">
                      <pic:pic>
                        <pic:nvPicPr>
                          <pic:cNvPr descr="article_files/figure-docx/fig-uncertainty-1.png" id="48" name="Picture"/>
                          <pic:cNvPicPr>
                            <a:picLocks noChangeArrowheads="1" noChangeAspect="1"/>
                          </pic:cNvPicPr>
                        </pic:nvPicPr>
                        <pic:blipFill>
                          <a:blip r:embed="rId46"/>
                          <a:stretch>
                            <a:fillRect/>
                          </a:stretch>
                        </pic:blipFill>
                        <pic:spPr bwMode="auto">
                          <a:xfrm>
                            <a:off x="0" y="0"/>
                            <a:ext cx="4754880" cy="31699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Uncertainty in estimates as a function of the number of comparisons</w:t>
            </w:r>
          </w:p>
          <w:bookmarkEnd w:id="49"/>
        </w:tc>
      </w:tr>
    </w:tbl>
    <w:p>
      <w:pPr>
        <w:pStyle w:val="BodyText"/>
      </w:pPr>
      <w:r>
        <w:t xml:space="preserve">Another way of demonstrating face validity is to examine the average</w:t>
      </w:r>
      <w:r>
        <w:t xml:space="preserve"> </w:t>
      </w:r>
      <w:r>
        <w:t xml:space="preserve">positions of MPs in different party caucuses.</w:t>
      </w:r>
      <w:r>
        <w:t xml:space="preserve"> </w:t>
      </w:r>
      <w:hyperlink w:anchor="tbl-caucus">
        <w:r>
          <w:rPr>
            <w:rStyle w:val="Hyperlink"/>
          </w:rPr>
          <w:t xml:space="preserve">Table 3</w:t>
        </w:r>
      </w:hyperlink>
      <w:r>
        <w:t xml:space="preserve"> </w:t>
      </w:r>
      <w:r>
        <w:t xml:space="preserve">shows</w:t>
      </w:r>
      <w:r>
        <w:t xml:space="preserve"> </w:t>
      </w:r>
      <w:r>
        <w:t xml:space="preserve">positions for Labour and Conservative caucuses. For Labour, Socialist</w:t>
      </w:r>
      <w:r>
        <w:t xml:space="preserve"> </w:t>
      </w:r>
      <w:r>
        <w:t xml:space="preserve">Campaign Group MPs are to the left of the party generally, and the</w:t>
      </w:r>
      <w:r>
        <w:t xml:space="preserve"> </w:t>
      </w:r>
      <w:r>
        <w:t xml:space="preserve">party generally is to the left of Tribune Group MPs. For the</w:t>
      </w:r>
      <w:r>
        <w:t xml:space="preserve"> </w:t>
      </w:r>
      <w:r>
        <w:t xml:space="preserve">Conservatives, members of the (partially overlapping) Tory Reform and</w:t>
      </w:r>
      <w:r>
        <w:t xml:space="preserve"> </w:t>
      </w:r>
      <w:r>
        <w:t xml:space="preserve">One Nation groupings are to the left of the party generally, and the</w:t>
      </w:r>
      <w:r>
        <w:t xml:space="preserve"> </w:t>
      </w:r>
      <w:r>
        <w:t xml:space="preserve">party generally is to the left of European Reform Group subscribers.</w:t>
      </w:r>
    </w:p>
    <w:bookmarkStart w:id="50" w:name="tbl-caucus"/>
    <w:p>
      <w:pPr>
        <w:pStyle w:val="TableCaption"/>
      </w:pPr>
      <w:r>
        <w:t xml:space="preserve">Table 3: Average positions and standard deviations of MPs in different party caucuses</w:t>
      </w:r>
    </w:p>
    <w:tbl>
      <w:tblPr>
        <w:tblStyle w:val="Table"/>
        <w:tblW w:type="auto" w:w="0"/>
        <w:tblLook w:firstRow="1" w:lastRow="0" w:firstColumn="0" w:lastColumn="0" w:noHBand="0" w:noVBand="0" w:val="0020"/>
        <w:jc w:val="start"/>
        <w:tblCaption w:val="Table 3: Average positions and standard deviations of MPs in different party caucuses"/>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w:t>
            </w:r>
          </w:p>
        </w:tc>
        <w:tc>
          <w:tcPr/>
          <w:p>
            <w:pPr>
              <w:pStyle w:val="Compact"/>
              <w:jc w:val="right"/>
            </w:pPr>
            <w:r>
              <w:t xml:space="preserve">Median</w:t>
            </w:r>
          </w:p>
        </w:tc>
        <w:tc>
          <w:tcPr/>
          <w:p>
            <w:pPr>
              <w:pStyle w:val="Compact"/>
              <w:jc w:val="right"/>
            </w:pPr>
            <w:r>
              <w:t xml:space="preserve">SD</w:t>
            </w:r>
          </w:p>
        </w:tc>
      </w:tr>
      <w:tr>
        <w:tc>
          <w:tcPr>
            <w:gridSpan w:val="4"/>
          </w:tcPr>
          <w:p>
            <w:pPr>
              <w:pStyle w:val="Compact"/>
              <w:jc w:val="left"/>
            </w:pPr>
            <w:r>
              <w:rPr>
                <w:bCs/>
                <w:b/>
              </w:rPr>
              <w:t xml:space="preserve">Cons.</w:t>
            </w:r>
          </w:p>
        </w:tc>
      </w:tr>
      <w:tr>
        <w:tc>
          <w:tcPr/>
          <w:p>
            <w:pPr>
              <w:pStyle w:val="Compact"/>
              <w:jc w:val="left"/>
            </w:pPr>
            <w:r>
              <w:t xml:space="preserve">ERG subscribers</w:t>
            </w:r>
          </w:p>
        </w:tc>
        <w:tc>
          <w:tcPr/>
          <w:p>
            <w:pPr>
              <w:pStyle w:val="Compact"/>
              <w:jc w:val="right"/>
            </w:pPr>
            <w:r>
              <w:t xml:space="preserve">42</w:t>
            </w:r>
          </w:p>
        </w:tc>
        <w:tc>
          <w:tcPr/>
          <w:p>
            <w:pPr>
              <w:pStyle w:val="Compact"/>
              <w:jc w:val="right"/>
            </w:pPr>
            <w:r>
              <w:t xml:space="preserve">0.20</w:t>
            </w:r>
          </w:p>
        </w:tc>
        <w:tc>
          <w:tcPr/>
          <w:p>
            <w:pPr>
              <w:pStyle w:val="Compact"/>
              <w:jc w:val="right"/>
            </w:pPr>
            <w:r>
              <w:t xml:space="preserve">0.42</w:t>
            </w:r>
          </w:p>
        </w:tc>
      </w:tr>
      <w:tr>
        <w:tc>
          <w:tcPr/>
          <w:p>
            <w:pPr>
              <w:pStyle w:val="Compact"/>
              <w:jc w:val="left"/>
            </w:pPr>
            <w:r>
              <w:t xml:space="preserve">(All Conservative MPs)</w:t>
            </w:r>
          </w:p>
        </w:tc>
        <w:tc>
          <w:tcPr/>
          <w:p>
            <w:pPr>
              <w:pStyle w:val="Compact"/>
              <w:jc w:val="right"/>
            </w:pPr>
            <w:r>
              <w:t xml:space="preserve">356</w:t>
            </w:r>
          </w:p>
        </w:tc>
        <w:tc>
          <w:tcPr/>
          <w:p>
            <w:pPr>
              <w:pStyle w:val="Compact"/>
              <w:jc w:val="right"/>
            </w:pPr>
            <w:r>
              <w:t xml:space="preserve">0.01</w:t>
            </w:r>
          </w:p>
        </w:tc>
        <w:tc>
          <w:tcPr/>
          <w:p>
            <w:pPr>
              <w:pStyle w:val="Compact"/>
              <w:jc w:val="right"/>
            </w:pPr>
            <w:r>
              <w:t xml:space="preserve">0.42</w:t>
            </w:r>
          </w:p>
        </w:tc>
      </w:tr>
      <w:tr>
        <w:tc>
          <w:tcPr/>
          <w:p>
            <w:pPr>
              <w:pStyle w:val="Compact"/>
              <w:jc w:val="left"/>
            </w:pPr>
            <w:r>
              <w:t xml:space="preserve">Tory Reform Group</w:t>
            </w:r>
          </w:p>
        </w:tc>
        <w:tc>
          <w:tcPr/>
          <w:p>
            <w:pPr>
              <w:pStyle w:val="Compact"/>
              <w:jc w:val="right"/>
            </w:pPr>
            <w:r>
              <w:t xml:space="preserve">13</w:t>
            </w:r>
          </w:p>
        </w:tc>
        <w:tc>
          <w:tcPr/>
          <w:p>
            <w:pPr>
              <w:pStyle w:val="Compact"/>
              <w:jc w:val="right"/>
            </w:pPr>
            <w:r>
              <w:t xml:space="preserve">-0.18</w:t>
            </w:r>
          </w:p>
        </w:tc>
        <w:tc>
          <w:tcPr/>
          <w:p>
            <w:pPr>
              <w:pStyle w:val="Compact"/>
              <w:jc w:val="right"/>
            </w:pPr>
            <w:r>
              <w:t xml:space="preserve">0.30</w:t>
            </w:r>
          </w:p>
        </w:tc>
      </w:tr>
      <w:tr>
        <w:tc>
          <w:tcPr/>
          <w:p>
            <w:pPr>
              <w:pStyle w:val="Compact"/>
              <w:jc w:val="left"/>
            </w:pPr>
            <w:r>
              <w:t xml:space="preserve">One Nation members</w:t>
            </w:r>
          </w:p>
        </w:tc>
        <w:tc>
          <w:tcPr/>
          <w:p>
            <w:pPr>
              <w:pStyle w:val="Compact"/>
              <w:jc w:val="right"/>
            </w:pPr>
            <w:r>
              <w:t xml:space="preserve">26</w:t>
            </w:r>
          </w:p>
        </w:tc>
        <w:tc>
          <w:tcPr/>
          <w:p>
            <w:pPr>
              <w:pStyle w:val="Compact"/>
              <w:jc w:val="right"/>
            </w:pPr>
            <w:r>
              <w:t xml:space="preserve">-0.20</w:t>
            </w:r>
          </w:p>
        </w:tc>
        <w:tc>
          <w:tcPr/>
          <w:p>
            <w:pPr>
              <w:pStyle w:val="Compact"/>
              <w:jc w:val="right"/>
            </w:pPr>
            <w:r>
              <w:t xml:space="preserve">0.33</w:t>
            </w:r>
          </w:p>
        </w:tc>
      </w:tr>
      <w:tr>
        <w:tc>
          <w:tcPr>
            <w:gridSpan w:val="4"/>
          </w:tcPr>
          <w:p>
            <w:pPr>
              <w:pStyle w:val="Compact"/>
              <w:jc w:val="left"/>
            </w:pPr>
            <w:r>
              <w:rPr>
                <w:bCs/>
                <w:b/>
              </w:rPr>
              <w:t xml:space="preserve">Lab.</w:t>
            </w:r>
          </w:p>
        </w:tc>
      </w:tr>
      <w:tr>
        <w:tc>
          <w:tcPr/>
          <w:p>
            <w:pPr>
              <w:pStyle w:val="Compact"/>
              <w:jc w:val="left"/>
            </w:pPr>
            <w:r>
              <w:t xml:space="preserve">Tribune Group</w:t>
            </w:r>
          </w:p>
        </w:tc>
        <w:tc>
          <w:tcPr/>
          <w:p>
            <w:pPr>
              <w:pStyle w:val="Compact"/>
              <w:jc w:val="right"/>
            </w:pPr>
            <w:r>
              <w:t xml:space="preserve">68</w:t>
            </w:r>
          </w:p>
        </w:tc>
        <w:tc>
          <w:tcPr/>
          <w:p>
            <w:pPr>
              <w:pStyle w:val="Compact"/>
              <w:jc w:val="right"/>
            </w:pPr>
            <w:r>
              <w:t xml:space="preserve">-3.38</w:t>
            </w:r>
          </w:p>
        </w:tc>
        <w:tc>
          <w:tcPr/>
          <w:p>
            <w:pPr>
              <w:pStyle w:val="Compact"/>
              <w:jc w:val="right"/>
            </w:pPr>
            <w:r>
              <w:t xml:space="preserve">0.51</w:t>
            </w:r>
          </w:p>
        </w:tc>
      </w:tr>
      <w:tr>
        <w:tc>
          <w:tcPr/>
          <w:p>
            <w:pPr>
              <w:pStyle w:val="Compact"/>
              <w:jc w:val="left"/>
            </w:pPr>
            <w:r>
              <w:t xml:space="preserve">(All Labour MPs)</w:t>
            </w:r>
          </w:p>
        </w:tc>
        <w:tc>
          <w:tcPr/>
          <w:p>
            <w:pPr>
              <w:pStyle w:val="Compact"/>
              <w:jc w:val="right"/>
            </w:pPr>
            <w:r>
              <w:t xml:space="preserve">191</w:t>
            </w:r>
          </w:p>
        </w:tc>
        <w:tc>
          <w:tcPr/>
          <w:p>
            <w:pPr>
              <w:pStyle w:val="Compact"/>
              <w:jc w:val="right"/>
            </w:pPr>
            <w:r>
              <w:t xml:space="preserve">-3.49</w:t>
            </w:r>
          </w:p>
        </w:tc>
        <w:tc>
          <w:tcPr/>
          <w:p>
            <w:pPr>
              <w:pStyle w:val="Compact"/>
              <w:jc w:val="right"/>
            </w:pPr>
            <w:r>
              <w:t xml:space="preserve">0.58</w:t>
            </w:r>
          </w:p>
        </w:tc>
      </w:tr>
      <w:tr>
        <w:tc>
          <w:tcPr/>
          <w:p>
            <w:pPr>
              <w:pStyle w:val="Compact"/>
              <w:jc w:val="left"/>
            </w:pPr>
            <w:r>
              <w:t xml:space="preserve">Socialist Campaign Group</w:t>
            </w:r>
          </w:p>
        </w:tc>
        <w:tc>
          <w:tcPr/>
          <w:p>
            <w:pPr>
              <w:pStyle w:val="Compact"/>
              <w:jc w:val="right"/>
            </w:pPr>
            <w:r>
              <w:t xml:space="preserve">34</w:t>
            </w:r>
          </w:p>
        </w:tc>
        <w:tc>
          <w:tcPr/>
          <w:p>
            <w:pPr>
              <w:pStyle w:val="Compact"/>
              <w:jc w:val="right"/>
            </w:pPr>
            <w:r>
              <w:t xml:space="preserve">-4.20</w:t>
            </w:r>
          </w:p>
        </w:tc>
        <w:tc>
          <w:tcPr/>
          <w:p>
            <w:pPr>
              <w:pStyle w:val="Compact"/>
              <w:jc w:val="right"/>
            </w:pPr>
            <w:r>
              <w:t xml:space="preserve">0.48</w:t>
            </w:r>
          </w:p>
        </w:tc>
      </w:tr>
    </w:tbl>
    <w:bookmarkEnd w:id="50"/>
    <w:p>
      <w:pPr>
        <w:pStyle w:val="BodyText"/>
      </w:pPr>
      <w:r>
        <w:t xml:space="preserve">We can check convergent validity by comparing our measures with other measures.</w:t>
      </w:r>
      <w:r>
        <w:t xml:space="preserve"> </w:t>
      </w:r>
      <w:r>
        <w:t xml:space="preserve">Hanretty, Lauderdale, and Vivyan (2017)</w:t>
      </w:r>
      <w:r>
        <w:t xml:space="preserve"> </w:t>
      </w:r>
      <w:r>
        <w:t xml:space="preserve">present estimates of the left-right positions of 441 MPs who signed early day motions relating to the economy in the 2010 to 2015 parliament. Of these MPs, 164 also feature in our data. The correlation between the two measures is extremely high (</w:t>
      </w:r>
      <m:oMath>
        <m:r>
          <m:t>r</m:t>
        </m:r>
        <m:r>
          <m:rPr>
            <m:sty m:val="p"/>
          </m:rPr>
          <m:t>=</m:t>
        </m:r>
        <m:r>
          <m:t>0.94</m:t>
        </m:r>
      </m:oMath>
      <w:r>
        <w:t xml:space="preserve">).</w:t>
      </w:r>
    </w:p>
    <w:bookmarkEnd w:id="51"/>
    <w:bookmarkStart w:id="52" w:name="conclusions"/>
    <w:p>
      <w:pPr>
        <w:pStyle w:val="Heading1"/>
      </w:pPr>
      <w:r>
        <w:t xml:space="preserve">Conclusions</w:t>
      </w:r>
    </w:p>
    <w:p>
      <w:pPr>
        <w:pStyle w:val="FirstParagraph"/>
      </w:pPr>
      <w:r>
        <w:t xml:space="preserve">In this note, we have presented estimates of the economic left-right</w:t>
      </w:r>
      <w:r>
        <w:t xml:space="preserve"> </w:t>
      </w:r>
      <w:r>
        <w:t xml:space="preserve">position of almost all MPs serving in the 2019-2024 House of</w:t>
      </w:r>
      <w:r>
        <w:t xml:space="preserve"> </w:t>
      </w:r>
      <w:r>
        <w:t xml:space="preserve">Commons. Our estimates therefore have greater coverage than any</w:t>
      </w:r>
      <w:r>
        <w:t xml:space="preserve"> </w:t>
      </w:r>
      <w:r>
        <w:t xml:space="preserve">previous set of estimates. In future we hope to achieve a degree of</w:t>
      </w:r>
      <w:r>
        <w:t xml:space="preserve"> </w:t>
      </w:r>
      <w:r>
        <w:t xml:space="preserve">temporal coverage by repeating this exercise for future</w:t>
      </w:r>
      <w:r>
        <w:t xml:space="preserve"> </w:t>
      </w:r>
      <w:r>
        <w:t xml:space="preserve">parliaments. The estimates, which are available online at REFERENCE</w:t>
      </w:r>
      <w:r>
        <w:t xml:space="preserve"> </w:t>
      </w:r>
      <w:r>
        <w:t xml:space="preserve">REMOVED, should help researchers interested in many different aspects</w:t>
      </w:r>
      <w:r>
        <w:t xml:space="preserve"> </w:t>
      </w:r>
      <w:r>
        <w:t xml:space="preserve">of legislative and party behaviour.</w:t>
      </w:r>
    </w:p>
    <w:bookmarkEnd w:id="52"/>
    <w:bookmarkStart w:id="66" w:name="references"/>
    <w:p>
      <w:pPr>
        <w:pStyle w:val="Heading1"/>
      </w:pPr>
      <w:r>
        <w:t xml:space="preserve">References</w:t>
      </w:r>
    </w:p>
    <w:bookmarkStart w:id="65" w:name="refs"/>
    <w:bookmarkStart w:id="53" w:name="ref-breunig2021measuring"/>
    <w:p>
      <w:pPr>
        <w:pStyle w:val="Bibliography"/>
      </w:pPr>
      <w:r>
        <w:t xml:space="preserve">Breunig, C, B Guinaudeau, and S Roth. 2021.</w:t>
      </w:r>
      <w:r>
        <w:t xml:space="preserve"> </w:t>
      </w:r>
      <w:r>
        <w:t xml:space="preserve">“Measuring Legislators’ Ideological Position Using Pairwise-Comparisons.”</w:t>
      </w:r>
      <w:r>
        <w:t xml:space="preserve"> </w:t>
      </w:r>
      <w:r>
        <w:t xml:space="preserve">Working paper.</w:t>
      </w:r>
    </w:p>
    <w:bookmarkEnd w:id="53"/>
    <w:bookmarkStart w:id="54" w:name="ref-burkner2019ordinal"/>
    <w:p>
      <w:pPr>
        <w:pStyle w:val="Bibliography"/>
      </w:pPr>
      <w:r>
        <w:t xml:space="preserve">Bürkner, Paul-Christian, and Matti Vuorre. 2019.</w:t>
      </w:r>
      <w:r>
        <w:t xml:space="preserve"> </w:t>
      </w:r>
      <w:r>
        <w:t xml:space="preserve">“Ordinal Regression Models in Psychology: A Tutorial.”</w:t>
      </w:r>
      <w:r>
        <w:t xml:space="preserve"> </w:t>
      </w:r>
      <w:r>
        <w:rPr>
          <w:iCs/>
          <w:i/>
        </w:rPr>
        <w:t xml:space="preserve">Advances in Methods and Practices in Psychological Science</w:t>
      </w:r>
      <w:r>
        <w:t xml:space="preserve"> </w:t>
      </w:r>
      <w:r>
        <w:t xml:space="preserve">2 (1): 77–101.</w:t>
      </w:r>
    </w:p>
    <w:bookmarkEnd w:id="54"/>
    <w:bookmarkStart w:id="55" w:name="ref-catalinac2018positioning"/>
    <w:p>
      <w:pPr>
        <w:pStyle w:val="Bibliography"/>
      </w:pPr>
      <w:r>
        <w:t xml:space="preserve">Catalinac, Amy. 2018.</w:t>
      </w:r>
      <w:r>
        <w:t xml:space="preserve"> </w:t>
      </w:r>
      <w:r>
        <w:t xml:space="preserve">“Positioning Under Alternative Electoral Systems: Evidence from</w:t>
      </w:r>
      <w:r>
        <w:t xml:space="preserve"> </w:t>
      </w:r>
      <w:r>
        <w:t xml:space="preserve">J</w:t>
      </w:r>
      <w:r>
        <w:t xml:space="preserve">apanese Candidate Election Manifestos.”</w:t>
      </w:r>
      <w:r>
        <w:t xml:space="preserve"> </w:t>
      </w:r>
      <w:r>
        <w:rPr>
          <w:iCs/>
          <w:i/>
        </w:rPr>
        <w:t xml:space="preserve">American Political Science Review</w:t>
      </w:r>
      <w:r>
        <w:t xml:space="preserve"> </w:t>
      </w:r>
      <w:r>
        <w:t xml:space="preserve">112 (1): 31–48.</w:t>
      </w:r>
    </w:p>
    <w:bookmarkEnd w:id="55"/>
    <w:bookmarkStart w:id="57" w:name="ref-christensen2019clm"/>
    <w:p>
      <w:pPr>
        <w:pStyle w:val="Bibliography"/>
      </w:pPr>
      <w:r>
        <w:t xml:space="preserve">Christensen, Rune Haubo B. 2019.</w:t>
      </w:r>
      <w:r>
        <w:t xml:space="preserve"> </w:t>
      </w:r>
      <w:hyperlink r:id="rId56">
        <w:r>
          <w:rPr>
            <w:rStyle w:val="Hyperlink"/>
          </w:rPr>
          <w:t xml:space="preserve">https://cran.r-project.org/web/packages/ordinal/vignettes/clm_article.pdf</w:t>
        </w:r>
      </w:hyperlink>
      <w:r>
        <w:t xml:space="preserve">.</w:t>
      </w:r>
    </w:p>
    <w:bookmarkEnd w:id="57"/>
    <w:bookmarkStart w:id="58" w:name="ref-hanretty2017dyadic"/>
    <w:p>
      <w:pPr>
        <w:pStyle w:val="Bibliography"/>
      </w:pPr>
      <w:r>
        <w:t xml:space="preserve">Hanretty, Chris, Benjamin E Lauderdale, and Nick Vivyan. 2017.</w:t>
      </w:r>
      <w:r>
        <w:t xml:space="preserve"> </w:t>
      </w:r>
      <w:r>
        <w:t xml:space="preserve">“Dyadic Representation in a</w:t>
      </w:r>
      <w:r>
        <w:t xml:space="preserve"> </w:t>
      </w:r>
      <w:r>
        <w:t xml:space="preserve">W</w:t>
      </w:r>
      <w:r>
        <w:t xml:space="preserve">estminster System.”</w:t>
      </w:r>
      <w:r>
        <w:t xml:space="preserve"> </w:t>
      </w:r>
      <w:r>
        <w:rPr>
          <w:iCs/>
          <w:i/>
        </w:rPr>
        <w:t xml:space="preserve">Legislative Studies Quarterly</w:t>
      </w:r>
      <w:r>
        <w:t xml:space="preserve"> </w:t>
      </w:r>
      <w:r>
        <w:t xml:space="preserve">42 (2): 235–67.</w:t>
      </w:r>
    </w:p>
    <w:bookmarkEnd w:id="58"/>
    <w:bookmarkStart w:id="59" w:name="ref-heppell2013cameron"/>
    <w:p>
      <w:pPr>
        <w:pStyle w:val="Bibliography"/>
      </w:pPr>
      <w:r>
        <w:t xml:space="preserve">Heppell, Timothy. 2013.</w:t>
      </w:r>
      <w:r>
        <w:t xml:space="preserve"> </w:t>
      </w:r>
      <w:r>
        <w:t xml:space="preserve">“Cameron and Liberal Conservatism: Attitudes Within the Parliamentary</w:t>
      </w:r>
      <w:r>
        <w:t xml:space="preserve"> </w:t>
      </w:r>
      <w:r>
        <w:t xml:space="preserve">C</w:t>
      </w:r>
      <w:r>
        <w:t xml:space="preserve">onservative Party and</w:t>
      </w:r>
      <w:r>
        <w:t xml:space="preserve"> </w:t>
      </w:r>
      <w:r>
        <w:t xml:space="preserve">C</w:t>
      </w:r>
      <w:r>
        <w:t xml:space="preserve">onservative Ministers.”</w:t>
      </w:r>
      <w:r>
        <w:t xml:space="preserve"> </w:t>
      </w:r>
      <w:r>
        <w:rPr>
          <w:iCs/>
          <w:i/>
        </w:rPr>
        <w:t xml:space="preserve">The British Journal of Politics and International Relations</w:t>
      </w:r>
      <w:r>
        <w:t xml:space="preserve"> </w:t>
      </w:r>
      <w:r>
        <w:t xml:space="preserve">15 (3): 340–61.</w:t>
      </w:r>
    </w:p>
    <w:bookmarkEnd w:id="59"/>
    <w:bookmarkStart w:id="60" w:name="ref-johnson2003use"/>
    <w:p>
      <w:pPr>
        <w:pStyle w:val="Bibliography"/>
      </w:pPr>
      <w:r>
        <w:t xml:space="preserve">Johnson, Timothy R. 2003.</w:t>
      </w:r>
      <w:r>
        <w:t xml:space="preserve"> </w:t>
      </w:r>
      <w:r>
        <w:t xml:space="preserve">“On the Use of Heterogeneous Thresholds Ordinal Regression Models to Account for Individual Differences in Response Style.”</w:t>
      </w:r>
      <w:r>
        <w:t xml:space="preserve"> </w:t>
      </w:r>
      <w:r>
        <w:rPr>
          <w:iCs/>
          <w:i/>
        </w:rPr>
        <w:t xml:space="preserve">Psychometrika</w:t>
      </w:r>
      <w:r>
        <w:t xml:space="preserve"> </w:t>
      </w:r>
      <w:r>
        <w:t xml:space="preserve">68: 563–83.</w:t>
      </w:r>
    </w:p>
    <w:bookmarkEnd w:id="60"/>
    <w:bookmarkStart w:id="61" w:name="ref-kellermann2012estimating"/>
    <w:p>
      <w:pPr>
        <w:pStyle w:val="Bibliography"/>
      </w:pPr>
      <w:r>
        <w:t xml:space="preserve">Kellermann, Michael. 2012.</w:t>
      </w:r>
      <w:r>
        <w:t xml:space="preserve"> </w:t>
      </w:r>
      <w:r>
        <w:t xml:space="preserve">“Estimating Ideal Points in the</w:t>
      </w:r>
      <w:r>
        <w:t xml:space="preserve"> </w:t>
      </w:r>
      <w:r>
        <w:t xml:space="preserve">B</w:t>
      </w:r>
      <w:r>
        <w:t xml:space="preserve">ritish</w:t>
      </w:r>
      <w:r>
        <w:t xml:space="preserve"> </w:t>
      </w:r>
      <w:r>
        <w:t xml:space="preserve">H</w:t>
      </w:r>
      <w:r>
        <w:t xml:space="preserve">ouse of</w:t>
      </w:r>
      <w:r>
        <w:t xml:space="preserve"> </w:t>
      </w:r>
      <w:r>
        <w:t xml:space="preserve">C</w:t>
      </w:r>
      <w:r>
        <w:t xml:space="preserve">ommons Using Early Day Motions.”</w:t>
      </w:r>
      <w:r>
        <w:t xml:space="preserve"> </w:t>
      </w:r>
      <w:r>
        <w:rPr>
          <w:iCs/>
          <w:i/>
        </w:rPr>
        <w:t xml:space="preserve">American Journal of Political Science</w:t>
      </w:r>
      <w:r>
        <w:t xml:space="preserve"> </w:t>
      </w:r>
      <w:r>
        <w:t xml:space="preserve">56 (3): 757–71.</w:t>
      </w:r>
    </w:p>
    <w:bookmarkEnd w:id="61"/>
    <w:bookmarkStart w:id="62" w:name="ref-lauderdale2016measuring"/>
    <w:p>
      <w:pPr>
        <w:pStyle w:val="Bibliography"/>
      </w:pPr>
      <w:r>
        <w:t xml:space="preserve">Lauderdale, Benjamin E, and Alexander Herzog. 2016.</w:t>
      </w:r>
      <w:r>
        <w:t xml:space="preserve"> </w:t>
      </w:r>
      <w:r>
        <w:t xml:space="preserve">“Measuring Political Positions from Legislative Speech.”</w:t>
      </w:r>
      <w:r>
        <w:t xml:space="preserve"> </w:t>
      </w:r>
      <w:r>
        <w:rPr>
          <w:iCs/>
          <w:i/>
        </w:rPr>
        <w:t xml:space="preserve">Political Analysis</w:t>
      </w:r>
      <w:r>
        <w:t xml:space="preserve"> </w:t>
      </w:r>
      <w:r>
        <w:t xml:space="preserve">24 (3): 374–94.</w:t>
      </w:r>
    </w:p>
    <w:bookmarkEnd w:id="62"/>
    <w:bookmarkStart w:id="63" w:name="ref-o2022transformation"/>
    <w:p>
      <w:pPr>
        <w:pStyle w:val="Bibliography"/>
      </w:pPr>
      <w:r>
        <w:t xml:space="preserve">O’Grady, Tom. 2022.</w:t>
      </w:r>
      <w:r>
        <w:t xml:space="preserve"> </w:t>
      </w:r>
      <w:r>
        <w:rPr>
          <w:iCs/>
          <w:i/>
        </w:rPr>
        <w:t xml:space="preserve">The Transformation of</w:t>
      </w:r>
      <w:r>
        <w:rPr>
          <w:iCs/>
          <w:i/>
        </w:rPr>
        <w:t xml:space="preserve"> </w:t>
      </w:r>
      <w:r>
        <w:rPr>
          <w:iCs/>
          <w:i/>
        </w:rPr>
        <w:t xml:space="preserve">B</w:t>
      </w:r>
      <w:r>
        <w:rPr>
          <w:iCs/>
          <w:i/>
        </w:rPr>
        <w:t xml:space="preserve">ritish Welfare Policy: Politics, Discourse, and Public Opinion</w:t>
      </w:r>
      <w:r>
        <w:t xml:space="preserve">. Oxford University Press.</w:t>
      </w:r>
    </w:p>
    <w:bookmarkEnd w:id="63"/>
    <w:bookmarkStart w:id="64" w:name="ref-spirling2007uk"/>
    <w:p>
      <w:pPr>
        <w:pStyle w:val="Bibliography"/>
      </w:pPr>
      <w:r>
        <w:t xml:space="preserve">Spirling, Arthur, and Iain McLean. 2007.</w:t>
      </w:r>
      <w:r>
        <w:t xml:space="preserve"> </w:t>
      </w:r>
      <w:r>
        <w:t xml:space="preserve">“</w:t>
      </w:r>
      <w:r>
        <w:t xml:space="preserve">UK OC OK</w:t>
      </w:r>
      <w:r>
        <w:t xml:space="preserve">? Interpreting Optimal Classification Scores for the</w:t>
      </w:r>
      <w:r>
        <w:t xml:space="preserve"> </w:t>
      </w:r>
      <w:r>
        <w:t xml:space="preserve">UK</w:t>
      </w:r>
      <w:r>
        <w:t xml:space="preserve"> </w:t>
      </w:r>
      <w:r>
        <w:t xml:space="preserve">H</w:t>
      </w:r>
      <w:r>
        <w:t xml:space="preserve">ouse of</w:t>
      </w:r>
      <w:r>
        <w:t xml:space="preserve"> </w:t>
      </w:r>
      <w:r>
        <w:t xml:space="preserve">C</w:t>
      </w:r>
      <w:r>
        <w:t xml:space="preserve">ommons.”</w:t>
      </w:r>
      <w:r>
        <w:t xml:space="preserve"> </w:t>
      </w:r>
      <w:r>
        <w:rPr>
          <w:iCs/>
          <w:i/>
        </w:rPr>
        <w:t xml:space="preserve">Political Analysis</w:t>
      </w:r>
      <w:r>
        <w:t xml:space="preserve"> </w:t>
      </w:r>
      <w:r>
        <w:t xml:space="preserve">15 (1): 85–96.</w:t>
      </w:r>
    </w:p>
    <w:bookmarkEnd w:id="64"/>
    <w:bookmarkEnd w:id="65"/>
    <w:bookmarkEnd w:id="66"/>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Some non-strategic legislative behaviours can be analysed</w:t>
      </w:r>
      <w:r>
        <w:t xml:space="preserve"> </w:t>
      </w:r>
      <w:r>
        <w:t xml:space="preserve">(Kellermann 2012)</w:t>
      </w:r>
      <w:r>
        <w:t xml:space="preserve">, but these are becoming less popular</w:t>
      </w:r>
      <w:r>
        <w:t xml:space="preserve"> </w:t>
      </w:r>
      <w:r>
        <w:t xml:space="preserve">(and thus less informative)</w:t>
      </w:r>
    </w:p>
  </w:footnote>
  <w:footnote w:id="21">
    <w:p>
      <w:pPr>
        <w:pStyle w:val="FootnoteText"/>
      </w:pPr>
      <w:r>
        <w:rPr>
          <w:rStyle w:val="FootnoteReference"/>
        </w:rPr>
        <w:footnoteRef/>
      </w:r>
      <w:r>
        <w:t xml:space="preserve"> </w:t>
      </w:r>
      <w:r>
        <w:t xml:space="preserve">Latent positions on specific issues can be recovered, but</w:t>
      </w:r>
      <w:r>
        <w:t xml:space="preserve"> </w:t>
      </w:r>
      <w:r>
        <w:t xml:space="preserve">this requires a careful selection both of texts and reference</w:t>
      </w:r>
      <w:r>
        <w:t xml:space="preserve"> </w:t>
      </w:r>
      <w:r>
        <w:t xml:space="preserve">points. See</w:t>
      </w:r>
      <w:r>
        <w:t xml:space="preserve"> </w:t>
      </w:r>
      <w:r>
        <w:t xml:space="preserve">O’Grady (2022)</w:t>
      </w:r>
      <w:r>
        <w:t xml:space="preserve">.</w:t>
      </w:r>
    </w:p>
  </w:footnote>
  <w:footnote w:id="22">
    <w:p>
      <w:pPr>
        <w:pStyle w:val="FootnoteText"/>
      </w:pPr>
      <w:r>
        <w:rPr>
          <w:rStyle w:val="FootnoteReference"/>
        </w:rPr>
        <w:footnoteRef/>
      </w:r>
      <w:r>
        <w:t xml:space="preserve"> </w:t>
      </w:r>
      <w:r>
        <w:t xml:space="preserve">Theresa May was elected Conservative party leader without a</w:t>
      </w:r>
      <w:r>
        <w:t xml:space="preserve"> </w:t>
      </w:r>
      <w:r>
        <w:t xml:space="preserve">membership vote after four ballots of Conservative MPs; Boris</w:t>
      </w:r>
      <w:r>
        <w:t xml:space="preserve"> </w:t>
      </w:r>
      <w:r>
        <w:t xml:space="preserve">Johnson became leader by beating Jeremy Hunt in a membership vote</w:t>
      </w:r>
      <w:r>
        <w:t xml:space="preserve"> </w:t>
      </w:r>
      <w:r>
        <w:t xml:space="preserve">after eight other candidates were eliminated by MPs; Liz Truss</w:t>
      </w:r>
      <w:r>
        <w:t xml:space="preserve"> </w:t>
      </w:r>
      <w:r>
        <w:t xml:space="preserve">became leader by beating Rishi Sunak in a membership vote after</w:t>
      </w:r>
      <w:r>
        <w:t xml:space="preserve"> </w:t>
      </w:r>
      <w:r>
        <w:t xml:space="preserve">six other candidates were eliminated by MPs; Rishi Sunak</w:t>
      </w:r>
      <w:r>
        <w:t xml:space="preserve"> </w:t>
      </w:r>
      <w:r>
        <w:t xml:space="preserve">subsequently became leader without any membership vote or ballot</w:t>
      </w:r>
      <w:r>
        <w:t xml:space="preserve"> </w:t>
      </w:r>
      <w:r>
        <w:t xml:space="preserve">amongst MPs.</w:t>
      </w:r>
    </w:p>
  </w:footnote>
  <w:footnote w:id="24">
    <w:p>
      <w:pPr>
        <w:pStyle w:val="FootnoteText"/>
      </w:pPr>
      <w:r>
        <w:rPr>
          <w:rStyle w:val="FootnoteReference"/>
        </w:rPr>
        <w:footnoteRef/>
      </w:r>
      <w:r>
        <w:t xml:space="preserve"> </w:t>
      </w:r>
      <w:r>
        <w:t xml:space="preserve">These were: Dehenna DAVISON (Bishop Auckland, Cons.);</w:t>
      </w:r>
      <w:r>
        <w:t xml:space="preserve"> </w:t>
      </w:r>
      <w:r>
        <w:t xml:space="preserve">Grahame MORRIS (Easington, Lab.); Kevan JONES (North Durham,</w:t>
      </w:r>
      <w:r>
        <w:t xml:space="preserve"> </w:t>
      </w:r>
      <w:r>
        <w:t xml:space="preserve">Lab.); Mary FOY (City of Durham, Lab.); Paul HOWELL (Sedgefield,</w:t>
      </w:r>
      <w:r>
        <w:t xml:space="preserve"> </w:t>
      </w:r>
      <w:r>
        <w:t xml:space="preserve">Cons.); Richard HOLDEN (North West Durham, Cons.).</w:t>
      </w:r>
    </w:p>
  </w:footnote>
  <w:footnote w:id="28">
    <w:p>
      <w:pPr>
        <w:pStyle w:val="FootnoteText"/>
      </w:pPr>
      <w:r>
        <w:rPr>
          <w:rStyle w:val="FootnoteReference"/>
        </w:rPr>
        <w:footnoteRef/>
      </w:r>
      <w:r>
        <w:t xml:space="preserve"> </w:t>
      </w:r>
      <w:r>
        <w:t xml:space="preserve">The</w:t>
      </w:r>
      <w:r>
        <w:t xml:space="preserve"> </w:t>
      </w:r>
      <w:r>
        <w:rPr>
          <w:iCs/>
          <w:i/>
        </w:rPr>
        <w:t xml:space="preserve">responses</w:t>
      </w:r>
      <w:r>
        <w:t xml:space="preserve"> </w:t>
      </w:r>
      <w:r>
        <w:t xml:space="preserve">need not be symmetric: respondents may</w:t>
      </w:r>
      <w:r>
        <w:t xml:space="preserve"> </w:t>
      </w:r>
      <w:r>
        <w:t xml:space="preserve">systematically be more likely to choose the second-named MP, but</w:t>
      </w:r>
      <w:r>
        <w:t xml:space="preserve"> </w:t>
      </w:r>
      <w:r>
        <w:t xml:space="preserve">this can happen thanks to changes in the values of parameters</w:t>
      </w:r>
      <w:r>
        <w:t xml:space="preserve"> </w:t>
      </w:r>
      <m:oMath>
        <m:sSubSup>
          <m:e>
            <m:r>
              <m:t>τ</m:t>
            </m:r>
          </m:e>
          <m:sub>
            <m:r>
              <m:t>1</m:t>
            </m:r>
          </m:sub>
          <m:sup>
            <m:r>
              <m:rPr>
                <m:sty m:val="p"/>
              </m:rPr>
              <m:t>*</m:t>
            </m:r>
          </m:sup>
        </m:sSubSup>
      </m:oMath>
      <w:r>
        <w:t xml:space="preserve"> </w:t>
      </w:r>
      <w:r>
        <w:t xml:space="preserve">and</w:t>
      </w:r>
      <w:r>
        <w:t xml:space="preserve"> </w:t>
      </w:r>
      <m:oMath>
        <m:sSub>
          <m:e>
            <m:r>
              <m:t>δ</m:t>
            </m:r>
          </m:e>
          <m:sub>
            <m:r>
              <m:t>2</m:t>
            </m:r>
          </m:sub>
        </m:sSub>
      </m:oMath>
      <w:r>
        <w:t xml:space="preserve"> </w:t>
      </w:r>
      <w:r>
        <w:t xml:space="preserve">rather than breaking the symmetry</w:t>
      </w:r>
      <w:r>
        <w:t xml:space="preserve"> </w:t>
      </w:r>
      <w:r>
        <w:t xml:space="preserve">between</w:t>
      </w:r>
      <w:r>
        <w:t xml:space="preserve"> </w:t>
      </w:r>
      <m:oMath>
        <m:r>
          <m:rPr>
            <m:sty m:val="p"/>
          </m:rPr>
          <m:t>|</m:t>
        </m:r>
        <m:sSub>
          <m:e>
            <m:r>
              <m:t>τ</m:t>
            </m:r>
          </m:e>
          <m:sub>
            <m:r>
              <m:t>2</m:t>
            </m:r>
          </m:sub>
        </m:sSub>
        <m:r>
          <m:rPr>
            <m:sty m:val="p"/>
          </m:rPr>
          <m:t>−</m:t>
        </m:r>
        <m:sSub>
          <m:e>
            <m:r>
              <m:t>τ</m:t>
            </m:r>
          </m:e>
          <m:sub>
            <m:r>
              <m:t>1</m:t>
            </m:r>
          </m:sub>
        </m:sSub>
        <m:r>
          <m:rPr>
            <m:sty m:val="p"/>
          </m:rPr>
          <m:t>|</m:t>
        </m:r>
      </m:oMath>
      <w:r>
        <w:t xml:space="preserve"> </w:t>
      </w:r>
      <w:r>
        <w:t xml:space="preserve">and</w:t>
      </w:r>
      <w:r>
        <w:t xml:space="preserve"> </w:t>
      </w:r>
      <m:oMath>
        <m:r>
          <m:rPr>
            <m:sty m:val="p"/>
          </m:rPr>
          <m:t>|</m:t>
        </m:r>
        <m:sSub>
          <m:e>
            <m:r>
              <m:t>τ</m:t>
            </m:r>
          </m:e>
          <m:sub>
            <m:r>
              <m:t>4</m:t>
            </m:r>
          </m:sub>
        </m:sSub>
        <m:r>
          <m:rPr>
            <m:sty m:val="p"/>
          </m:rPr>
          <m:t>−</m:t>
        </m:r>
        <m:sSub>
          <m:e>
            <m:r>
              <m:t>τ</m:t>
            </m:r>
          </m:e>
          <m:sub>
            <m:r>
              <m:t>3</m:t>
            </m:r>
          </m:sub>
        </m:sSub>
        <m:r>
          <m:rPr>
            <m:sty m:val="p"/>
          </m:rPr>
          <m:t>|</m:t>
        </m:r>
      </m:oMath>
      <w:r>
        <w:t xml:space="preserve">.</w:t>
      </w:r>
    </w:p>
  </w:footnote>
  <w:footnote w:id="34">
    <w:p>
      <w:pPr>
        <w:pStyle w:val="FootnoteText"/>
      </w:pPr>
      <w:r>
        <w:rPr>
          <w:rStyle w:val="FootnoteReference"/>
        </w:rPr>
        <w:footnoteRef/>
      </w:r>
      <w:r>
        <w:t xml:space="preserve"> </w:t>
      </w:r>
      <w:r>
        <w:t xml:space="preserve">In principle it would be possible to add additional predictors such as region or lagged vote share. In practice some additional predictors such as region overlap perfectly with membership in a particular party (Scottish National Party, Plaid Cymru), or otherwise introduced problems with convergence.</w:t>
      </w:r>
    </w:p>
  </w:footnote>
  <w:footnote w:id="41">
    <w:p>
      <w:pPr>
        <w:pStyle w:val="FootnoteText"/>
      </w:pPr>
      <w:r>
        <w:rPr>
          <w:rStyle w:val="FootnoteReference"/>
        </w:rPr>
        <w:footnoteRef/>
      </w:r>
      <w:r>
        <w:t xml:space="preserve"> </w:t>
      </w:r>
      <w:r>
        <w:t xml:space="preserve">William Tuohy,</w:t>
      </w:r>
      <w:r>
        <w:t xml:space="preserve"> </w:t>
      </w:r>
      <w:r>
        <w:t xml:space="preserve">“</w:t>
      </w:r>
      <w:r>
        <w:t xml:space="preserve">Cool, Aloof John Redwood Adds Fire to British Politics</w:t>
      </w:r>
      <w:r>
        <w:t xml:space="preserve">”</w:t>
      </w:r>
      <w:r>
        <w:t xml:space="preserve">,</w:t>
      </w:r>
      <w:r>
        <w:t xml:space="preserve"> </w:t>
      </w:r>
      <w:r>
        <w:rPr>
          <w:iCs/>
          <w:i/>
        </w:rPr>
        <w:t xml:space="preserve">Los Angeles Times</w:t>
      </w:r>
      <w:r>
        <w:t xml:space="preserve">, 29th June 1995, accessed at</w:t>
      </w:r>
      <w:r>
        <w:t xml:space="preserve"> </w:t>
      </w:r>
      <w:hyperlink r:id="rId42">
        <w:r>
          <w:rPr>
            <w:rStyle w:val="Hyperlink"/>
          </w:rPr>
          <w:t xml:space="preserve">https://www.latimes.com/archives/la-xpm-1995-06-29-mn-18536-story.html</w:t>
        </w:r>
      </w:hyperlink>
    </w:p>
  </w:footnote>
  <w:footnote w:id="43">
    <w:p>
      <w:pPr>
        <w:pStyle w:val="FootnoteText"/>
      </w:pPr>
      <w:r>
        <w:rPr>
          <w:rStyle w:val="FootnoteReference"/>
        </w:rPr>
        <w:footnoteRef/>
      </w:r>
      <w:r>
        <w:t xml:space="preserve"> </w:t>
      </w:r>
      <w:r>
        <w:t xml:space="preserve">Jason Cowley,</w:t>
      </w:r>
      <w:r>
        <w:t xml:space="preserve"> </w:t>
      </w:r>
      <w:r>
        <w:t xml:space="preserve">“</w:t>
      </w:r>
      <w:r>
        <w:t xml:space="preserve">Who is the real John McDonnell?</w:t>
      </w:r>
      <w:r>
        <w:t xml:space="preserve">”</w:t>
      </w:r>
      <w:r>
        <w:t xml:space="preserve">,</w:t>
      </w:r>
      <w:r>
        <w:t xml:space="preserve"> </w:t>
      </w:r>
      <w:r>
        <w:rPr>
          <w:iCs/>
          <w:i/>
        </w:rPr>
        <w:t xml:space="preserve">New Statesman</w:t>
      </w:r>
      <w:r>
        <w:t xml:space="preserve">, 5th September 2018, accessed at</w:t>
      </w:r>
      <w:r>
        <w:t xml:space="preserve"> </w:t>
      </w:r>
      <w:hyperlink r:id="rId44">
        <w:r>
          <w:rPr>
            <w:rStyle w:val="Hyperlink"/>
          </w:rPr>
          <w:t xml:space="preserve">https://www.newstatesman.com/long-reads/2018/09/who-real-john-mcdonnell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hyperlink" Id="rId56" Target="https://cran.r-project.org/web/packages/ordinal/vignettes/clm_article.pdf" TargetMode="External" /><Relationship Type="http://schemas.openxmlformats.org/officeDocument/2006/relationships/hyperlink" Id="rId42" Target="https://www.latimes.com/archives/la-xpm-1995-06-29-mn-18536-story.html" TargetMode="External" /><Relationship Type="http://schemas.openxmlformats.org/officeDocument/2006/relationships/hyperlink" Id="rId44" Target="https://www.newstatesman.com/long-reads/2018/09/who-real-john-mcdonnell" TargetMode="External" /></Relationships>
</file>

<file path=word/_rels/footnotes.xml.rels><?xml version="1.0" encoding="UTF-8"?><Relationships xmlns="http://schemas.openxmlformats.org/package/2006/relationships"><Relationship Type="http://schemas.openxmlformats.org/officeDocument/2006/relationships/hyperlink" Id="rId56" Target="https://cran.r-project.org/web/packages/ordinal/vignettes/clm_article.pdf" TargetMode="External" /><Relationship Type="http://schemas.openxmlformats.org/officeDocument/2006/relationships/hyperlink" Id="rId42" Target="https://www.latimes.com/archives/la-xpm-1995-06-29-mn-18536-story.html" TargetMode="External" /><Relationship Type="http://schemas.openxmlformats.org/officeDocument/2006/relationships/hyperlink" Id="rId44" Target="https://www.newstatesman.com/long-reads/2018/09/who-real-john-mcdonn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left-right positions of British MPs inferred from a survey of local councillors</dc:title>
  <dc:creator>Chris Hanretty; Vasil Lazarov</dc:creator>
  <cp:keywords>expert survey, ideal points, ordinal regression</cp:keywords>
  <dcterms:created xsi:type="dcterms:W3CDTF">2023-09-29T10:49:46Z</dcterms:created>
  <dcterms:modified xsi:type="dcterms:W3CDTF">2023-09-29T10:49:46Z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present local councillors in England, Wales and Scotland with pairwise comparisons between MPs in their local area and two anchor MPs and ask them to identify the more left-wing MP on economic issues. We infer MPs’ positions on the left-right dimension from the responses to these pairwise choices. The estimates of MPs’ positions have good face validity, and can be used to study the effects of MPs’ position on behaviour in the party and in the legislature.</vt:lpwstr>
  </property>
  <property fmtid="{D5CDD505-2E9C-101B-9397-08002B2CF9AE}" pid="3" name="additional-info">
    <vt:lpwstr>We have no known conflict of interest to disclose.</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biblio.bib</vt:lpwstr>
  </property>
  <property fmtid="{D5CDD505-2E9C-101B-9397-08002B2CF9AE}" pid="8" name="by-affiliation">
    <vt:lpwstr/>
  </property>
  <property fmtid="{D5CDD505-2E9C-101B-9397-08002B2CF9AE}" pid="9" name="by-author">
    <vt:lpwstr/>
  </property>
  <property fmtid="{D5CDD505-2E9C-101B-9397-08002B2CF9AE}" pid="10" name="code-repo">
    <vt:lpwstr>Access the code, data, and analysis at &lt;&gt;</vt:lpwstr>
  </property>
  <property fmtid="{D5CDD505-2E9C-101B-9397-08002B2CF9AE}" pid="11" name="correspondence-prefix">
    <vt:lpwstr>Correspondence concerning this article should be addressed to</vt:lpwstr>
  </property>
  <property fmtid="{D5CDD505-2E9C-101B-9397-08002B2CF9AE}" pid="12" name="date">
    <vt:lpwstr>Thursday, September 28, 2023</vt:lpwstr>
  </property>
  <property fmtid="{D5CDD505-2E9C-101B-9397-08002B2CF9AE}" pid="13" name="date-format">
    <vt:lpwstr>full</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mainfont">
    <vt:lpwstr>TeX Gyre Pagella</vt:lpwstr>
  </property>
  <property fmtid="{D5CDD505-2E9C-101B-9397-08002B2CF9AE}" pid="21" name="published">
    <vt:lpwstr>Working paper</vt:lpwstr>
  </property>
  <property fmtid="{D5CDD505-2E9C-101B-9397-08002B2CF9AE}" pid="22" name="revealjs-plugins">
    <vt:lpwstr/>
  </property>
  <property fmtid="{D5CDD505-2E9C-101B-9397-08002B2CF9AE}" pid="23" name="sansfont">
    <vt:lpwstr>TeX Gyre Heros</vt:lpwstr>
  </property>
  <property fmtid="{D5CDD505-2E9C-101B-9397-08002B2CF9AE}" pid="24" name="thanks">
    <vt:lpwstr>Thanks to Survation for hosting these questions on their omnibus survey of local councillors. Particular thanks to David Izamoje for setting up the script seen by councillors.</vt:lpwstr>
  </property>
  <property fmtid="{D5CDD505-2E9C-101B-9397-08002B2CF9AE}" pid="25" name="toc-title">
    <vt:lpwstr>Table of contents</vt:lpwstr>
  </property>
</Properties>
</file>