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Georgia" w:hAnsi="Georgia"/>
          <w:b/>
          <w:color w:val="0D1B2A"/>
          <w:sz w:val="60"/>
        </w:rPr>
        <w:t>The Hidden Market for Consulting Work</w:t>
      </w:r>
    </w:p>
    <w:p>
      <w:pPr>
        <w:spacing w:before="200"/>
      </w:pPr>
      <w:r>
        <w:rPr>
          <w:rFonts w:ascii="Georgia" w:hAnsi="Georgia"/>
          <w:i/>
          <w:color w:val="55637A"/>
          <w:sz w:val="26"/>
        </w:rPr>
        <w:t>What 739 EMEA Transactions Reveal About How Advisory Mandates Are Really Formed</w:t>
      </w:r>
    </w:p>
    <w:p>
      <w:r>
        <w:rPr>
          <w:rFonts w:ascii="Segoe UI" w:hAnsi="Segoe UI"/>
          <w:b/>
          <w:color w:val="9A7B10"/>
          <w:sz w:val="18"/>
        </w:rPr>
        <w:t>StrategyAI Research | Q3 2026</w:t>
      </w:r>
    </w:p>
    <w:p>
      <w:pPr>
        <w:pBdr>
          <w:bottom w:val="single" w:sz="6" w:color="C9A84C"/>
        </w:pBdr>
      </w:pPr>
    </w:p>
    <w:p>
      <w:pPr>
        <w:spacing w:before="400" w:after="160"/>
      </w:pPr>
      <w:r>
        <w:rPr>
          <w:rFonts w:ascii="Georgia" w:hAnsi="Georgia"/>
          <w:b/>
          <w:color w:val="0D1B2A"/>
          <w:sz w:val="30"/>
        </w:rPr>
        <w:t>Scope and Method</w:t>
      </w:r>
    </w:p>
    <w:p>
      <w:r>
        <w:t>This paper draws on the StrategyAI corpus for the period 1 June to 4 September 2026. It covers 739 M&amp;A transactions across Europe, the Middle East and Africa, 1,472 named adviser appointments across 768 firms, and 1,130 role advertisements classified by the type of work they imply. Transaction values are as disclosed. Of the 739 transactions, 240 carried a public value.</w:t>
      </w:r>
    </w:p>
    <w:p>
      <w:r>
        <w:t>Two points of interpretation should be noted at the outset. Deal counts by month reflect the pace at which records enter our corpus rather than underlying market activity, so this paper reports composition rather than trend. Disclosure is also uneven: larger transactions disclose values more often than smaller ones, which means medians are reported by sector rather than as a single headline figure.</w:t>
      </w:r>
    </w:p>
    <w:p>
      <w:pPr>
        <w:pBdr>
          <w:bottom w:val="single" w:sz="6" w:color="C9A84C"/>
        </w:pBdr>
      </w:pPr>
    </w:p>
    <w:p>
      <w:pPr>
        <w:spacing w:before="400" w:after="160"/>
      </w:pPr>
      <w:r>
        <w:rPr>
          <w:rFonts w:ascii="Georgia" w:hAnsi="Georgia"/>
          <w:b/>
          <w:color w:val="0D1B2A"/>
          <w:sz w:val="30"/>
        </w:rPr>
        <w:t>1. Why Consulting Demand Is Largely Invisible</w:t>
      </w:r>
    </w:p>
    <w:p>
      <w:r>
        <w:t>Most consulting demand exists outside the public record. Banks and law firms are naturally visible because their mandate is the transaction itself. Consulting mandates are different. Commercial due diligence often begins before a deal is announced, while integration, separation, operating model redesign, synergy capture and transformation work frequently continue long after the transaction has closed. The consequence is that a large proportion of consulting activity is never captured in deal announcements. This creates a structural visibility problem for advisory firms relying on public records as their primary source of business development intelligence.</w:t>
      </w:r>
    </w:p>
    <w:p>
      <w:r>
        <w:t>The scale of that gap is measurable. Across 1,472 named adviser appointments in the corpus, the distribution by discipline is as follows.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0D1B2A"/>
          </w:tcPr>
          <w:p>
            <w:r/>
            <w:r>
              <w:rPr>
                <w:rFonts w:ascii="Segoe UI" w:hAnsi="Segoe UI"/>
                <w:b/>
                <w:color w:val="FFFFFF"/>
                <w:sz w:val="17"/>
              </w:rPr>
              <w:t>Discipline</w:t>
            </w:r>
          </w:p>
        </w:tc>
        <w:tc>
          <w:tcPr>
            <w:tcW w:type="dxa" w:w="2340"/>
            <w:shd w:val="clear" w:fill="0D1B2A"/>
          </w:tcPr>
          <w:p>
            <w:r/>
            <w:r>
              <w:rPr>
                <w:rFonts w:ascii="Segoe UI" w:hAnsi="Segoe UI"/>
                <w:b/>
                <w:color w:val="FFFFFF"/>
                <w:sz w:val="17"/>
              </w:rPr>
              <w:t>Appointments</w:t>
            </w:r>
          </w:p>
        </w:tc>
        <w:tc>
          <w:tcPr>
            <w:tcW w:type="dxa" w:w="2340"/>
            <w:shd w:val="clear" w:fill="0D1B2A"/>
          </w:tcPr>
          <w:p>
            <w:r/>
            <w:r>
              <w:rPr>
                <w:rFonts w:ascii="Segoe UI" w:hAnsi="Segoe UI"/>
                <w:b/>
                <w:color w:val="FFFFFF"/>
                <w:sz w:val="17"/>
              </w:rPr>
              <w:t>Share</w:t>
            </w:r>
          </w:p>
        </w:tc>
        <w:tc>
          <w:tcPr>
            <w:tcW w:type="dxa" w:w="2340"/>
            <w:shd w:val="clear" w:fill="0D1B2A"/>
          </w:tcPr>
          <w:p>
            <w:r/>
            <w:r>
              <w:rPr>
                <w:rFonts w:ascii="Segoe UI" w:hAnsi="Segoe UI"/>
                <w:b/>
                <w:color w:val="FFFFFF"/>
                <w:sz w:val="17"/>
              </w:rPr>
              <w:t>Distinct firms</w:t>
            </w:r>
          </w:p>
        </w:tc>
      </w:tr>
      <w:tr>
        <w:tc>
          <w:tcPr>
            <w:tcW w:type="dxa" w:w="2340"/>
          </w:tcPr>
          <w:p>
            <w:r/>
            <w:r>
              <w:rPr>
                <w:rFonts w:ascii="Segoe UI" w:hAnsi="Segoe UI"/>
                <w:sz w:val="18"/>
              </w:rPr>
              <w:t>Financial adviser and banking</w:t>
            </w:r>
          </w:p>
        </w:tc>
        <w:tc>
          <w:tcPr>
            <w:tcW w:type="dxa" w:w="2340"/>
          </w:tcPr>
          <w:p>
            <w:pPr>
              <w:jc w:val="right"/>
            </w:pPr>
            <w:r/>
            <w:r>
              <w:rPr>
                <w:rFonts w:ascii="Segoe UI" w:hAnsi="Segoe UI"/>
                <w:sz w:val="18"/>
              </w:rPr>
              <w:t>867</w:t>
            </w:r>
          </w:p>
        </w:tc>
        <w:tc>
          <w:tcPr>
            <w:tcW w:type="dxa" w:w="2340"/>
          </w:tcPr>
          <w:p>
            <w:pPr>
              <w:jc w:val="right"/>
            </w:pPr>
            <w:r/>
            <w:r>
              <w:rPr>
                <w:rFonts w:ascii="Segoe UI" w:hAnsi="Segoe UI"/>
                <w:sz w:val="18"/>
              </w:rPr>
              <w:t>58.9%</w:t>
            </w:r>
          </w:p>
        </w:tc>
        <w:tc>
          <w:tcPr>
            <w:tcW w:type="dxa" w:w="2340"/>
          </w:tcPr>
          <w:p>
            <w:pPr>
              <w:jc w:val="right"/>
            </w:pPr>
            <w:r/>
            <w:r>
              <w:rPr>
                <w:rFonts w:ascii="Segoe UI" w:hAnsi="Segoe UI"/>
                <w:sz w:val="18"/>
              </w:rPr>
              <w:t>475</w:t>
            </w:r>
          </w:p>
        </w:tc>
      </w:tr>
      <w:tr>
        <w:tc>
          <w:tcPr>
            <w:tcW w:type="dxa" w:w="2340"/>
          </w:tcPr>
          <w:p>
            <w:r/>
            <w:r>
              <w:rPr>
                <w:rFonts w:ascii="Segoe UI" w:hAnsi="Segoe UI"/>
                <w:sz w:val="18"/>
              </w:rPr>
              <w:t>Legal</w:t>
            </w:r>
          </w:p>
        </w:tc>
        <w:tc>
          <w:tcPr>
            <w:tcW w:type="dxa" w:w="2340"/>
          </w:tcPr>
          <w:p>
            <w:pPr>
              <w:jc w:val="right"/>
            </w:pPr>
            <w:r/>
            <w:r>
              <w:rPr>
                <w:rFonts w:ascii="Segoe UI" w:hAnsi="Segoe UI"/>
                <w:sz w:val="18"/>
              </w:rPr>
              <w:t>499</w:t>
            </w:r>
          </w:p>
        </w:tc>
        <w:tc>
          <w:tcPr>
            <w:tcW w:type="dxa" w:w="2340"/>
          </w:tcPr>
          <w:p>
            <w:pPr>
              <w:jc w:val="right"/>
            </w:pPr>
            <w:r/>
            <w:r>
              <w:rPr>
                <w:rFonts w:ascii="Segoe UI" w:hAnsi="Segoe UI"/>
                <w:sz w:val="18"/>
              </w:rPr>
              <w:t>33.9%</w:t>
            </w:r>
          </w:p>
        </w:tc>
        <w:tc>
          <w:tcPr>
            <w:tcW w:type="dxa" w:w="2340"/>
          </w:tcPr>
          <w:p>
            <w:pPr>
              <w:jc w:val="right"/>
            </w:pPr>
            <w:r/>
            <w:r>
              <w:rPr>
                <w:rFonts w:ascii="Segoe UI" w:hAnsi="Segoe UI"/>
                <w:sz w:val="18"/>
              </w:rPr>
              <w:t>252</w:t>
            </w:r>
          </w:p>
        </w:tc>
      </w:tr>
      <w:tr>
        <w:tc>
          <w:tcPr>
            <w:tcW w:type="dxa" w:w="2340"/>
          </w:tcPr>
          <w:p>
            <w:r/>
            <w:r>
              <w:rPr>
                <w:rFonts w:ascii="Segoe UI" w:hAnsi="Segoe UI"/>
                <w:sz w:val="18"/>
              </w:rPr>
              <w:t>Accounting and transaction advisory</w:t>
            </w:r>
          </w:p>
        </w:tc>
        <w:tc>
          <w:tcPr>
            <w:tcW w:type="dxa" w:w="2340"/>
          </w:tcPr>
          <w:p>
            <w:pPr>
              <w:jc w:val="right"/>
            </w:pPr>
            <w:r/>
            <w:r>
              <w:rPr>
                <w:rFonts w:ascii="Segoe UI" w:hAnsi="Segoe UI"/>
                <w:sz w:val="18"/>
              </w:rPr>
              <w:t>59</w:t>
            </w:r>
          </w:p>
        </w:tc>
        <w:tc>
          <w:tcPr>
            <w:tcW w:type="dxa" w:w="2340"/>
          </w:tcPr>
          <w:p>
            <w:pPr>
              <w:jc w:val="right"/>
            </w:pPr>
            <w:r/>
            <w:r>
              <w:rPr>
                <w:rFonts w:ascii="Segoe UI" w:hAnsi="Segoe UI"/>
                <w:sz w:val="18"/>
              </w:rPr>
              <w:t>4.0%</w:t>
            </w:r>
          </w:p>
        </w:tc>
        <w:tc>
          <w:tcPr>
            <w:tcW w:type="dxa" w:w="2340"/>
          </w:tcPr>
          <w:p>
            <w:pPr>
              <w:jc w:val="right"/>
            </w:pPr>
            <w:r/>
            <w:r>
              <w:rPr>
                <w:rFonts w:ascii="Segoe UI" w:hAnsi="Segoe UI"/>
                <w:sz w:val="18"/>
              </w:rPr>
              <w:t>14</w:t>
            </w:r>
          </w:p>
        </w:tc>
      </w:tr>
      <w:tr>
        <w:tc>
          <w:tcPr>
            <w:tcW w:type="dxa" w:w="2340"/>
          </w:tcPr>
          <w:p>
            <w:r/>
            <w:r>
              <w:rPr>
                <w:rFonts w:ascii="Segoe UI" w:hAnsi="Segoe UI"/>
                <w:sz w:val="18"/>
              </w:rPr>
              <w:t>Communications and investor relations</w:t>
            </w:r>
          </w:p>
        </w:tc>
        <w:tc>
          <w:tcPr>
            <w:tcW w:type="dxa" w:w="2340"/>
          </w:tcPr>
          <w:p>
            <w:pPr>
              <w:jc w:val="right"/>
            </w:pPr>
            <w:r/>
            <w:r>
              <w:rPr>
                <w:rFonts w:ascii="Segoe UI" w:hAnsi="Segoe UI"/>
                <w:sz w:val="18"/>
              </w:rPr>
              <w:t>31</w:t>
            </w:r>
          </w:p>
        </w:tc>
        <w:tc>
          <w:tcPr>
            <w:tcW w:type="dxa" w:w="2340"/>
          </w:tcPr>
          <w:p>
            <w:pPr>
              <w:jc w:val="right"/>
            </w:pPr>
            <w:r/>
            <w:r>
              <w:rPr>
                <w:rFonts w:ascii="Segoe UI" w:hAnsi="Segoe UI"/>
                <w:sz w:val="18"/>
              </w:rPr>
              <w:t>2.1%</w:t>
            </w:r>
          </w:p>
        </w:tc>
        <w:tc>
          <w:tcPr>
            <w:tcW w:type="dxa" w:w="2340"/>
          </w:tcPr>
          <w:p>
            <w:pPr>
              <w:jc w:val="right"/>
            </w:pPr>
            <w:r/>
            <w:r>
              <w:rPr>
                <w:rFonts w:ascii="Segoe UI" w:hAnsi="Segoe UI"/>
                <w:sz w:val="18"/>
              </w:rPr>
              <w:t>27</w:t>
            </w:r>
          </w:p>
        </w:tc>
      </w:tr>
      <w:tr>
        <w:tc>
          <w:tcPr>
            <w:tcW w:type="dxa" w:w="2340"/>
          </w:tcPr>
          <w:p>
            <w:r/>
            <w:r>
              <w:rPr>
                <w:rFonts w:ascii="Segoe UI" w:hAnsi="Segoe UI"/>
                <w:sz w:val="18"/>
              </w:rPr>
              <w:t>Strategy</w:t>
            </w:r>
          </w:p>
        </w:tc>
        <w:tc>
          <w:tcPr>
            <w:tcW w:type="dxa" w:w="2340"/>
          </w:tcPr>
          <w:p>
            <w:pPr>
              <w:jc w:val="right"/>
            </w:pPr>
            <w:r/>
            <w:r>
              <w:rPr>
                <w:rFonts w:ascii="Segoe UI" w:hAnsi="Segoe UI"/>
                <w:sz w:val="18"/>
              </w:rPr>
              <w:t>16</w:t>
            </w:r>
          </w:p>
        </w:tc>
        <w:tc>
          <w:tcPr>
            <w:tcW w:type="dxa" w:w="2340"/>
          </w:tcPr>
          <w:p>
            <w:pPr>
              <w:jc w:val="right"/>
            </w:pPr>
            <w:r/>
            <w:r>
              <w:rPr>
                <w:rFonts w:ascii="Segoe UI" w:hAnsi="Segoe UI"/>
                <w:sz w:val="18"/>
              </w:rPr>
              <w:t>1.1%</w:t>
            </w:r>
          </w:p>
        </w:tc>
        <w:tc>
          <w:tcPr>
            <w:tcW w:type="dxa" w:w="2340"/>
          </w:tcPr>
          <w:p>
            <w:pPr>
              <w:jc w:val="right"/>
            </w:pPr>
            <w:r/>
            <w:r>
              <w:rPr>
                <w:rFonts w:ascii="Segoe UI" w:hAnsi="Segoe UI"/>
                <w:sz w:val="18"/>
              </w:rPr>
              <w:t>11</w:t>
            </w:r>
          </w:p>
        </w:tc>
      </w:tr>
    </w:tbl>
    <w:p/>
    <w:p>
      <w:r>
        <w:t>Strategy firms account for slightly more than one percent of named appointments. A communications firm is more likely to be named on an EMEA transaction than a strategy firm. The issue is therefore not that strategy work is absent. It is that strategy work sits outside the period in which announcements are made. In practice, the most valuable mandates are often created before public awareness and delivered after media attention has moved on.</w:t>
      </w:r>
    </w:p>
    <w:p>
      <w:pPr>
        <w:pBdr>
          <w:bottom w:val="single" w:sz="6" w:color="C9A84C"/>
        </w:pBdr>
      </w:pPr>
    </w:p>
    <w:p>
      <w:pPr>
        <w:spacing w:before="400" w:after="160"/>
      </w:pPr>
      <w:r>
        <w:rPr>
          <w:rFonts w:ascii="Georgia" w:hAnsi="Georgia"/>
          <w:b/>
          <w:color w:val="0D1B2A"/>
          <w:sz w:val="30"/>
        </w:rPr>
        <w:t>2. The Limitations of Deal-Led Origination</w:t>
      </w:r>
    </w:p>
    <w:p>
      <w:r>
        <w:t>Many firms still organise origination around transactions. New deals appear on a database, partners build target lists and outreach begins. The challenge is that by the time a transaction is public, numerous advisory relationships already exist. Investment banks, lawyers, diligence providers and management teams have often been engaged for months. This does not mean transaction intelligence is unhelpful. It remains essential context. However, it should be viewed as evidence of an event rather than evidence of future demand.</w:t>
      </w:r>
    </w:p>
    <w:p>
      <w:r>
        <w:t>The league table of named advisers illustrates the point. The ten most frequently named firms in the corpus are dominated by banking and legal practices.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0D1B2A"/>
          </w:tcPr>
          <w:p>
            <w:r/>
            <w:r>
              <w:rPr>
                <w:rFonts w:ascii="Segoe UI" w:hAnsi="Segoe UI"/>
                <w:b/>
                <w:color w:val="FFFFFF"/>
                <w:sz w:val="17"/>
              </w:rPr>
              <w:t>Firm</w:t>
            </w:r>
          </w:p>
        </w:tc>
        <w:tc>
          <w:tcPr>
            <w:tcW w:type="dxa" w:w="3120"/>
            <w:shd w:val="clear" w:fill="0D1B2A"/>
          </w:tcPr>
          <w:p>
            <w:r/>
            <w:r>
              <w:rPr>
                <w:rFonts w:ascii="Segoe UI" w:hAnsi="Segoe UI"/>
                <w:b/>
                <w:color w:val="FFFFFF"/>
                <w:sz w:val="17"/>
              </w:rPr>
              <w:t>Appointments</w:t>
            </w:r>
          </w:p>
        </w:tc>
        <w:tc>
          <w:tcPr>
            <w:tcW w:type="dxa" w:w="3120"/>
            <w:shd w:val="clear" w:fill="0D1B2A"/>
          </w:tcPr>
          <w:p>
            <w:r/>
            <w:r>
              <w:rPr>
                <w:rFonts w:ascii="Segoe UI" w:hAnsi="Segoe UI"/>
                <w:b/>
                <w:color w:val="FFFFFF"/>
                <w:sz w:val="17"/>
              </w:rPr>
              <w:t>Discipline</w:t>
            </w:r>
          </w:p>
        </w:tc>
      </w:tr>
      <w:tr>
        <w:tc>
          <w:tcPr>
            <w:tcW w:type="dxa" w:w="3120"/>
          </w:tcPr>
          <w:p>
            <w:r/>
            <w:r>
              <w:rPr>
                <w:rFonts w:ascii="Segoe UI" w:hAnsi="Segoe UI"/>
                <w:sz w:val="18"/>
              </w:rPr>
              <w:t>Goldman Sachs</w:t>
            </w:r>
          </w:p>
        </w:tc>
        <w:tc>
          <w:tcPr>
            <w:tcW w:type="dxa" w:w="3120"/>
          </w:tcPr>
          <w:p>
            <w:pPr>
              <w:jc w:val="right"/>
            </w:pPr>
            <w:r/>
            <w:r>
              <w:rPr>
                <w:rFonts w:ascii="Segoe UI" w:hAnsi="Segoe UI"/>
                <w:sz w:val="18"/>
              </w:rPr>
              <w:t>20</w:t>
            </w:r>
          </w:p>
        </w:tc>
        <w:tc>
          <w:tcPr>
            <w:tcW w:type="dxa" w:w="3120"/>
          </w:tcPr>
          <w:p>
            <w:r/>
            <w:r>
              <w:rPr>
                <w:rFonts w:ascii="Segoe UI" w:hAnsi="Segoe UI"/>
                <w:sz w:val="18"/>
              </w:rPr>
              <w:t>Banking</w:t>
            </w:r>
          </w:p>
        </w:tc>
      </w:tr>
      <w:tr>
        <w:tc>
          <w:tcPr>
            <w:tcW w:type="dxa" w:w="3120"/>
          </w:tcPr>
          <w:p>
            <w:r/>
            <w:r>
              <w:rPr>
                <w:rFonts w:ascii="Segoe UI" w:hAnsi="Segoe UI"/>
                <w:sz w:val="18"/>
              </w:rPr>
              <w:t>J.P. Morgan</w:t>
            </w:r>
          </w:p>
        </w:tc>
        <w:tc>
          <w:tcPr>
            <w:tcW w:type="dxa" w:w="3120"/>
          </w:tcPr>
          <w:p>
            <w:pPr>
              <w:jc w:val="right"/>
            </w:pPr>
            <w:r/>
            <w:r>
              <w:rPr>
                <w:rFonts w:ascii="Segoe UI" w:hAnsi="Segoe UI"/>
                <w:sz w:val="18"/>
              </w:rPr>
              <w:t>20</w:t>
            </w:r>
          </w:p>
        </w:tc>
        <w:tc>
          <w:tcPr>
            <w:tcW w:type="dxa" w:w="3120"/>
          </w:tcPr>
          <w:p>
            <w:r/>
            <w:r>
              <w:rPr>
                <w:rFonts w:ascii="Segoe UI" w:hAnsi="Segoe UI"/>
                <w:sz w:val="18"/>
              </w:rPr>
              <w:t>Banking</w:t>
            </w:r>
          </w:p>
        </w:tc>
      </w:tr>
      <w:tr>
        <w:tc>
          <w:tcPr>
            <w:tcW w:type="dxa" w:w="3120"/>
          </w:tcPr>
          <w:p>
            <w:r/>
            <w:r>
              <w:rPr>
                <w:rFonts w:ascii="Segoe UI" w:hAnsi="Segoe UI"/>
                <w:sz w:val="18"/>
              </w:rPr>
              <w:t>Barclays</w:t>
            </w:r>
          </w:p>
        </w:tc>
        <w:tc>
          <w:tcPr>
            <w:tcW w:type="dxa" w:w="3120"/>
          </w:tcPr>
          <w:p>
            <w:pPr>
              <w:jc w:val="right"/>
            </w:pPr>
            <w:r/>
            <w:r>
              <w:rPr>
                <w:rFonts w:ascii="Segoe UI" w:hAnsi="Segoe UI"/>
                <w:sz w:val="18"/>
              </w:rPr>
              <w:t>19</w:t>
            </w:r>
          </w:p>
        </w:tc>
        <w:tc>
          <w:tcPr>
            <w:tcW w:type="dxa" w:w="3120"/>
          </w:tcPr>
          <w:p>
            <w:r/>
            <w:r>
              <w:rPr>
                <w:rFonts w:ascii="Segoe UI" w:hAnsi="Segoe UI"/>
                <w:sz w:val="18"/>
              </w:rPr>
              <w:t>Banking</w:t>
            </w:r>
          </w:p>
        </w:tc>
      </w:tr>
      <w:tr>
        <w:tc>
          <w:tcPr>
            <w:tcW w:type="dxa" w:w="3120"/>
          </w:tcPr>
          <w:p>
            <w:r/>
            <w:r>
              <w:rPr>
                <w:rFonts w:ascii="Segoe UI" w:hAnsi="Segoe UI"/>
                <w:sz w:val="18"/>
              </w:rPr>
              <w:t>Citi</w:t>
            </w:r>
          </w:p>
        </w:tc>
        <w:tc>
          <w:tcPr>
            <w:tcW w:type="dxa" w:w="3120"/>
          </w:tcPr>
          <w:p>
            <w:pPr>
              <w:jc w:val="right"/>
            </w:pPr>
            <w:r/>
            <w:r>
              <w:rPr>
                <w:rFonts w:ascii="Segoe UI" w:hAnsi="Segoe UI"/>
                <w:sz w:val="18"/>
              </w:rPr>
              <w:t>17</w:t>
            </w:r>
          </w:p>
        </w:tc>
        <w:tc>
          <w:tcPr>
            <w:tcW w:type="dxa" w:w="3120"/>
          </w:tcPr>
          <w:p>
            <w:r/>
            <w:r>
              <w:rPr>
                <w:rFonts w:ascii="Segoe UI" w:hAnsi="Segoe UI"/>
                <w:sz w:val="18"/>
              </w:rPr>
              <w:t>Banking</w:t>
            </w:r>
          </w:p>
        </w:tc>
      </w:tr>
      <w:tr>
        <w:tc>
          <w:tcPr>
            <w:tcW w:type="dxa" w:w="3120"/>
          </w:tcPr>
          <w:p>
            <w:r/>
            <w:r>
              <w:rPr>
                <w:rFonts w:ascii="Segoe UI" w:hAnsi="Segoe UI"/>
                <w:sz w:val="18"/>
              </w:rPr>
              <w:t>Latham &amp; Watkins</w:t>
            </w:r>
          </w:p>
        </w:tc>
        <w:tc>
          <w:tcPr>
            <w:tcW w:type="dxa" w:w="3120"/>
          </w:tcPr>
          <w:p>
            <w:pPr>
              <w:jc w:val="right"/>
            </w:pPr>
            <w:r/>
            <w:r>
              <w:rPr>
                <w:rFonts w:ascii="Segoe UI" w:hAnsi="Segoe UI"/>
                <w:sz w:val="18"/>
              </w:rPr>
              <w:t>16</w:t>
            </w:r>
          </w:p>
        </w:tc>
        <w:tc>
          <w:tcPr>
            <w:tcW w:type="dxa" w:w="3120"/>
          </w:tcPr>
          <w:p>
            <w:r/>
            <w:r>
              <w:rPr>
                <w:rFonts w:ascii="Segoe UI" w:hAnsi="Segoe UI"/>
                <w:sz w:val="18"/>
              </w:rPr>
              <w:t>Legal</w:t>
            </w:r>
          </w:p>
        </w:tc>
      </w:tr>
      <w:tr>
        <w:tc>
          <w:tcPr>
            <w:tcW w:type="dxa" w:w="3120"/>
          </w:tcPr>
          <w:p>
            <w:r/>
            <w:r>
              <w:rPr>
                <w:rFonts w:ascii="Segoe UI" w:hAnsi="Segoe UI"/>
                <w:sz w:val="18"/>
              </w:rPr>
              <w:t>Morgan Stanley</w:t>
            </w:r>
          </w:p>
        </w:tc>
        <w:tc>
          <w:tcPr>
            <w:tcW w:type="dxa" w:w="3120"/>
          </w:tcPr>
          <w:p>
            <w:pPr>
              <w:jc w:val="right"/>
            </w:pPr>
            <w:r/>
            <w:r>
              <w:rPr>
                <w:rFonts w:ascii="Segoe UI" w:hAnsi="Segoe UI"/>
                <w:sz w:val="18"/>
              </w:rPr>
              <w:t>16</w:t>
            </w:r>
          </w:p>
        </w:tc>
        <w:tc>
          <w:tcPr>
            <w:tcW w:type="dxa" w:w="3120"/>
          </w:tcPr>
          <w:p>
            <w:r/>
            <w:r>
              <w:rPr>
                <w:rFonts w:ascii="Segoe UI" w:hAnsi="Segoe UI"/>
                <w:sz w:val="18"/>
              </w:rPr>
              <w:t>Banking</w:t>
            </w:r>
          </w:p>
        </w:tc>
      </w:tr>
      <w:tr>
        <w:tc>
          <w:tcPr>
            <w:tcW w:type="dxa" w:w="3120"/>
          </w:tcPr>
          <w:p>
            <w:r/>
            <w:r>
              <w:rPr>
                <w:rFonts w:ascii="Segoe UI" w:hAnsi="Segoe UI"/>
                <w:sz w:val="18"/>
              </w:rPr>
              <w:t>Rothschild &amp; Co</w:t>
            </w:r>
          </w:p>
        </w:tc>
        <w:tc>
          <w:tcPr>
            <w:tcW w:type="dxa" w:w="3120"/>
          </w:tcPr>
          <w:p>
            <w:pPr>
              <w:jc w:val="right"/>
            </w:pPr>
            <w:r/>
            <w:r>
              <w:rPr>
                <w:rFonts w:ascii="Segoe UI" w:hAnsi="Segoe UI"/>
                <w:sz w:val="18"/>
              </w:rPr>
              <w:t>16</w:t>
            </w:r>
          </w:p>
        </w:tc>
        <w:tc>
          <w:tcPr>
            <w:tcW w:type="dxa" w:w="3120"/>
          </w:tcPr>
          <w:p>
            <w:r/>
            <w:r>
              <w:rPr>
                <w:rFonts w:ascii="Segoe UI" w:hAnsi="Segoe UI"/>
                <w:sz w:val="18"/>
              </w:rPr>
              <w:t>Banking</w:t>
            </w:r>
          </w:p>
        </w:tc>
      </w:tr>
      <w:tr>
        <w:tc>
          <w:tcPr>
            <w:tcW w:type="dxa" w:w="3120"/>
          </w:tcPr>
          <w:p>
            <w:r/>
            <w:r>
              <w:rPr>
                <w:rFonts w:ascii="Segoe UI" w:hAnsi="Segoe UI"/>
                <w:sz w:val="18"/>
              </w:rPr>
              <w:t>A&amp;O Shearman</w:t>
            </w:r>
          </w:p>
        </w:tc>
        <w:tc>
          <w:tcPr>
            <w:tcW w:type="dxa" w:w="3120"/>
          </w:tcPr>
          <w:p>
            <w:pPr>
              <w:jc w:val="right"/>
            </w:pPr>
            <w:r/>
            <w:r>
              <w:rPr>
                <w:rFonts w:ascii="Segoe UI" w:hAnsi="Segoe UI"/>
                <w:sz w:val="18"/>
              </w:rPr>
              <w:t>16</w:t>
            </w:r>
          </w:p>
        </w:tc>
        <w:tc>
          <w:tcPr>
            <w:tcW w:type="dxa" w:w="3120"/>
          </w:tcPr>
          <w:p>
            <w:r/>
            <w:r>
              <w:rPr>
                <w:rFonts w:ascii="Segoe UI" w:hAnsi="Segoe UI"/>
                <w:sz w:val="18"/>
              </w:rPr>
              <w:t>Legal</w:t>
            </w:r>
          </w:p>
        </w:tc>
      </w:tr>
      <w:tr>
        <w:tc>
          <w:tcPr>
            <w:tcW w:type="dxa" w:w="3120"/>
          </w:tcPr>
          <w:p>
            <w:r/>
            <w:r>
              <w:rPr>
                <w:rFonts w:ascii="Segoe UI" w:hAnsi="Segoe UI"/>
                <w:sz w:val="18"/>
              </w:rPr>
              <w:t>PwC</w:t>
            </w:r>
          </w:p>
        </w:tc>
        <w:tc>
          <w:tcPr>
            <w:tcW w:type="dxa" w:w="3120"/>
          </w:tcPr>
          <w:p>
            <w:pPr>
              <w:jc w:val="right"/>
            </w:pPr>
            <w:r/>
            <w:r>
              <w:rPr>
                <w:rFonts w:ascii="Segoe UI" w:hAnsi="Segoe UI"/>
                <w:sz w:val="18"/>
              </w:rPr>
              <w:t>14</w:t>
            </w:r>
          </w:p>
        </w:tc>
        <w:tc>
          <w:tcPr>
            <w:tcW w:type="dxa" w:w="3120"/>
          </w:tcPr>
          <w:p>
            <w:r/>
            <w:r>
              <w:rPr>
                <w:rFonts w:ascii="Segoe UI" w:hAnsi="Segoe UI"/>
                <w:sz w:val="18"/>
              </w:rPr>
              <w:t>Transaction advisory</w:t>
            </w:r>
          </w:p>
        </w:tc>
      </w:tr>
      <w:tr>
        <w:tc>
          <w:tcPr>
            <w:tcW w:type="dxa" w:w="3120"/>
          </w:tcPr>
          <w:p>
            <w:r/>
            <w:r>
              <w:rPr>
                <w:rFonts w:ascii="Segoe UI" w:hAnsi="Segoe UI"/>
                <w:sz w:val="18"/>
              </w:rPr>
              <w:t>Deloitte</w:t>
            </w:r>
          </w:p>
        </w:tc>
        <w:tc>
          <w:tcPr>
            <w:tcW w:type="dxa" w:w="3120"/>
          </w:tcPr>
          <w:p>
            <w:pPr>
              <w:jc w:val="right"/>
            </w:pPr>
            <w:r/>
            <w:r>
              <w:rPr>
                <w:rFonts w:ascii="Segoe UI" w:hAnsi="Segoe UI"/>
                <w:sz w:val="18"/>
              </w:rPr>
              <w:t>14</w:t>
            </w:r>
          </w:p>
        </w:tc>
        <w:tc>
          <w:tcPr>
            <w:tcW w:type="dxa" w:w="3120"/>
          </w:tcPr>
          <w:p>
            <w:r/>
            <w:r>
              <w:rPr>
                <w:rFonts w:ascii="Segoe UI" w:hAnsi="Segoe UI"/>
                <w:sz w:val="18"/>
              </w:rPr>
              <w:t>Transaction advisory</w:t>
            </w:r>
          </w:p>
        </w:tc>
      </w:tr>
    </w:tbl>
    <w:p/>
    <w:p>
      <w:r>
        <w:t>Deal-led origination also creates crowded behaviour. Multiple firms read the same announcements at the same time and pursue the same opportunities. As markets become increasingly efficient, visibility alone becomes less valuable. The real challenge is identifying the conditions that precede major change rather than reacting to the change after it becomes public.</w:t>
      </w:r>
    </w:p>
    <w:p>
      <w:pPr>
        <w:pBdr>
          <w:bottom w:val="single" w:sz="6" w:color="C9A84C"/>
        </w:pBdr>
      </w:pPr>
    </w:p>
    <w:p>
      <w:pPr>
        <w:spacing w:before="400" w:after="160"/>
      </w:pPr>
      <w:r>
        <w:rPr>
          <w:rFonts w:ascii="Georgia" w:hAnsi="Georgia"/>
          <w:b/>
          <w:color w:val="0D1B2A"/>
          <w:sz w:val="30"/>
        </w:rPr>
        <w:t>3. Behavioural Signals versus Transaction Records</w:t>
      </w:r>
    </w:p>
    <w:p>
      <w:r>
        <w:t>A transaction record tells us what happened. Behavioural signals tell us what an organisation may be preparing to do. This distinction sits at the centre of modern intelligence-led origination. Hiring programmes, leadership appointments, transformation offices, PMI recruitment, cost programmes and capability build-outs all provide evidence of organisational intent. They reveal activity before outcomes become visible.</w:t>
      </w:r>
    </w:p>
    <w:p>
      <w:r>
        <w:t>Classifying 1,130 role advertisements from 508 employers by the work they imply produces the following distribution.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0D1B2A"/>
          </w:tcPr>
          <w:p>
            <w:r/>
            <w:r>
              <w:rPr>
                <w:rFonts w:ascii="Segoe UI" w:hAnsi="Segoe UI"/>
                <w:b/>
                <w:color w:val="FFFFFF"/>
                <w:sz w:val="17"/>
              </w:rPr>
              <w:t>Intent</w:t>
            </w:r>
          </w:p>
        </w:tc>
        <w:tc>
          <w:tcPr>
            <w:tcW w:type="dxa" w:w="1872"/>
            <w:shd w:val="clear" w:fill="0D1B2A"/>
          </w:tcPr>
          <w:p>
            <w:r/>
            <w:r>
              <w:rPr>
                <w:rFonts w:ascii="Segoe UI" w:hAnsi="Segoe UI"/>
                <w:b/>
                <w:color w:val="FFFFFF"/>
                <w:sz w:val="17"/>
              </w:rPr>
              <w:t>Advertisements</w:t>
            </w:r>
          </w:p>
        </w:tc>
        <w:tc>
          <w:tcPr>
            <w:tcW w:type="dxa" w:w="1872"/>
            <w:shd w:val="clear" w:fill="0D1B2A"/>
          </w:tcPr>
          <w:p>
            <w:r/>
            <w:r>
              <w:rPr>
                <w:rFonts w:ascii="Segoe UI" w:hAnsi="Segoe UI"/>
                <w:b/>
                <w:color w:val="FFFFFF"/>
                <w:sz w:val="17"/>
              </w:rPr>
              <w:t>Share</w:t>
            </w:r>
          </w:p>
        </w:tc>
        <w:tc>
          <w:tcPr>
            <w:tcW w:type="dxa" w:w="1872"/>
            <w:shd w:val="clear" w:fill="0D1B2A"/>
          </w:tcPr>
          <w:p>
            <w:r/>
            <w:r>
              <w:rPr>
                <w:rFonts w:ascii="Segoe UI" w:hAnsi="Segoe UI"/>
                <w:b/>
                <w:color w:val="FFFFFF"/>
                <w:sz w:val="17"/>
              </w:rPr>
              <w:t>Employers</w:t>
            </w:r>
          </w:p>
        </w:tc>
        <w:tc>
          <w:tcPr>
            <w:tcW w:type="dxa" w:w="1872"/>
            <w:shd w:val="clear" w:fill="0D1B2A"/>
          </w:tcPr>
          <w:p>
            <w:r/>
            <w:r>
              <w:rPr>
                <w:rFonts w:ascii="Segoe UI" w:hAnsi="Segoe UI"/>
                <w:b/>
                <w:color w:val="FFFFFF"/>
                <w:sz w:val="17"/>
              </w:rPr>
              <w:t>Average per employer</w:t>
            </w:r>
          </w:p>
        </w:tc>
      </w:tr>
      <w:tr>
        <w:tc>
          <w:tcPr>
            <w:tcW w:type="dxa" w:w="1872"/>
          </w:tcPr>
          <w:p>
            <w:r/>
            <w:r>
              <w:rPr>
                <w:rFonts w:ascii="Segoe UI" w:hAnsi="Segoe UI"/>
                <w:sz w:val="18"/>
              </w:rPr>
              <w:t>Strategy and transformation</w:t>
            </w:r>
          </w:p>
        </w:tc>
        <w:tc>
          <w:tcPr>
            <w:tcW w:type="dxa" w:w="1872"/>
          </w:tcPr>
          <w:p>
            <w:pPr>
              <w:jc w:val="right"/>
            </w:pPr>
            <w:r/>
            <w:r>
              <w:rPr>
                <w:rFonts w:ascii="Segoe UI" w:hAnsi="Segoe UI"/>
                <w:sz w:val="18"/>
              </w:rPr>
              <w:t>505</w:t>
            </w:r>
          </w:p>
        </w:tc>
        <w:tc>
          <w:tcPr>
            <w:tcW w:type="dxa" w:w="1872"/>
          </w:tcPr>
          <w:p>
            <w:pPr>
              <w:jc w:val="right"/>
            </w:pPr>
            <w:r/>
            <w:r>
              <w:rPr>
                <w:rFonts w:ascii="Segoe UI" w:hAnsi="Segoe UI"/>
                <w:sz w:val="18"/>
              </w:rPr>
              <w:t>44.7%</w:t>
            </w:r>
          </w:p>
        </w:tc>
        <w:tc>
          <w:tcPr>
            <w:tcW w:type="dxa" w:w="1872"/>
          </w:tcPr>
          <w:p>
            <w:pPr>
              <w:jc w:val="right"/>
            </w:pPr>
            <w:r/>
            <w:r>
              <w:rPr>
                <w:rFonts w:ascii="Segoe UI" w:hAnsi="Segoe UI"/>
                <w:sz w:val="18"/>
              </w:rPr>
              <w:t>321</w:t>
            </w:r>
          </w:p>
        </w:tc>
        <w:tc>
          <w:tcPr>
            <w:tcW w:type="dxa" w:w="1872"/>
          </w:tcPr>
          <w:p>
            <w:pPr>
              <w:jc w:val="right"/>
            </w:pPr>
            <w:r/>
            <w:r>
              <w:rPr>
                <w:rFonts w:ascii="Segoe UI" w:hAnsi="Segoe UI"/>
                <w:sz w:val="18"/>
              </w:rPr>
              <w:t>1.6</w:t>
            </w:r>
          </w:p>
        </w:tc>
      </w:tr>
      <w:tr>
        <w:tc>
          <w:tcPr>
            <w:tcW w:type="dxa" w:w="1872"/>
          </w:tcPr>
          <w:p>
            <w:r/>
            <w:r>
              <w:rPr>
                <w:rFonts w:ascii="Segoe UI" w:hAnsi="Segoe UI"/>
                <w:sz w:val="18"/>
              </w:rPr>
              <w:t>Post-merger integration</w:t>
            </w:r>
          </w:p>
        </w:tc>
        <w:tc>
          <w:tcPr>
            <w:tcW w:type="dxa" w:w="1872"/>
          </w:tcPr>
          <w:p>
            <w:pPr>
              <w:jc w:val="right"/>
            </w:pPr>
            <w:r/>
            <w:r>
              <w:rPr>
                <w:rFonts w:ascii="Segoe UI" w:hAnsi="Segoe UI"/>
                <w:sz w:val="18"/>
              </w:rPr>
              <w:t>457</w:t>
            </w:r>
          </w:p>
        </w:tc>
        <w:tc>
          <w:tcPr>
            <w:tcW w:type="dxa" w:w="1872"/>
          </w:tcPr>
          <w:p>
            <w:pPr>
              <w:jc w:val="right"/>
            </w:pPr>
            <w:r/>
            <w:r>
              <w:rPr>
                <w:rFonts w:ascii="Segoe UI" w:hAnsi="Segoe UI"/>
                <w:sz w:val="18"/>
              </w:rPr>
              <w:t>40.4%</w:t>
            </w:r>
          </w:p>
        </w:tc>
        <w:tc>
          <w:tcPr>
            <w:tcW w:type="dxa" w:w="1872"/>
          </w:tcPr>
          <w:p>
            <w:pPr>
              <w:jc w:val="right"/>
            </w:pPr>
            <w:r/>
            <w:r>
              <w:rPr>
                <w:rFonts w:ascii="Segoe UI" w:hAnsi="Segoe UI"/>
                <w:sz w:val="18"/>
              </w:rPr>
              <w:t>129</w:t>
            </w:r>
          </w:p>
        </w:tc>
        <w:tc>
          <w:tcPr>
            <w:tcW w:type="dxa" w:w="1872"/>
          </w:tcPr>
          <w:p>
            <w:pPr>
              <w:jc w:val="right"/>
            </w:pPr>
            <w:r/>
            <w:r>
              <w:rPr>
                <w:rFonts w:ascii="Segoe UI" w:hAnsi="Segoe UI"/>
                <w:sz w:val="18"/>
              </w:rPr>
              <w:t>3.5</w:t>
            </w:r>
          </w:p>
        </w:tc>
      </w:tr>
      <w:tr>
        <w:tc>
          <w:tcPr>
            <w:tcW w:type="dxa" w:w="1872"/>
          </w:tcPr>
          <w:p>
            <w:r/>
            <w:r>
              <w:rPr>
                <w:rFonts w:ascii="Segoe UI" w:hAnsi="Segoe UI"/>
                <w:sz w:val="18"/>
              </w:rPr>
              <w:t>Corporate development</w:t>
            </w:r>
          </w:p>
        </w:tc>
        <w:tc>
          <w:tcPr>
            <w:tcW w:type="dxa" w:w="1872"/>
          </w:tcPr>
          <w:p>
            <w:pPr>
              <w:jc w:val="right"/>
            </w:pPr>
            <w:r/>
            <w:r>
              <w:rPr>
                <w:rFonts w:ascii="Segoe UI" w:hAnsi="Segoe UI"/>
                <w:sz w:val="18"/>
              </w:rPr>
              <w:t>133</w:t>
            </w:r>
          </w:p>
        </w:tc>
        <w:tc>
          <w:tcPr>
            <w:tcW w:type="dxa" w:w="1872"/>
          </w:tcPr>
          <w:p>
            <w:pPr>
              <w:jc w:val="right"/>
            </w:pPr>
            <w:r/>
            <w:r>
              <w:rPr>
                <w:rFonts w:ascii="Segoe UI" w:hAnsi="Segoe UI"/>
                <w:sz w:val="18"/>
              </w:rPr>
              <w:t>11.8%</w:t>
            </w:r>
          </w:p>
        </w:tc>
        <w:tc>
          <w:tcPr>
            <w:tcW w:type="dxa" w:w="1872"/>
          </w:tcPr>
          <w:p>
            <w:pPr>
              <w:jc w:val="right"/>
            </w:pPr>
            <w:r/>
            <w:r>
              <w:rPr>
                <w:rFonts w:ascii="Segoe UI" w:hAnsi="Segoe UI"/>
                <w:sz w:val="18"/>
              </w:rPr>
              <w:t>57</w:t>
            </w:r>
          </w:p>
        </w:tc>
        <w:tc>
          <w:tcPr>
            <w:tcW w:type="dxa" w:w="1872"/>
          </w:tcPr>
          <w:p>
            <w:pPr>
              <w:jc w:val="right"/>
            </w:pPr>
            <w:r/>
            <w:r>
              <w:rPr>
                <w:rFonts w:ascii="Segoe UI" w:hAnsi="Segoe UI"/>
                <w:sz w:val="18"/>
              </w:rPr>
              <w:t>2.3</w:t>
            </w:r>
          </w:p>
        </w:tc>
      </w:tr>
      <w:tr>
        <w:tc>
          <w:tcPr>
            <w:tcW w:type="dxa" w:w="1872"/>
          </w:tcPr>
          <w:p>
            <w:r/>
            <w:r>
              <w:rPr>
                <w:rFonts w:ascii="Segoe UI" w:hAnsi="Segoe UI"/>
                <w:sz w:val="18"/>
              </w:rPr>
              <w:t>Restructuring</w:t>
            </w:r>
          </w:p>
        </w:tc>
        <w:tc>
          <w:tcPr>
            <w:tcW w:type="dxa" w:w="1872"/>
          </w:tcPr>
          <w:p>
            <w:pPr>
              <w:jc w:val="right"/>
            </w:pPr>
            <w:r/>
            <w:r>
              <w:rPr>
                <w:rFonts w:ascii="Segoe UI" w:hAnsi="Segoe UI"/>
                <w:sz w:val="18"/>
              </w:rPr>
              <w:t>33</w:t>
            </w:r>
          </w:p>
        </w:tc>
        <w:tc>
          <w:tcPr>
            <w:tcW w:type="dxa" w:w="1872"/>
          </w:tcPr>
          <w:p>
            <w:pPr>
              <w:jc w:val="right"/>
            </w:pPr>
            <w:r/>
            <w:r>
              <w:rPr>
                <w:rFonts w:ascii="Segoe UI" w:hAnsi="Segoe UI"/>
                <w:sz w:val="18"/>
              </w:rPr>
              <w:t>2.9%</w:t>
            </w:r>
          </w:p>
        </w:tc>
        <w:tc>
          <w:tcPr>
            <w:tcW w:type="dxa" w:w="1872"/>
          </w:tcPr>
          <w:p>
            <w:pPr>
              <w:jc w:val="right"/>
            </w:pPr>
            <w:r/>
            <w:r>
              <w:rPr>
                <w:rFonts w:ascii="Segoe UI" w:hAnsi="Segoe UI"/>
                <w:sz w:val="18"/>
              </w:rPr>
              <w:t>21</w:t>
            </w:r>
          </w:p>
        </w:tc>
        <w:tc>
          <w:tcPr>
            <w:tcW w:type="dxa" w:w="1872"/>
          </w:tcPr>
          <w:p>
            <w:pPr>
              <w:jc w:val="right"/>
            </w:pPr>
            <w:r/>
            <w:r>
              <w:rPr>
                <w:rFonts w:ascii="Segoe UI" w:hAnsi="Segoe UI"/>
                <w:sz w:val="18"/>
              </w:rPr>
              <w:t>1.6</w:t>
            </w:r>
          </w:p>
        </w:tc>
      </w:tr>
      <w:tr>
        <w:tc>
          <w:tcPr>
            <w:tcW w:type="dxa" w:w="1872"/>
          </w:tcPr>
          <w:p>
            <w:r/>
            <w:r>
              <w:rPr>
                <w:rFonts w:ascii="Segoe UI" w:hAnsi="Segoe UI"/>
                <w:sz w:val="18"/>
              </w:rPr>
              <w:t>Capital markets readiness</w:t>
            </w:r>
          </w:p>
        </w:tc>
        <w:tc>
          <w:tcPr>
            <w:tcW w:type="dxa" w:w="1872"/>
          </w:tcPr>
          <w:p>
            <w:pPr>
              <w:jc w:val="right"/>
            </w:pPr>
            <w:r/>
            <w:r>
              <w:rPr>
                <w:rFonts w:ascii="Segoe UI" w:hAnsi="Segoe UI"/>
                <w:sz w:val="18"/>
              </w:rPr>
              <w:t>2</w:t>
            </w:r>
          </w:p>
        </w:tc>
        <w:tc>
          <w:tcPr>
            <w:tcW w:type="dxa" w:w="1872"/>
          </w:tcPr>
          <w:p>
            <w:pPr>
              <w:jc w:val="right"/>
            </w:pPr>
            <w:r/>
            <w:r>
              <w:rPr>
                <w:rFonts w:ascii="Segoe UI" w:hAnsi="Segoe UI"/>
                <w:sz w:val="18"/>
              </w:rPr>
              <w:t>0.2%</w:t>
            </w:r>
          </w:p>
        </w:tc>
        <w:tc>
          <w:tcPr>
            <w:tcW w:type="dxa" w:w="1872"/>
          </w:tcPr>
          <w:p>
            <w:pPr>
              <w:jc w:val="right"/>
            </w:pPr>
            <w:r/>
            <w:r>
              <w:rPr>
                <w:rFonts w:ascii="Segoe UI" w:hAnsi="Segoe UI"/>
                <w:sz w:val="18"/>
              </w:rPr>
              <w:t>2</w:t>
            </w:r>
          </w:p>
        </w:tc>
        <w:tc>
          <w:tcPr>
            <w:tcW w:type="dxa" w:w="1872"/>
          </w:tcPr>
          <w:p>
            <w:pPr>
              <w:jc w:val="right"/>
            </w:pPr>
            <w:r/>
            <w:r>
              <w:rPr>
                <w:rFonts w:ascii="Segoe UI" w:hAnsi="Segoe UI"/>
                <w:sz w:val="18"/>
              </w:rPr>
              <w:t>1.0</w:t>
            </w:r>
          </w:p>
        </w:tc>
      </w:tr>
    </w:tbl>
    <w:p/>
    <w:p>
      <w:r>
        <w:t>The concentration is more informative than the volume. Transformation roles are distributed thinly across 321 employers at an average of 1.6 advertisements each. Post-merger integration is the opposite: 457 advertisements from only 129 employers, an average of 3.5 each. An organisation advertising a single transformation role may simply be maintaining a function. An organisation advertising three or four integration roles within a quarter is resourcing a specific programme.</w:t>
      </w:r>
    </w:p>
    <w:p>
      <w:r>
        <w:t>Behavioural intelligence does not seek to predict transactions. Instead it attempts to understand the underlying conditions that often precede strategic decisions. A company recruiting multiple integration leaders, separation specialists and programme managers is communicating something important even if no corporate announcement has yet been made.</w:t>
      </w:r>
    </w:p>
    <w:p>
      <w:pPr>
        <w:pBdr>
          <w:bottom w:val="single" w:sz="6" w:color="C9A84C"/>
        </w:pBdr>
      </w:pPr>
    </w:p>
    <w:p>
      <w:pPr>
        <w:spacing w:before="400" w:after="160"/>
      </w:pPr>
      <w:r>
        <w:rPr>
          <w:rFonts w:ascii="Georgia" w:hAnsi="Georgia"/>
          <w:b/>
          <w:color w:val="0D1B2A"/>
          <w:sz w:val="30"/>
        </w:rPr>
        <w:t>4. What 739 Transactions Reveal</w:t>
      </w:r>
    </w:p>
    <w:p>
      <w:r>
        <w:t>Analysis of the corpus produced several notable findings. Strategy firms accounted for only a small proportion of named adviser appointments. Consulting firms that did appear were overwhelmingly concentrated in diligence-related activity. And post-close integration and separation work was absent from public disclosure altogether.</w:t>
      </w:r>
    </w:p>
    <w:p>
      <w:r>
        <w:t>Examining what the named appointments were actually for makes the pattern clear.</w:t>
      </w:r>
    </w:p>
    <w:tbl>
      <w:tblPr>
        <w:tblStyle w:val="TableGrid"/>
        <w:tblW w:type="auto" w:w="0"/>
        <w:jc w:val="center"/>
        <w:tblLook w:firstColumn="1" w:firstRow="1" w:lastColumn="0" w:lastRow="0" w:noHBand="0" w:noVBand="1" w:val="04A0"/>
      </w:tblPr>
      <w:tblGrid>
        <w:gridCol w:w="4680"/>
        <w:gridCol w:w="4680"/>
      </w:tblGrid>
      <w:tr>
        <w:tc>
          <w:tcPr>
            <w:tcW w:type="dxa" w:w="4680"/>
            <w:shd w:val="clear" w:fill="0D1B2A"/>
          </w:tcPr>
          <w:p>
            <w:r/>
            <w:r>
              <w:rPr>
                <w:rFonts w:ascii="Segoe UI" w:hAnsi="Segoe UI"/>
                <w:b/>
                <w:color w:val="FFFFFF"/>
                <w:sz w:val="17"/>
              </w:rPr>
              <w:t>Type of work named</w:t>
            </w:r>
          </w:p>
        </w:tc>
        <w:tc>
          <w:tcPr>
            <w:tcW w:type="dxa" w:w="4680"/>
            <w:shd w:val="clear" w:fill="0D1B2A"/>
          </w:tcPr>
          <w:p>
            <w:r/>
            <w:r>
              <w:rPr>
                <w:rFonts w:ascii="Segoe UI" w:hAnsi="Segoe UI"/>
                <w:b/>
                <w:color w:val="FFFFFF"/>
                <w:sz w:val="17"/>
              </w:rPr>
              <w:t>Appointments</w:t>
            </w:r>
          </w:p>
        </w:tc>
      </w:tr>
      <w:tr>
        <w:tc>
          <w:tcPr>
            <w:tcW w:type="dxa" w:w="4680"/>
          </w:tcPr>
          <w:p>
            <w:r/>
            <w:r>
              <w:rPr>
                <w:rFonts w:ascii="Segoe UI" w:hAnsi="Segoe UI"/>
                <w:sz w:val="18"/>
              </w:rPr>
              <w:t>Due diligence of any kind</w:t>
            </w:r>
          </w:p>
        </w:tc>
        <w:tc>
          <w:tcPr>
            <w:tcW w:type="dxa" w:w="4680"/>
          </w:tcPr>
          <w:p>
            <w:pPr>
              <w:jc w:val="right"/>
            </w:pPr>
            <w:r/>
            <w:r>
              <w:rPr>
                <w:rFonts w:ascii="Segoe UI" w:hAnsi="Segoe UI"/>
                <w:sz w:val="18"/>
              </w:rPr>
              <w:t>43</w:t>
            </w:r>
          </w:p>
        </w:tc>
      </w:tr>
      <w:tr>
        <w:tc>
          <w:tcPr>
            <w:tcW w:type="dxa" w:w="4680"/>
          </w:tcPr>
          <w:p>
            <w:r/>
            <w:r>
              <w:rPr>
                <w:rFonts w:ascii="Segoe UI" w:hAnsi="Segoe UI"/>
                <w:sz w:val="18"/>
              </w:rPr>
              <w:t>Commercial or strategy advisory</w:t>
            </w:r>
          </w:p>
        </w:tc>
        <w:tc>
          <w:tcPr>
            <w:tcW w:type="dxa" w:w="4680"/>
          </w:tcPr>
          <w:p>
            <w:pPr>
              <w:jc w:val="right"/>
            </w:pPr>
            <w:r/>
            <w:r>
              <w:rPr>
                <w:rFonts w:ascii="Segoe UI" w:hAnsi="Segoe UI"/>
                <w:sz w:val="18"/>
              </w:rPr>
              <w:t>15</w:t>
            </w:r>
          </w:p>
        </w:tc>
      </w:tr>
      <w:tr>
        <w:tc>
          <w:tcPr>
            <w:tcW w:type="dxa" w:w="4680"/>
          </w:tcPr>
          <w:p>
            <w:r/>
            <w:r>
              <w:rPr>
                <w:rFonts w:ascii="Segoe UI" w:hAnsi="Segoe UI"/>
                <w:sz w:val="18"/>
              </w:rPr>
              <w:t>Integration, separation, operating model or first hundred days</w:t>
            </w:r>
          </w:p>
        </w:tc>
        <w:tc>
          <w:tcPr>
            <w:tcW w:type="dxa" w:w="4680"/>
          </w:tcPr>
          <w:p>
            <w:pPr>
              <w:jc w:val="right"/>
            </w:pPr>
            <w:r/>
            <w:r>
              <w:rPr>
                <w:rFonts w:ascii="Segoe UI" w:hAnsi="Segoe UI"/>
                <w:sz w:val="18"/>
              </w:rPr>
              <w:t>0</w:t>
            </w:r>
          </w:p>
        </w:tc>
      </w:tr>
    </w:tbl>
    <w:p/>
    <w:p>
      <w:r>
        <w:t>No appointment in the corpus was publicly named for post-close integration or separation work, across a period that included 79 carve-out transactions. That work was evidently performed. It simply does not appear in the record.</w:t>
      </w:r>
    </w:p>
    <w:p>
      <w:r>
        <w:t>The behaviour of individual firms follows the same pattern. Every strategy house named in the corpus appears in a pre-transaction capacity.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0D1B2A"/>
          </w:tcPr>
          <w:p>
            <w:r/>
            <w:r>
              <w:rPr>
                <w:rFonts w:ascii="Segoe UI" w:hAnsi="Segoe UI"/>
                <w:b/>
                <w:color w:val="FFFFFF"/>
                <w:sz w:val="17"/>
              </w:rPr>
              <w:t>Firm</w:t>
            </w:r>
          </w:p>
        </w:tc>
        <w:tc>
          <w:tcPr>
            <w:tcW w:type="dxa" w:w="3120"/>
            <w:shd w:val="clear" w:fill="0D1B2A"/>
          </w:tcPr>
          <w:p>
            <w:r/>
            <w:r>
              <w:rPr>
                <w:rFonts w:ascii="Segoe UI" w:hAnsi="Segoe UI"/>
                <w:b/>
                <w:color w:val="FFFFFF"/>
                <w:sz w:val="17"/>
              </w:rPr>
              <w:t>Appointments</w:t>
            </w:r>
          </w:p>
        </w:tc>
        <w:tc>
          <w:tcPr>
            <w:tcW w:type="dxa" w:w="3120"/>
            <w:shd w:val="clear" w:fill="0D1B2A"/>
          </w:tcPr>
          <w:p>
            <w:r/>
            <w:r>
              <w:rPr>
                <w:rFonts w:ascii="Segoe UI" w:hAnsi="Segoe UI"/>
                <w:b/>
                <w:color w:val="FFFFFF"/>
                <w:sz w:val="17"/>
              </w:rPr>
              <w:t>Nature of appointment</w:t>
            </w:r>
          </w:p>
        </w:tc>
      </w:tr>
      <w:tr>
        <w:tc>
          <w:tcPr>
            <w:tcW w:type="dxa" w:w="3120"/>
          </w:tcPr>
          <w:p>
            <w:r/>
            <w:r>
              <w:rPr>
                <w:rFonts w:ascii="Segoe UI" w:hAnsi="Segoe UI"/>
                <w:sz w:val="18"/>
              </w:rPr>
              <w:t>Boston Consulting Group</w:t>
            </w:r>
          </w:p>
        </w:tc>
        <w:tc>
          <w:tcPr>
            <w:tcW w:type="dxa" w:w="3120"/>
          </w:tcPr>
          <w:p>
            <w:pPr>
              <w:jc w:val="right"/>
            </w:pPr>
            <w:r/>
            <w:r>
              <w:rPr>
                <w:rFonts w:ascii="Segoe UI" w:hAnsi="Segoe UI"/>
                <w:sz w:val="18"/>
              </w:rPr>
              <w:t>3</w:t>
            </w:r>
          </w:p>
        </w:tc>
        <w:tc>
          <w:tcPr>
            <w:tcW w:type="dxa" w:w="3120"/>
          </w:tcPr>
          <w:p>
            <w:r/>
            <w:r>
              <w:rPr>
                <w:rFonts w:ascii="Segoe UI" w:hAnsi="Segoe UI"/>
                <w:sz w:val="18"/>
              </w:rPr>
              <w:t>Commercial due diligence and strategy advisory</w:t>
            </w:r>
          </w:p>
        </w:tc>
      </w:tr>
      <w:tr>
        <w:tc>
          <w:tcPr>
            <w:tcW w:type="dxa" w:w="3120"/>
          </w:tcPr>
          <w:p>
            <w:r/>
            <w:r>
              <w:rPr>
                <w:rFonts w:ascii="Segoe UI" w:hAnsi="Segoe UI"/>
                <w:sz w:val="18"/>
              </w:rPr>
              <w:t>EY-Parthenon</w:t>
            </w:r>
          </w:p>
        </w:tc>
        <w:tc>
          <w:tcPr>
            <w:tcW w:type="dxa" w:w="3120"/>
          </w:tcPr>
          <w:p>
            <w:pPr>
              <w:jc w:val="right"/>
            </w:pPr>
            <w:r/>
            <w:r>
              <w:rPr>
                <w:rFonts w:ascii="Segoe UI" w:hAnsi="Segoe UI"/>
                <w:sz w:val="18"/>
              </w:rPr>
              <w:t>3</w:t>
            </w:r>
          </w:p>
        </w:tc>
        <w:tc>
          <w:tcPr>
            <w:tcW w:type="dxa" w:w="3120"/>
          </w:tcPr>
          <w:p>
            <w:r/>
            <w:r>
              <w:rPr>
                <w:rFonts w:ascii="Segoe UI" w:hAnsi="Segoe UI"/>
                <w:sz w:val="18"/>
              </w:rPr>
              <w:t>Commercial and strategy diligence, M&amp;A process lead</w:t>
            </w:r>
          </w:p>
        </w:tc>
      </w:tr>
      <w:tr>
        <w:tc>
          <w:tcPr>
            <w:tcW w:type="dxa" w:w="3120"/>
          </w:tcPr>
          <w:p>
            <w:r/>
            <w:r>
              <w:rPr>
                <w:rFonts w:ascii="Segoe UI" w:hAnsi="Segoe UI"/>
                <w:sz w:val="18"/>
              </w:rPr>
              <w:t>Kearney</w:t>
            </w:r>
          </w:p>
        </w:tc>
        <w:tc>
          <w:tcPr>
            <w:tcW w:type="dxa" w:w="3120"/>
          </w:tcPr>
          <w:p>
            <w:pPr>
              <w:jc w:val="right"/>
            </w:pPr>
            <w:r/>
            <w:r>
              <w:rPr>
                <w:rFonts w:ascii="Segoe UI" w:hAnsi="Segoe UI"/>
                <w:sz w:val="18"/>
              </w:rPr>
              <w:t>2</w:t>
            </w:r>
          </w:p>
        </w:tc>
        <w:tc>
          <w:tcPr>
            <w:tcW w:type="dxa" w:w="3120"/>
          </w:tcPr>
          <w:p>
            <w:r/>
            <w:r>
              <w:rPr>
                <w:rFonts w:ascii="Segoe UI" w:hAnsi="Segoe UI"/>
                <w:sz w:val="18"/>
              </w:rPr>
              <w:t>Commercial due diligence</w:t>
            </w:r>
          </w:p>
        </w:tc>
      </w:tr>
      <w:tr>
        <w:tc>
          <w:tcPr>
            <w:tcW w:type="dxa" w:w="3120"/>
          </w:tcPr>
          <w:p>
            <w:r/>
            <w:r>
              <w:rPr>
                <w:rFonts w:ascii="Segoe UI" w:hAnsi="Segoe UI"/>
                <w:sz w:val="18"/>
              </w:rPr>
              <w:t>Bain &amp; Company</w:t>
            </w:r>
          </w:p>
        </w:tc>
        <w:tc>
          <w:tcPr>
            <w:tcW w:type="dxa" w:w="3120"/>
          </w:tcPr>
          <w:p>
            <w:pPr>
              <w:jc w:val="right"/>
            </w:pPr>
            <w:r/>
            <w:r>
              <w:rPr>
                <w:rFonts w:ascii="Segoe UI" w:hAnsi="Segoe UI"/>
                <w:sz w:val="18"/>
              </w:rPr>
              <w:t>1</w:t>
            </w:r>
          </w:p>
        </w:tc>
        <w:tc>
          <w:tcPr>
            <w:tcW w:type="dxa" w:w="3120"/>
          </w:tcPr>
          <w:p>
            <w:r/>
            <w:r>
              <w:rPr>
                <w:rFonts w:ascii="Segoe UI" w:hAnsi="Segoe UI"/>
                <w:sz w:val="18"/>
              </w:rPr>
              <w:t>Commercial due diligence</w:t>
            </w:r>
          </w:p>
        </w:tc>
      </w:tr>
      <w:tr>
        <w:tc>
          <w:tcPr>
            <w:tcW w:type="dxa" w:w="3120"/>
          </w:tcPr>
          <w:p>
            <w:r/>
            <w:r>
              <w:rPr>
                <w:rFonts w:ascii="Segoe UI" w:hAnsi="Segoe UI"/>
                <w:sz w:val="18"/>
              </w:rPr>
              <w:t>Oliver Wyman</w:t>
            </w:r>
          </w:p>
        </w:tc>
        <w:tc>
          <w:tcPr>
            <w:tcW w:type="dxa" w:w="3120"/>
          </w:tcPr>
          <w:p>
            <w:pPr>
              <w:jc w:val="right"/>
            </w:pPr>
            <w:r/>
            <w:r>
              <w:rPr>
                <w:rFonts w:ascii="Segoe UI" w:hAnsi="Segoe UI"/>
                <w:sz w:val="18"/>
              </w:rPr>
              <w:t>1</w:t>
            </w:r>
          </w:p>
        </w:tc>
        <w:tc>
          <w:tcPr>
            <w:tcW w:type="dxa" w:w="3120"/>
          </w:tcPr>
          <w:p>
            <w:r/>
            <w:r>
              <w:rPr>
                <w:rFonts w:ascii="Segoe UI" w:hAnsi="Segoe UI"/>
                <w:sz w:val="18"/>
              </w:rPr>
              <w:t>Commercial due diligence</w:t>
            </w:r>
          </w:p>
        </w:tc>
      </w:tr>
      <w:tr>
        <w:tc>
          <w:tcPr>
            <w:tcW w:type="dxa" w:w="3120"/>
          </w:tcPr>
          <w:p>
            <w:r/>
            <w:r>
              <w:rPr>
                <w:rFonts w:ascii="Segoe UI" w:hAnsi="Segoe UI"/>
                <w:sz w:val="18"/>
              </w:rPr>
              <w:t>Monitor Deloitte</w:t>
            </w:r>
          </w:p>
        </w:tc>
        <w:tc>
          <w:tcPr>
            <w:tcW w:type="dxa" w:w="3120"/>
          </w:tcPr>
          <w:p>
            <w:pPr>
              <w:jc w:val="right"/>
            </w:pPr>
            <w:r/>
            <w:r>
              <w:rPr>
                <w:rFonts w:ascii="Segoe UI" w:hAnsi="Segoe UI"/>
                <w:sz w:val="18"/>
              </w:rPr>
              <w:t>1</w:t>
            </w:r>
          </w:p>
        </w:tc>
        <w:tc>
          <w:tcPr>
            <w:tcW w:type="dxa" w:w="3120"/>
          </w:tcPr>
          <w:p>
            <w:r/>
            <w:r>
              <w:rPr>
                <w:rFonts w:ascii="Segoe UI" w:hAnsi="Segoe UI"/>
                <w:sz w:val="18"/>
              </w:rPr>
              <w:t>Commercial and strategic due diligence</w:t>
            </w:r>
          </w:p>
        </w:tc>
      </w:tr>
      <w:tr>
        <w:tc>
          <w:tcPr>
            <w:tcW w:type="dxa" w:w="3120"/>
          </w:tcPr>
          <w:p>
            <w:r/>
            <w:r>
              <w:rPr>
                <w:rFonts w:ascii="Segoe UI" w:hAnsi="Segoe UI"/>
                <w:sz w:val="18"/>
              </w:rPr>
              <w:t>Roland Berger</w:t>
            </w:r>
          </w:p>
        </w:tc>
        <w:tc>
          <w:tcPr>
            <w:tcW w:type="dxa" w:w="3120"/>
          </w:tcPr>
          <w:p>
            <w:pPr>
              <w:jc w:val="right"/>
            </w:pPr>
            <w:r/>
            <w:r>
              <w:rPr>
                <w:rFonts w:ascii="Segoe UI" w:hAnsi="Segoe UI"/>
                <w:sz w:val="18"/>
              </w:rPr>
              <w:t>1</w:t>
            </w:r>
          </w:p>
        </w:tc>
        <w:tc>
          <w:tcPr>
            <w:tcW w:type="dxa" w:w="3120"/>
          </w:tcPr>
          <w:p>
            <w:r/>
            <w:r>
              <w:rPr>
                <w:rFonts w:ascii="Segoe UI" w:hAnsi="Segoe UI"/>
                <w:sz w:val="18"/>
              </w:rPr>
              <w:t>Commercial advisory</w:t>
            </w:r>
          </w:p>
        </w:tc>
      </w:tr>
      <w:tr>
        <w:tc>
          <w:tcPr>
            <w:tcW w:type="dxa" w:w="3120"/>
          </w:tcPr>
          <w:p>
            <w:r/>
            <w:r>
              <w:rPr>
                <w:rFonts w:ascii="Segoe UI" w:hAnsi="Segoe UI"/>
                <w:sz w:val="18"/>
              </w:rPr>
              <w:t>Strategy&amp;</w:t>
            </w:r>
          </w:p>
        </w:tc>
        <w:tc>
          <w:tcPr>
            <w:tcW w:type="dxa" w:w="3120"/>
          </w:tcPr>
          <w:p>
            <w:pPr>
              <w:jc w:val="right"/>
            </w:pPr>
            <w:r/>
            <w:r>
              <w:rPr>
                <w:rFonts w:ascii="Segoe UI" w:hAnsi="Segoe UI"/>
                <w:sz w:val="18"/>
              </w:rPr>
              <w:t>1</w:t>
            </w:r>
          </w:p>
        </w:tc>
        <w:tc>
          <w:tcPr>
            <w:tcW w:type="dxa" w:w="3120"/>
          </w:tcPr>
          <w:p>
            <w:r/>
            <w:r>
              <w:rPr>
                <w:rFonts w:ascii="Segoe UI" w:hAnsi="Segoe UI"/>
                <w:sz w:val="18"/>
              </w:rPr>
              <w:t>Commercial advisory</w:t>
            </w:r>
          </w:p>
        </w:tc>
      </w:tr>
    </w:tbl>
    <w:p/>
    <w:p>
      <w:r>
        <w:t>The Big Four occupy the same window and dominate it by volume, with Deloitte, EY and PwC each recording sixteen appointments and KPMG eleven, predominantly in financial and tax due diligence.</w:t>
      </w:r>
    </w:p>
    <w:p>
      <w:r>
        <w:t>Perhaps the most important finding was the gap between visible activity and actual advisory demand. The transaction record consistently captured the mechanics of execution but rarely captured the broader change programmes surrounding those transactions. The implication is clear: advisory demand extends well beyond the point at which a deal becomes public.</w:t>
      </w:r>
    </w:p>
    <w:p>
      <w:pPr>
        <w:pBdr>
          <w:bottom w:val="single" w:sz="6" w:color="C9A84C"/>
        </w:pBdr>
      </w:pPr>
    </w:p>
    <w:p>
      <w:pPr>
        <w:spacing w:before="400" w:after="160"/>
      </w:pPr>
      <w:r>
        <w:rPr>
          <w:rFonts w:ascii="Georgia" w:hAnsi="Georgia"/>
          <w:b/>
          <w:color w:val="0D1B2A"/>
          <w:sz w:val="30"/>
        </w:rPr>
        <w:t>5. The Sectors Where Mandates Are Forming</w:t>
      </w:r>
    </w:p>
    <w:p>
      <w:r>
        <w:t>Transaction volume and advisory opportunity are not always the same thing. TMT generated the highest number of transactions, but many were relatively small acquisitions. Industrials, Financial Services and Aerospace &amp; Defence generated fewer transactions yet carried significantly larger deal values and substantially greater execution complexity.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0D1B2A"/>
          </w:tcPr>
          <w:p>
            <w:r/>
            <w:r>
              <w:rPr>
                <w:rFonts w:ascii="Segoe UI" w:hAnsi="Segoe UI"/>
                <w:b/>
                <w:color w:val="FFFFFF"/>
                <w:sz w:val="17"/>
              </w:rPr>
              <w:t>Sector</w:t>
            </w:r>
          </w:p>
        </w:tc>
        <w:tc>
          <w:tcPr>
            <w:tcW w:type="dxa" w:w="1872"/>
            <w:shd w:val="clear" w:fill="0D1B2A"/>
          </w:tcPr>
          <w:p>
            <w:r/>
            <w:r>
              <w:rPr>
                <w:rFonts w:ascii="Segoe UI" w:hAnsi="Segoe UI"/>
                <w:b/>
                <w:color w:val="FFFFFF"/>
                <w:sz w:val="17"/>
              </w:rPr>
              <w:t>Transactions</w:t>
            </w:r>
          </w:p>
        </w:tc>
        <w:tc>
          <w:tcPr>
            <w:tcW w:type="dxa" w:w="1872"/>
            <w:shd w:val="clear" w:fill="0D1B2A"/>
          </w:tcPr>
          <w:p>
            <w:r/>
            <w:r>
              <w:rPr>
                <w:rFonts w:ascii="Segoe UI" w:hAnsi="Segoe UI"/>
                <w:b/>
                <w:color w:val="FFFFFF"/>
                <w:sz w:val="17"/>
              </w:rPr>
              <w:t>Share</w:t>
            </w:r>
          </w:p>
        </w:tc>
        <w:tc>
          <w:tcPr>
            <w:tcW w:type="dxa" w:w="1872"/>
            <w:shd w:val="clear" w:fill="0D1B2A"/>
          </w:tcPr>
          <w:p>
            <w:r/>
            <w:r>
              <w:rPr>
                <w:rFonts w:ascii="Segoe UI" w:hAnsi="Segoe UI"/>
                <w:b/>
                <w:color w:val="FFFFFF"/>
                <w:sz w:val="17"/>
              </w:rPr>
              <w:t>Disclosed value</w:t>
            </w:r>
          </w:p>
        </w:tc>
        <w:tc>
          <w:tcPr>
            <w:tcW w:type="dxa" w:w="1872"/>
            <w:shd w:val="clear" w:fill="0D1B2A"/>
          </w:tcPr>
          <w:p>
            <w:r/>
            <w:r>
              <w:rPr>
                <w:rFonts w:ascii="Segoe UI" w:hAnsi="Segoe UI"/>
                <w:b/>
                <w:color w:val="FFFFFF"/>
                <w:sz w:val="17"/>
              </w:rPr>
              <w:t>Median transaction</w:t>
            </w:r>
          </w:p>
        </w:tc>
      </w:tr>
      <w:tr>
        <w:tc>
          <w:tcPr>
            <w:tcW w:type="dxa" w:w="1872"/>
          </w:tcPr>
          <w:p>
            <w:r/>
            <w:r>
              <w:rPr>
                <w:rFonts w:ascii="Segoe UI" w:hAnsi="Segoe UI"/>
                <w:sz w:val="18"/>
              </w:rPr>
              <w:t>TMT</w:t>
            </w:r>
          </w:p>
        </w:tc>
        <w:tc>
          <w:tcPr>
            <w:tcW w:type="dxa" w:w="1872"/>
          </w:tcPr>
          <w:p>
            <w:pPr>
              <w:jc w:val="right"/>
            </w:pPr>
            <w:r/>
            <w:r>
              <w:rPr>
                <w:rFonts w:ascii="Segoe UI" w:hAnsi="Segoe UI"/>
                <w:sz w:val="18"/>
              </w:rPr>
              <w:t>146</w:t>
            </w:r>
          </w:p>
        </w:tc>
        <w:tc>
          <w:tcPr>
            <w:tcW w:type="dxa" w:w="1872"/>
          </w:tcPr>
          <w:p>
            <w:pPr>
              <w:jc w:val="right"/>
            </w:pPr>
            <w:r/>
            <w:r>
              <w:rPr>
                <w:rFonts w:ascii="Segoe UI" w:hAnsi="Segoe UI"/>
                <w:sz w:val="18"/>
              </w:rPr>
              <w:t>19.8%</w:t>
            </w:r>
          </w:p>
        </w:tc>
        <w:tc>
          <w:tcPr>
            <w:tcW w:type="dxa" w:w="1872"/>
          </w:tcPr>
          <w:p>
            <w:pPr>
              <w:jc w:val="right"/>
            </w:pPr>
            <w:r/>
            <w:r>
              <w:rPr>
                <w:rFonts w:ascii="Segoe UI" w:hAnsi="Segoe UI"/>
                <w:sz w:val="18"/>
              </w:rPr>
              <w:t>$48.3bn</w:t>
            </w:r>
          </w:p>
        </w:tc>
        <w:tc>
          <w:tcPr>
            <w:tcW w:type="dxa" w:w="1872"/>
          </w:tcPr>
          <w:p>
            <w:pPr>
              <w:jc w:val="right"/>
            </w:pPr>
            <w:r/>
            <w:r>
              <w:rPr>
                <w:rFonts w:ascii="Segoe UI" w:hAnsi="Segoe UI"/>
                <w:sz w:val="18"/>
              </w:rPr>
              <w:t>$122m</w:t>
            </w:r>
          </w:p>
        </w:tc>
      </w:tr>
      <w:tr>
        <w:tc>
          <w:tcPr>
            <w:tcW w:type="dxa" w:w="1872"/>
          </w:tcPr>
          <w:p>
            <w:r/>
            <w:r>
              <w:rPr>
                <w:rFonts w:ascii="Segoe UI" w:hAnsi="Segoe UI"/>
                <w:sz w:val="18"/>
              </w:rPr>
              <w:t>Consumer &amp; Retail</w:t>
            </w:r>
          </w:p>
        </w:tc>
        <w:tc>
          <w:tcPr>
            <w:tcW w:type="dxa" w:w="1872"/>
          </w:tcPr>
          <w:p>
            <w:pPr>
              <w:jc w:val="right"/>
            </w:pPr>
            <w:r/>
            <w:r>
              <w:rPr>
                <w:rFonts w:ascii="Segoe UI" w:hAnsi="Segoe UI"/>
                <w:sz w:val="18"/>
              </w:rPr>
              <w:t>108</w:t>
            </w:r>
          </w:p>
        </w:tc>
        <w:tc>
          <w:tcPr>
            <w:tcW w:type="dxa" w:w="1872"/>
          </w:tcPr>
          <w:p>
            <w:pPr>
              <w:jc w:val="right"/>
            </w:pPr>
            <w:r/>
            <w:r>
              <w:rPr>
                <w:rFonts w:ascii="Segoe UI" w:hAnsi="Segoe UI"/>
                <w:sz w:val="18"/>
              </w:rPr>
              <w:t>14.6%</w:t>
            </w:r>
          </w:p>
        </w:tc>
        <w:tc>
          <w:tcPr>
            <w:tcW w:type="dxa" w:w="1872"/>
          </w:tcPr>
          <w:p>
            <w:pPr>
              <w:jc w:val="right"/>
            </w:pPr>
            <w:r/>
            <w:r>
              <w:rPr>
                <w:rFonts w:ascii="Segoe UI" w:hAnsi="Segoe UI"/>
                <w:sz w:val="18"/>
              </w:rPr>
              <w:t>$23.9bn</w:t>
            </w:r>
          </w:p>
        </w:tc>
        <w:tc>
          <w:tcPr>
            <w:tcW w:type="dxa" w:w="1872"/>
          </w:tcPr>
          <w:p>
            <w:pPr>
              <w:jc w:val="right"/>
            </w:pPr>
            <w:r/>
            <w:r>
              <w:rPr>
                <w:rFonts w:ascii="Segoe UI" w:hAnsi="Segoe UI"/>
                <w:sz w:val="18"/>
              </w:rPr>
              <w:t>$190m</w:t>
            </w:r>
          </w:p>
        </w:tc>
      </w:tr>
      <w:tr>
        <w:tc>
          <w:tcPr>
            <w:tcW w:type="dxa" w:w="1872"/>
          </w:tcPr>
          <w:p>
            <w:r/>
            <w:r>
              <w:rPr>
                <w:rFonts w:ascii="Segoe UI" w:hAnsi="Segoe UI"/>
                <w:sz w:val="18"/>
              </w:rPr>
              <w:t>Industrials</w:t>
            </w:r>
          </w:p>
        </w:tc>
        <w:tc>
          <w:tcPr>
            <w:tcW w:type="dxa" w:w="1872"/>
          </w:tcPr>
          <w:p>
            <w:pPr>
              <w:jc w:val="right"/>
            </w:pPr>
            <w:r/>
            <w:r>
              <w:rPr>
                <w:rFonts w:ascii="Segoe UI" w:hAnsi="Segoe UI"/>
                <w:sz w:val="18"/>
              </w:rPr>
              <w:t>106</w:t>
            </w:r>
          </w:p>
        </w:tc>
        <w:tc>
          <w:tcPr>
            <w:tcW w:type="dxa" w:w="1872"/>
          </w:tcPr>
          <w:p>
            <w:pPr>
              <w:jc w:val="right"/>
            </w:pPr>
            <w:r/>
            <w:r>
              <w:rPr>
                <w:rFonts w:ascii="Segoe UI" w:hAnsi="Segoe UI"/>
                <w:sz w:val="18"/>
              </w:rPr>
              <w:t>14.3%</w:t>
            </w:r>
          </w:p>
        </w:tc>
        <w:tc>
          <w:tcPr>
            <w:tcW w:type="dxa" w:w="1872"/>
          </w:tcPr>
          <w:p>
            <w:pPr>
              <w:jc w:val="right"/>
            </w:pPr>
            <w:r/>
            <w:r>
              <w:rPr>
                <w:rFonts w:ascii="Segoe UI" w:hAnsi="Segoe UI"/>
                <w:sz w:val="18"/>
              </w:rPr>
              <w:t>$53.0bn</w:t>
            </w:r>
          </w:p>
        </w:tc>
        <w:tc>
          <w:tcPr>
            <w:tcW w:type="dxa" w:w="1872"/>
          </w:tcPr>
          <w:p>
            <w:pPr>
              <w:jc w:val="right"/>
            </w:pPr>
            <w:r/>
            <w:r>
              <w:rPr>
                <w:rFonts w:ascii="Segoe UI" w:hAnsi="Segoe UI"/>
                <w:sz w:val="18"/>
              </w:rPr>
              <w:t>$677m</w:t>
            </w:r>
          </w:p>
        </w:tc>
      </w:tr>
      <w:tr>
        <w:tc>
          <w:tcPr>
            <w:tcW w:type="dxa" w:w="1872"/>
          </w:tcPr>
          <w:p>
            <w:r/>
            <w:r>
              <w:rPr>
                <w:rFonts w:ascii="Segoe UI" w:hAnsi="Segoe UI"/>
                <w:sz w:val="18"/>
              </w:rPr>
              <w:t>Energy &amp; Infrastructure</w:t>
            </w:r>
          </w:p>
        </w:tc>
        <w:tc>
          <w:tcPr>
            <w:tcW w:type="dxa" w:w="1872"/>
          </w:tcPr>
          <w:p>
            <w:pPr>
              <w:jc w:val="right"/>
            </w:pPr>
            <w:r/>
            <w:r>
              <w:rPr>
                <w:rFonts w:ascii="Segoe UI" w:hAnsi="Segoe UI"/>
                <w:sz w:val="18"/>
              </w:rPr>
              <w:t>85</w:t>
            </w:r>
          </w:p>
        </w:tc>
        <w:tc>
          <w:tcPr>
            <w:tcW w:type="dxa" w:w="1872"/>
          </w:tcPr>
          <w:p>
            <w:pPr>
              <w:jc w:val="right"/>
            </w:pPr>
            <w:r/>
            <w:r>
              <w:rPr>
                <w:rFonts w:ascii="Segoe UI" w:hAnsi="Segoe UI"/>
                <w:sz w:val="18"/>
              </w:rPr>
              <w:t>11.5%</w:t>
            </w:r>
          </w:p>
        </w:tc>
        <w:tc>
          <w:tcPr>
            <w:tcW w:type="dxa" w:w="1872"/>
          </w:tcPr>
          <w:p>
            <w:pPr>
              <w:jc w:val="right"/>
            </w:pPr>
            <w:r/>
            <w:r>
              <w:rPr>
                <w:rFonts w:ascii="Segoe UI" w:hAnsi="Segoe UI"/>
                <w:sz w:val="18"/>
              </w:rPr>
              <w:t>$31.4bn</w:t>
            </w:r>
          </w:p>
        </w:tc>
        <w:tc>
          <w:tcPr>
            <w:tcW w:type="dxa" w:w="1872"/>
          </w:tcPr>
          <w:p>
            <w:pPr>
              <w:jc w:val="right"/>
            </w:pPr>
            <w:r/>
            <w:r>
              <w:rPr>
                <w:rFonts w:ascii="Segoe UI" w:hAnsi="Segoe UI"/>
                <w:sz w:val="18"/>
              </w:rPr>
              <w:t>$371m</w:t>
            </w:r>
          </w:p>
        </w:tc>
      </w:tr>
      <w:tr>
        <w:tc>
          <w:tcPr>
            <w:tcW w:type="dxa" w:w="1872"/>
          </w:tcPr>
          <w:p>
            <w:r/>
            <w:r>
              <w:rPr>
                <w:rFonts w:ascii="Segoe UI" w:hAnsi="Segoe UI"/>
                <w:sz w:val="18"/>
              </w:rPr>
              <w:t>Healthcare</w:t>
            </w:r>
          </w:p>
        </w:tc>
        <w:tc>
          <w:tcPr>
            <w:tcW w:type="dxa" w:w="1872"/>
          </w:tcPr>
          <w:p>
            <w:pPr>
              <w:jc w:val="right"/>
            </w:pPr>
            <w:r/>
            <w:r>
              <w:rPr>
                <w:rFonts w:ascii="Segoe UI" w:hAnsi="Segoe UI"/>
                <w:sz w:val="18"/>
              </w:rPr>
              <w:t>70</w:t>
            </w:r>
          </w:p>
        </w:tc>
        <w:tc>
          <w:tcPr>
            <w:tcW w:type="dxa" w:w="1872"/>
          </w:tcPr>
          <w:p>
            <w:pPr>
              <w:jc w:val="right"/>
            </w:pPr>
            <w:r/>
            <w:r>
              <w:rPr>
                <w:rFonts w:ascii="Segoe UI" w:hAnsi="Segoe UI"/>
                <w:sz w:val="18"/>
              </w:rPr>
              <w:t>9.5%</w:t>
            </w:r>
          </w:p>
        </w:tc>
        <w:tc>
          <w:tcPr>
            <w:tcW w:type="dxa" w:w="1872"/>
          </w:tcPr>
          <w:p>
            <w:pPr>
              <w:jc w:val="right"/>
            </w:pPr>
            <w:r/>
            <w:r>
              <w:rPr>
                <w:rFonts w:ascii="Segoe UI" w:hAnsi="Segoe UI"/>
                <w:sz w:val="18"/>
              </w:rPr>
              <w:t>$13.9bn</w:t>
            </w:r>
          </w:p>
        </w:tc>
        <w:tc>
          <w:tcPr>
            <w:tcW w:type="dxa" w:w="1872"/>
          </w:tcPr>
          <w:p>
            <w:pPr>
              <w:jc w:val="right"/>
            </w:pPr>
            <w:r/>
            <w:r>
              <w:rPr>
                <w:rFonts w:ascii="Segoe UI" w:hAnsi="Segoe UI"/>
                <w:sz w:val="18"/>
              </w:rPr>
              <w:t>$275m</w:t>
            </w:r>
          </w:p>
        </w:tc>
      </w:tr>
      <w:tr>
        <w:tc>
          <w:tcPr>
            <w:tcW w:type="dxa" w:w="1872"/>
          </w:tcPr>
          <w:p>
            <w:r/>
            <w:r>
              <w:rPr>
                <w:rFonts w:ascii="Segoe UI" w:hAnsi="Segoe UI"/>
                <w:sz w:val="18"/>
              </w:rPr>
              <w:t>Business Services</w:t>
            </w:r>
          </w:p>
        </w:tc>
        <w:tc>
          <w:tcPr>
            <w:tcW w:type="dxa" w:w="1872"/>
          </w:tcPr>
          <w:p>
            <w:pPr>
              <w:jc w:val="right"/>
            </w:pPr>
            <w:r/>
            <w:r>
              <w:rPr>
                <w:rFonts w:ascii="Segoe UI" w:hAnsi="Segoe UI"/>
                <w:sz w:val="18"/>
              </w:rPr>
              <w:t>65</w:t>
            </w:r>
          </w:p>
        </w:tc>
        <w:tc>
          <w:tcPr>
            <w:tcW w:type="dxa" w:w="1872"/>
          </w:tcPr>
          <w:p>
            <w:pPr>
              <w:jc w:val="right"/>
            </w:pPr>
            <w:r/>
            <w:r>
              <w:rPr>
                <w:rFonts w:ascii="Segoe UI" w:hAnsi="Segoe UI"/>
                <w:sz w:val="18"/>
              </w:rPr>
              <w:t>8.8%</w:t>
            </w:r>
          </w:p>
        </w:tc>
        <w:tc>
          <w:tcPr>
            <w:tcW w:type="dxa" w:w="1872"/>
          </w:tcPr>
          <w:p>
            <w:pPr>
              <w:jc w:val="right"/>
            </w:pPr>
            <w:r/>
            <w:r>
              <w:rPr>
                <w:rFonts w:ascii="Segoe UI" w:hAnsi="Segoe UI"/>
                <w:sz w:val="18"/>
              </w:rPr>
              <w:t>$8.2bn</w:t>
            </w:r>
          </w:p>
        </w:tc>
        <w:tc>
          <w:tcPr>
            <w:tcW w:type="dxa" w:w="1872"/>
          </w:tcPr>
          <w:p>
            <w:pPr>
              <w:jc w:val="right"/>
            </w:pPr>
            <w:r/>
            <w:r>
              <w:rPr>
                <w:rFonts w:ascii="Segoe UI" w:hAnsi="Segoe UI"/>
                <w:sz w:val="18"/>
              </w:rPr>
              <w:t>$218m</w:t>
            </w:r>
          </w:p>
        </w:tc>
      </w:tr>
      <w:tr>
        <w:tc>
          <w:tcPr>
            <w:tcW w:type="dxa" w:w="1872"/>
          </w:tcPr>
          <w:p>
            <w:r/>
            <w:r>
              <w:rPr>
                <w:rFonts w:ascii="Segoe UI" w:hAnsi="Segoe UI"/>
                <w:sz w:val="18"/>
              </w:rPr>
              <w:t>Financial Services</w:t>
            </w:r>
          </w:p>
        </w:tc>
        <w:tc>
          <w:tcPr>
            <w:tcW w:type="dxa" w:w="1872"/>
          </w:tcPr>
          <w:p>
            <w:pPr>
              <w:jc w:val="right"/>
            </w:pPr>
            <w:r/>
            <w:r>
              <w:rPr>
                <w:rFonts w:ascii="Segoe UI" w:hAnsi="Segoe UI"/>
                <w:sz w:val="18"/>
              </w:rPr>
              <w:t>59</w:t>
            </w:r>
          </w:p>
        </w:tc>
        <w:tc>
          <w:tcPr>
            <w:tcW w:type="dxa" w:w="1872"/>
          </w:tcPr>
          <w:p>
            <w:pPr>
              <w:jc w:val="right"/>
            </w:pPr>
            <w:r/>
            <w:r>
              <w:rPr>
                <w:rFonts w:ascii="Segoe UI" w:hAnsi="Segoe UI"/>
                <w:sz w:val="18"/>
              </w:rPr>
              <w:t>8.0%</w:t>
            </w:r>
          </w:p>
        </w:tc>
        <w:tc>
          <w:tcPr>
            <w:tcW w:type="dxa" w:w="1872"/>
          </w:tcPr>
          <w:p>
            <w:pPr>
              <w:jc w:val="right"/>
            </w:pPr>
            <w:r/>
            <w:r>
              <w:rPr>
                <w:rFonts w:ascii="Segoe UI" w:hAnsi="Segoe UI"/>
                <w:sz w:val="18"/>
              </w:rPr>
              <w:t>$46.1bn</w:t>
            </w:r>
          </w:p>
        </w:tc>
        <w:tc>
          <w:tcPr>
            <w:tcW w:type="dxa" w:w="1872"/>
          </w:tcPr>
          <w:p>
            <w:pPr>
              <w:jc w:val="right"/>
            </w:pPr>
            <w:r/>
            <w:r>
              <w:rPr>
                <w:rFonts w:ascii="Segoe UI" w:hAnsi="Segoe UI"/>
                <w:sz w:val="18"/>
              </w:rPr>
              <w:t>$335m</w:t>
            </w:r>
          </w:p>
        </w:tc>
      </w:tr>
      <w:tr>
        <w:tc>
          <w:tcPr>
            <w:tcW w:type="dxa" w:w="1872"/>
          </w:tcPr>
          <w:p>
            <w:r/>
            <w:r>
              <w:rPr>
                <w:rFonts w:ascii="Segoe UI" w:hAnsi="Segoe UI"/>
                <w:sz w:val="18"/>
              </w:rPr>
              <w:t>Real Estate</w:t>
            </w:r>
          </w:p>
        </w:tc>
        <w:tc>
          <w:tcPr>
            <w:tcW w:type="dxa" w:w="1872"/>
          </w:tcPr>
          <w:p>
            <w:pPr>
              <w:jc w:val="right"/>
            </w:pPr>
            <w:r/>
            <w:r>
              <w:rPr>
                <w:rFonts w:ascii="Segoe UI" w:hAnsi="Segoe UI"/>
                <w:sz w:val="18"/>
              </w:rPr>
              <w:t>45</w:t>
            </w:r>
          </w:p>
        </w:tc>
        <w:tc>
          <w:tcPr>
            <w:tcW w:type="dxa" w:w="1872"/>
          </w:tcPr>
          <w:p>
            <w:pPr>
              <w:jc w:val="right"/>
            </w:pPr>
            <w:r/>
            <w:r>
              <w:rPr>
                <w:rFonts w:ascii="Segoe UI" w:hAnsi="Segoe UI"/>
                <w:sz w:val="18"/>
              </w:rPr>
              <w:t>6.1%</w:t>
            </w:r>
          </w:p>
        </w:tc>
        <w:tc>
          <w:tcPr>
            <w:tcW w:type="dxa" w:w="1872"/>
          </w:tcPr>
          <w:p>
            <w:pPr>
              <w:jc w:val="right"/>
            </w:pPr>
            <w:r/>
            <w:r>
              <w:rPr>
                <w:rFonts w:ascii="Segoe UI" w:hAnsi="Segoe UI"/>
                <w:sz w:val="18"/>
              </w:rPr>
              <w:t>$16.5bn</w:t>
            </w:r>
          </w:p>
        </w:tc>
        <w:tc>
          <w:tcPr>
            <w:tcW w:type="dxa" w:w="1872"/>
          </w:tcPr>
          <w:p>
            <w:pPr>
              <w:jc w:val="right"/>
            </w:pPr>
            <w:r/>
            <w:r>
              <w:rPr>
                <w:rFonts w:ascii="Segoe UI" w:hAnsi="Segoe UI"/>
                <w:sz w:val="18"/>
              </w:rPr>
              <w:t>$188m</w:t>
            </w:r>
          </w:p>
        </w:tc>
      </w:tr>
      <w:tr>
        <w:tc>
          <w:tcPr>
            <w:tcW w:type="dxa" w:w="1872"/>
          </w:tcPr>
          <w:p>
            <w:r/>
            <w:r>
              <w:rPr>
                <w:rFonts w:ascii="Segoe UI" w:hAnsi="Segoe UI"/>
                <w:sz w:val="18"/>
              </w:rPr>
              <w:t>Materials &amp; Chemicals</w:t>
            </w:r>
          </w:p>
        </w:tc>
        <w:tc>
          <w:tcPr>
            <w:tcW w:type="dxa" w:w="1872"/>
          </w:tcPr>
          <w:p>
            <w:pPr>
              <w:jc w:val="right"/>
            </w:pPr>
            <w:r/>
            <w:r>
              <w:rPr>
                <w:rFonts w:ascii="Segoe UI" w:hAnsi="Segoe UI"/>
                <w:sz w:val="18"/>
              </w:rPr>
              <w:t>36</w:t>
            </w:r>
          </w:p>
        </w:tc>
        <w:tc>
          <w:tcPr>
            <w:tcW w:type="dxa" w:w="1872"/>
          </w:tcPr>
          <w:p>
            <w:pPr>
              <w:jc w:val="right"/>
            </w:pPr>
            <w:r/>
            <w:r>
              <w:rPr>
                <w:rFonts w:ascii="Segoe UI" w:hAnsi="Segoe UI"/>
                <w:sz w:val="18"/>
              </w:rPr>
              <w:t>4.9%</w:t>
            </w:r>
          </w:p>
        </w:tc>
        <w:tc>
          <w:tcPr>
            <w:tcW w:type="dxa" w:w="1872"/>
          </w:tcPr>
          <w:p>
            <w:pPr>
              <w:jc w:val="right"/>
            </w:pPr>
            <w:r/>
            <w:r>
              <w:rPr>
                <w:rFonts w:ascii="Segoe UI" w:hAnsi="Segoe UI"/>
                <w:sz w:val="18"/>
              </w:rPr>
              <w:t>$6.3bn</w:t>
            </w:r>
          </w:p>
        </w:tc>
        <w:tc>
          <w:tcPr>
            <w:tcW w:type="dxa" w:w="1872"/>
          </w:tcPr>
          <w:p>
            <w:pPr>
              <w:jc w:val="right"/>
            </w:pPr>
            <w:r/>
            <w:r>
              <w:rPr>
                <w:rFonts w:ascii="Segoe UI" w:hAnsi="Segoe UI"/>
                <w:sz w:val="18"/>
              </w:rPr>
              <w:t>$110m</w:t>
            </w:r>
          </w:p>
        </w:tc>
      </w:tr>
      <w:tr>
        <w:tc>
          <w:tcPr>
            <w:tcW w:type="dxa" w:w="1872"/>
          </w:tcPr>
          <w:p>
            <w:r/>
            <w:r>
              <w:rPr>
                <w:rFonts w:ascii="Segoe UI" w:hAnsi="Segoe UI"/>
                <w:sz w:val="18"/>
              </w:rPr>
              <w:t>Aerospace &amp; Defence</w:t>
            </w:r>
          </w:p>
        </w:tc>
        <w:tc>
          <w:tcPr>
            <w:tcW w:type="dxa" w:w="1872"/>
          </w:tcPr>
          <w:p>
            <w:pPr>
              <w:jc w:val="right"/>
            </w:pPr>
            <w:r/>
            <w:r>
              <w:rPr>
                <w:rFonts w:ascii="Segoe UI" w:hAnsi="Segoe UI"/>
                <w:sz w:val="18"/>
              </w:rPr>
              <w:t>19</w:t>
            </w:r>
          </w:p>
        </w:tc>
        <w:tc>
          <w:tcPr>
            <w:tcW w:type="dxa" w:w="1872"/>
          </w:tcPr>
          <w:p>
            <w:pPr>
              <w:jc w:val="right"/>
            </w:pPr>
            <w:r/>
            <w:r>
              <w:rPr>
                <w:rFonts w:ascii="Segoe UI" w:hAnsi="Segoe UI"/>
                <w:sz w:val="18"/>
              </w:rPr>
              <w:t>2.6%</w:t>
            </w:r>
          </w:p>
        </w:tc>
        <w:tc>
          <w:tcPr>
            <w:tcW w:type="dxa" w:w="1872"/>
          </w:tcPr>
          <w:p>
            <w:pPr>
              <w:jc w:val="right"/>
            </w:pPr>
            <w:r/>
            <w:r>
              <w:rPr>
                <w:rFonts w:ascii="Segoe UI" w:hAnsi="Segoe UI"/>
                <w:sz w:val="18"/>
              </w:rPr>
              <w:t>$8.2bn</w:t>
            </w:r>
          </w:p>
        </w:tc>
        <w:tc>
          <w:tcPr>
            <w:tcW w:type="dxa" w:w="1872"/>
          </w:tcPr>
          <w:p>
            <w:pPr>
              <w:jc w:val="right"/>
            </w:pPr>
            <w:r/>
            <w:r>
              <w:rPr>
                <w:rFonts w:ascii="Segoe UI" w:hAnsi="Segoe UI"/>
                <w:sz w:val="18"/>
              </w:rPr>
              <w:t>$686m</w:t>
            </w:r>
          </w:p>
        </w:tc>
      </w:tr>
    </w:tbl>
    <w:p/>
    <w:p>
      <w:r>
        <w:t>TMT leads on transaction count with the second lowest median value in the corpus. Industrials records fewer transactions at more than five times the median size. Aerospace &amp; Defence is smaller again by volume yet carries the highest median of any sector. Financial Services accounts for eight percent of transactions and $46.1bn of disclosed value.</w:t>
      </w:r>
    </w:p>
    <w:p>
      <w:r>
        <w:t>The distribution of transaction sizes reinforces the point.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0D1B2A"/>
          </w:tcPr>
          <w:p>
            <w:r/>
            <w:r>
              <w:rPr>
                <w:rFonts w:ascii="Segoe UI" w:hAnsi="Segoe UI"/>
                <w:b/>
                <w:color w:val="FFFFFF"/>
                <w:sz w:val="17"/>
              </w:rPr>
              <w:t>Value band</w:t>
            </w:r>
          </w:p>
        </w:tc>
        <w:tc>
          <w:tcPr>
            <w:tcW w:type="dxa" w:w="3120"/>
            <w:shd w:val="clear" w:fill="0D1B2A"/>
          </w:tcPr>
          <w:p>
            <w:r/>
            <w:r>
              <w:rPr>
                <w:rFonts w:ascii="Segoe UI" w:hAnsi="Segoe UI"/>
                <w:b/>
                <w:color w:val="FFFFFF"/>
                <w:sz w:val="17"/>
              </w:rPr>
              <w:t>Transactions</w:t>
            </w:r>
          </w:p>
        </w:tc>
        <w:tc>
          <w:tcPr>
            <w:tcW w:type="dxa" w:w="3120"/>
            <w:shd w:val="clear" w:fill="0D1B2A"/>
          </w:tcPr>
          <w:p>
            <w:r/>
            <w:r>
              <w:rPr>
                <w:rFonts w:ascii="Segoe UI" w:hAnsi="Segoe UI"/>
                <w:b/>
                <w:color w:val="FFFFFF"/>
                <w:sz w:val="17"/>
              </w:rPr>
              <w:t>Share</w:t>
            </w:r>
          </w:p>
        </w:tc>
      </w:tr>
      <w:tr>
        <w:tc>
          <w:tcPr>
            <w:tcW w:type="dxa" w:w="3120"/>
          </w:tcPr>
          <w:p>
            <w:r/>
            <w:r>
              <w:rPr>
                <w:rFonts w:ascii="Segoe UI" w:hAnsi="Segoe UI"/>
                <w:sz w:val="18"/>
              </w:rPr>
              <w:t>Under $10m</w:t>
            </w:r>
          </w:p>
        </w:tc>
        <w:tc>
          <w:tcPr>
            <w:tcW w:type="dxa" w:w="3120"/>
          </w:tcPr>
          <w:p>
            <w:pPr>
              <w:jc w:val="right"/>
            </w:pPr>
            <w:r/>
            <w:r>
              <w:rPr>
                <w:rFonts w:ascii="Segoe UI" w:hAnsi="Segoe UI"/>
                <w:sz w:val="18"/>
              </w:rPr>
              <w:t>33</w:t>
            </w:r>
          </w:p>
        </w:tc>
        <w:tc>
          <w:tcPr>
            <w:tcW w:type="dxa" w:w="3120"/>
          </w:tcPr>
          <w:p>
            <w:pPr>
              <w:jc w:val="right"/>
            </w:pPr>
            <w:r/>
            <w:r>
              <w:rPr>
                <w:rFonts w:ascii="Segoe UI" w:hAnsi="Segoe UI"/>
                <w:sz w:val="18"/>
              </w:rPr>
              <w:t>13.8%</w:t>
            </w:r>
          </w:p>
        </w:tc>
      </w:tr>
      <w:tr>
        <w:tc>
          <w:tcPr>
            <w:tcW w:type="dxa" w:w="3120"/>
          </w:tcPr>
          <w:p>
            <w:r/>
            <w:r>
              <w:rPr>
                <w:rFonts w:ascii="Segoe UI" w:hAnsi="Segoe UI"/>
                <w:sz w:val="18"/>
              </w:rPr>
              <w:t>$10m to $50m</w:t>
            </w:r>
          </w:p>
        </w:tc>
        <w:tc>
          <w:tcPr>
            <w:tcW w:type="dxa" w:w="3120"/>
          </w:tcPr>
          <w:p>
            <w:pPr>
              <w:jc w:val="right"/>
            </w:pPr>
            <w:r/>
            <w:r>
              <w:rPr>
                <w:rFonts w:ascii="Segoe UI" w:hAnsi="Segoe UI"/>
                <w:sz w:val="18"/>
              </w:rPr>
              <w:t>35</w:t>
            </w:r>
          </w:p>
        </w:tc>
        <w:tc>
          <w:tcPr>
            <w:tcW w:type="dxa" w:w="3120"/>
          </w:tcPr>
          <w:p>
            <w:pPr>
              <w:jc w:val="right"/>
            </w:pPr>
            <w:r/>
            <w:r>
              <w:rPr>
                <w:rFonts w:ascii="Segoe UI" w:hAnsi="Segoe UI"/>
                <w:sz w:val="18"/>
              </w:rPr>
              <w:t>14.6%</w:t>
            </w:r>
          </w:p>
        </w:tc>
      </w:tr>
      <w:tr>
        <w:tc>
          <w:tcPr>
            <w:tcW w:type="dxa" w:w="3120"/>
          </w:tcPr>
          <w:p>
            <w:r/>
            <w:r>
              <w:rPr>
                <w:rFonts w:ascii="Segoe UI" w:hAnsi="Segoe UI"/>
                <w:sz w:val="18"/>
              </w:rPr>
              <w:t>$50m to $100m</w:t>
            </w:r>
          </w:p>
        </w:tc>
        <w:tc>
          <w:tcPr>
            <w:tcW w:type="dxa" w:w="3120"/>
          </w:tcPr>
          <w:p>
            <w:pPr>
              <w:jc w:val="right"/>
            </w:pPr>
            <w:r/>
            <w:r>
              <w:rPr>
                <w:rFonts w:ascii="Segoe UI" w:hAnsi="Segoe UI"/>
                <w:sz w:val="18"/>
              </w:rPr>
              <w:t>21</w:t>
            </w:r>
          </w:p>
        </w:tc>
        <w:tc>
          <w:tcPr>
            <w:tcW w:type="dxa" w:w="3120"/>
          </w:tcPr>
          <w:p>
            <w:pPr>
              <w:jc w:val="right"/>
            </w:pPr>
            <w:r/>
            <w:r>
              <w:rPr>
                <w:rFonts w:ascii="Segoe UI" w:hAnsi="Segoe UI"/>
                <w:sz w:val="18"/>
              </w:rPr>
              <w:t>8.8%</w:t>
            </w:r>
          </w:p>
        </w:tc>
      </w:tr>
      <w:tr>
        <w:tc>
          <w:tcPr>
            <w:tcW w:type="dxa" w:w="3120"/>
          </w:tcPr>
          <w:p>
            <w:r/>
            <w:r>
              <w:rPr>
                <w:rFonts w:ascii="Segoe UI" w:hAnsi="Segoe UI"/>
                <w:sz w:val="18"/>
              </w:rPr>
              <w:t>$100m to $500m</w:t>
            </w:r>
          </w:p>
        </w:tc>
        <w:tc>
          <w:tcPr>
            <w:tcW w:type="dxa" w:w="3120"/>
          </w:tcPr>
          <w:p>
            <w:pPr>
              <w:jc w:val="right"/>
            </w:pPr>
            <w:r/>
            <w:r>
              <w:rPr>
                <w:rFonts w:ascii="Segoe UI" w:hAnsi="Segoe UI"/>
                <w:sz w:val="18"/>
              </w:rPr>
              <w:t>66</w:t>
            </w:r>
          </w:p>
        </w:tc>
        <w:tc>
          <w:tcPr>
            <w:tcW w:type="dxa" w:w="3120"/>
          </w:tcPr>
          <w:p>
            <w:pPr>
              <w:jc w:val="right"/>
            </w:pPr>
            <w:r/>
            <w:r>
              <w:rPr>
                <w:rFonts w:ascii="Segoe UI" w:hAnsi="Segoe UI"/>
                <w:sz w:val="18"/>
              </w:rPr>
              <w:t>27.6%</w:t>
            </w:r>
          </w:p>
        </w:tc>
      </w:tr>
      <w:tr>
        <w:tc>
          <w:tcPr>
            <w:tcW w:type="dxa" w:w="3120"/>
          </w:tcPr>
          <w:p>
            <w:r/>
            <w:r>
              <w:rPr>
                <w:rFonts w:ascii="Segoe UI" w:hAnsi="Segoe UI"/>
                <w:sz w:val="18"/>
              </w:rPr>
              <w:t>$500m to $1bn</w:t>
            </w:r>
          </w:p>
        </w:tc>
        <w:tc>
          <w:tcPr>
            <w:tcW w:type="dxa" w:w="3120"/>
          </w:tcPr>
          <w:p>
            <w:pPr>
              <w:jc w:val="right"/>
            </w:pPr>
            <w:r/>
            <w:r>
              <w:rPr>
                <w:rFonts w:ascii="Segoe UI" w:hAnsi="Segoe UI"/>
                <w:sz w:val="18"/>
              </w:rPr>
              <w:t>26</w:t>
            </w:r>
          </w:p>
        </w:tc>
        <w:tc>
          <w:tcPr>
            <w:tcW w:type="dxa" w:w="3120"/>
          </w:tcPr>
          <w:p>
            <w:pPr>
              <w:jc w:val="right"/>
            </w:pPr>
            <w:r/>
            <w:r>
              <w:rPr>
                <w:rFonts w:ascii="Segoe UI" w:hAnsi="Segoe UI"/>
                <w:sz w:val="18"/>
              </w:rPr>
              <w:t>10.9%</w:t>
            </w:r>
          </w:p>
        </w:tc>
      </w:tr>
      <w:tr>
        <w:tc>
          <w:tcPr>
            <w:tcW w:type="dxa" w:w="3120"/>
          </w:tcPr>
          <w:p>
            <w:r/>
            <w:r>
              <w:rPr>
                <w:rFonts w:ascii="Segoe UI" w:hAnsi="Segoe UI"/>
                <w:sz w:val="18"/>
              </w:rPr>
              <w:t>$1bn to $10bn</w:t>
            </w:r>
          </w:p>
        </w:tc>
        <w:tc>
          <w:tcPr>
            <w:tcW w:type="dxa" w:w="3120"/>
          </w:tcPr>
          <w:p>
            <w:pPr>
              <w:jc w:val="right"/>
            </w:pPr>
            <w:r/>
            <w:r>
              <w:rPr>
                <w:rFonts w:ascii="Segoe UI" w:hAnsi="Segoe UI"/>
                <w:sz w:val="18"/>
              </w:rPr>
              <w:t>55</w:t>
            </w:r>
          </w:p>
        </w:tc>
        <w:tc>
          <w:tcPr>
            <w:tcW w:type="dxa" w:w="3120"/>
          </w:tcPr>
          <w:p>
            <w:pPr>
              <w:jc w:val="right"/>
            </w:pPr>
            <w:r/>
            <w:r>
              <w:rPr>
                <w:rFonts w:ascii="Segoe UI" w:hAnsi="Segoe UI"/>
                <w:sz w:val="18"/>
              </w:rPr>
              <w:t>23.0%</w:t>
            </w:r>
          </w:p>
        </w:tc>
      </w:tr>
      <w:tr>
        <w:tc>
          <w:tcPr>
            <w:tcW w:type="dxa" w:w="3120"/>
          </w:tcPr>
          <w:p>
            <w:r/>
            <w:r>
              <w:rPr>
                <w:rFonts w:ascii="Segoe UI" w:hAnsi="Segoe UI"/>
                <w:sz w:val="18"/>
              </w:rPr>
              <w:t>$10bn and above</w:t>
            </w:r>
          </w:p>
        </w:tc>
        <w:tc>
          <w:tcPr>
            <w:tcW w:type="dxa" w:w="3120"/>
          </w:tcPr>
          <w:p>
            <w:pPr>
              <w:jc w:val="right"/>
            </w:pPr>
            <w:r/>
            <w:r>
              <w:rPr>
                <w:rFonts w:ascii="Segoe UI" w:hAnsi="Segoe UI"/>
                <w:sz w:val="18"/>
              </w:rPr>
              <w:t>3</w:t>
            </w:r>
          </w:p>
        </w:tc>
        <w:tc>
          <w:tcPr>
            <w:tcW w:type="dxa" w:w="3120"/>
          </w:tcPr>
          <w:p>
            <w:pPr>
              <w:jc w:val="right"/>
            </w:pPr>
            <w:r/>
            <w:r>
              <w:rPr>
                <w:rFonts w:ascii="Segoe UI" w:hAnsi="Segoe UI"/>
                <w:sz w:val="18"/>
              </w:rPr>
              <w:t>1.3%</w:t>
            </w:r>
          </w:p>
        </w:tc>
      </w:tr>
    </w:tbl>
    <w:p/>
    <w:p>
      <w:r>
        <w:t>Thirty-seven percent of disclosed transactions fell below $100m and twenty-four percent above $1bn, with a comparatively thin band between them. These represent two distinct markets requiring different coverage models.</w:t>
      </w:r>
    </w:p>
    <w:p>
      <w:r>
        <w:t>For consulting firms this distinction matters. Origination strategies built purely around transaction counts risk over-indexing on busy sectors while underestimating markets that create larger and more valuable advisory opportunities. Complexity, integration requirements and operational change often matter more than transaction volume alone.</w:t>
      </w:r>
    </w:p>
    <w:p>
      <w:pPr>
        <w:pBdr>
          <w:bottom w:val="single" w:sz="6" w:color="C9A84C"/>
        </w:pBdr>
      </w:pPr>
    </w:p>
    <w:p>
      <w:pPr>
        <w:spacing w:before="400" w:after="160"/>
      </w:pPr>
      <w:r>
        <w:rPr>
          <w:rFonts w:ascii="Georgia" w:hAnsi="Georgia"/>
          <w:b/>
          <w:color w:val="0D1B2A"/>
          <w:sz w:val="30"/>
        </w:rPr>
        <w:t>6. The Role of Integration, Carve-Outs and Transformation</w:t>
      </w:r>
    </w:p>
    <w:p>
      <w:r>
        <w:t>Carve-outs represented one of the most important themes within the dataset. Although they accounted for a minority of transactions, they frequently generated extensive advisory requirements. Separation planning, TSA design, operating model creation, technology migration, organisational restructuring and synergy capture can run for months or years after a transaction closes.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0D1B2A"/>
          </w:tcPr>
          <w:p>
            <w:r/>
            <w:r>
              <w:rPr>
                <w:rFonts w:ascii="Segoe UI" w:hAnsi="Segoe UI"/>
                <w:b/>
                <w:color w:val="FFFFFF"/>
                <w:sz w:val="17"/>
              </w:rPr>
              <w:t>Structure</w:t>
            </w:r>
          </w:p>
        </w:tc>
        <w:tc>
          <w:tcPr>
            <w:tcW w:type="dxa" w:w="2340"/>
            <w:shd w:val="clear" w:fill="0D1B2A"/>
          </w:tcPr>
          <w:p>
            <w:r/>
            <w:r>
              <w:rPr>
                <w:rFonts w:ascii="Segoe UI" w:hAnsi="Segoe UI"/>
                <w:b/>
                <w:color w:val="FFFFFF"/>
                <w:sz w:val="17"/>
              </w:rPr>
              <w:t>Transactions</w:t>
            </w:r>
          </w:p>
        </w:tc>
        <w:tc>
          <w:tcPr>
            <w:tcW w:type="dxa" w:w="2340"/>
            <w:shd w:val="clear" w:fill="0D1B2A"/>
          </w:tcPr>
          <w:p>
            <w:r/>
            <w:r>
              <w:rPr>
                <w:rFonts w:ascii="Segoe UI" w:hAnsi="Segoe UI"/>
                <w:b/>
                <w:color w:val="FFFFFF"/>
                <w:sz w:val="17"/>
              </w:rPr>
              <w:t>Share</w:t>
            </w:r>
          </w:p>
        </w:tc>
        <w:tc>
          <w:tcPr>
            <w:tcW w:type="dxa" w:w="2340"/>
            <w:shd w:val="clear" w:fill="0D1B2A"/>
          </w:tcPr>
          <w:p>
            <w:r/>
            <w:r>
              <w:rPr>
                <w:rFonts w:ascii="Segoe UI" w:hAnsi="Segoe UI"/>
                <w:b/>
                <w:color w:val="FFFFFF"/>
                <w:sz w:val="17"/>
              </w:rPr>
              <w:t>Median value</w:t>
            </w:r>
          </w:p>
        </w:tc>
      </w:tr>
      <w:tr>
        <w:tc>
          <w:tcPr>
            <w:tcW w:type="dxa" w:w="2340"/>
          </w:tcPr>
          <w:p>
            <w:r/>
            <w:r>
              <w:rPr>
                <w:rFonts w:ascii="Segoe UI" w:hAnsi="Segoe UI"/>
                <w:sz w:val="18"/>
              </w:rPr>
              <w:t>Acquisition</w:t>
            </w:r>
          </w:p>
        </w:tc>
        <w:tc>
          <w:tcPr>
            <w:tcW w:type="dxa" w:w="2340"/>
          </w:tcPr>
          <w:p>
            <w:pPr>
              <w:jc w:val="right"/>
            </w:pPr>
            <w:r/>
            <w:r>
              <w:rPr>
                <w:rFonts w:ascii="Segoe UI" w:hAnsi="Segoe UI"/>
                <w:sz w:val="18"/>
              </w:rPr>
              <w:t>598</w:t>
            </w:r>
          </w:p>
        </w:tc>
        <w:tc>
          <w:tcPr>
            <w:tcW w:type="dxa" w:w="2340"/>
          </w:tcPr>
          <w:p>
            <w:pPr>
              <w:jc w:val="right"/>
            </w:pPr>
            <w:r/>
            <w:r>
              <w:rPr>
                <w:rFonts w:ascii="Segoe UI" w:hAnsi="Segoe UI"/>
                <w:sz w:val="18"/>
              </w:rPr>
              <w:t>80.9%</w:t>
            </w:r>
          </w:p>
        </w:tc>
        <w:tc>
          <w:tcPr>
            <w:tcW w:type="dxa" w:w="2340"/>
          </w:tcPr>
          <w:p>
            <w:pPr>
              <w:jc w:val="right"/>
            </w:pPr>
            <w:r/>
            <w:r>
              <w:rPr>
                <w:rFonts w:ascii="Segoe UI" w:hAnsi="Segoe UI"/>
                <w:sz w:val="18"/>
              </w:rPr>
              <w:t>$253m</w:t>
            </w:r>
          </w:p>
        </w:tc>
      </w:tr>
      <w:tr>
        <w:tc>
          <w:tcPr>
            <w:tcW w:type="dxa" w:w="2340"/>
          </w:tcPr>
          <w:p>
            <w:r/>
            <w:r>
              <w:rPr>
                <w:rFonts w:ascii="Segoe UI" w:hAnsi="Segoe UI"/>
                <w:sz w:val="18"/>
              </w:rPr>
              <w:t>Carve-out</w:t>
            </w:r>
          </w:p>
        </w:tc>
        <w:tc>
          <w:tcPr>
            <w:tcW w:type="dxa" w:w="2340"/>
          </w:tcPr>
          <w:p>
            <w:pPr>
              <w:jc w:val="right"/>
            </w:pPr>
            <w:r/>
            <w:r>
              <w:rPr>
                <w:rFonts w:ascii="Segoe UI" w:hAnsi="Segoe UI"/>
                <w:sz w:val="18"/>
              </w:rPr>
              <w:t>79</w:t>
            </w:r>
          </w:p>
        </w:tc>
        <w:tc>
          <w:tcPr>
            <w:tcW w:type="dxa" w:w="2340"/>
          </w:tcPr>
          <w:p>
            <w:pPr>
              <w:jc w:val="right"/>
            </w:pPr>
            <w:r/>
            <w:r>
              <w:rPr>
                <w:rFonts w:ascii="Segoe UI" w:hAnsi="Segoe UI"/>
                <w:sz w:val="18"/>
              </w:rPr>
              <w:t>10.7%</w:t>
            </w:r>
          </w:p>
        </w:tc>
        <w:tc>
          <w:tcPr>
            <w:tcW w:type="dxa" w:w="2340"/>
          </w:tcPr>
          <w:p>
            <w:pPr>
              <w:jc w:val="right"/>
            </w:pPr>
            <w:r/>
            <w:r>
              <w:rPr>
                <w:rFonts w:ascii="Segoe UI" w:hAnsi="Segoe UI"/>
                <w:sz w:val="18"/>
              </w:rPr>
              <w:t>$206m</w:t>
            </w:r>
          </w:p>
        </w:tc>
      </w:tr>
      <w:tr>
        <w:tc>
          <w:tcPr>
            <w:tcW w:type="dxa" w:w="2340"/>
          </w:tcPr>
          <w:p>
            <w:r/>
            <w:r>
              <w:rPr>
                <w:rFonts w:ascii="Segoe UI" w:hAnsi="Segoe UI"/>
                <w:sz w:val="18"/>
              </w:rPr>
              <w:t>Minority stake</w:t>
            </w:r>
          </w:p>
        </w:tc>
        <w:tc>
          <w:tcPr>
            <w:tcW w:type="dxa" w:w="2340"/>
          </w:tcPr>
          <w:p>
            <w:pPr>
              <w:jc w:val="right"/>
            </w:pPr>
            <w:r/>
            <w:r>
              <w:rPr>
                <w:rFonts w:ascii="Segoe UI" w:hAnsi="Segoe UI"/>
                <w:sz w:val="18"/>
              </w:rPr>
              <w:t>44</w:t>
            </w:r>
          </w:p>
        </w:tc>
        <w:tc>
          <w:tcPr>
            <w:tcW w:type="dxa" w:w="2340"/>
          </w:tcPr>
          <w:p>
            <w:pPr>
              <w:jc w:val="right"/>
            </w:pPr>
            <w:r/>
            <w:r>
              <w:rPr>
                <w:rFonts w:ascii="Segoe UI" w:hAnsi="Segoe UI"/>
                <w:sz w:val="18"/>
              </w:rPr>
              <w:t>6.0%</w:t>
            </w:r>
          </w:p>
        </w:tc>
        <w:tc>
          <w:tcPr>
            <w:tcW w:type="dxa" w:w="2340"/>
          </w:tcPr>
          <w:p>
            <w:pPr>
              <w:jc w:val="right"/>
            </w:pPr>
            <w:r/>
            <w:r>
              <w:rPr>
                <w:rFonts w:ascii="Segoe UI" w:hAnsi="Segoe UI"/>
                <w:sz w:val="18"/>
              </w:rPr>
              <w:t>$74m</w:t>
            </w:r>
          </w:p>
        </w:tc>
      </w:tr>
      <w:tr>
        <w:tc>
          <w:tcPr>
            <w:tcW w:type="dxa" w:w="2340"/>
          </w:tcPr>
          <w:p>
            <w:r/>
            <w:r>
              <w:rPr>
                <w:rFonts w:ascii="Segoe UI" w:hAnsi="Segoe UI"/>
                <w:sz w:val="18"/>
              </w:rPr>
              <w:t>Merger</w:t>
            </w:r>
          </w:p>
        </w:tc>
        <w:tc>
          <w:tcPr>
            <w:tcW w:type="dxa" w:w="2340"/>
          </w:tcPr>
          <w:p>
            <w:pPr>
              <w:jc w:val="right"/>
            </w:pPr>
            <w:r/>
            <w:r>
              <w:rPr>
                <w:rFonts w:ascii="Segoe UI" w:hAnsi="Segoe UI"/>
                <w:sz w:val="18"/>
              </w:rPr>
              <w:t>10</w:t>
            </w:r>
          </w:p>
        </w:tc>
        <w:tc>
          <w:tcPr>
            <w:tcW w:type="dxa" w:w="2340"/>
          </w:tcPr>
          <w:p>
            <w:pPr>
              <w:jc w:val="right"/>
            </w:pPr>
            <w:r/>
            <w:r>
              <w:rPr>
                <w:rFonts w:ascii="Segoe UI" w:hAnsi="Segoe UI"/>
                <w:sz w:val="18"/>
              </w:rPr>
              <w:t>1.4%</w:t>
            </w:r>
          </w:p>
        </w:tc>
        <w:tc>
          <w:tcPr>
            <w:tcW w:type="dxa" w:w="2340"/>
          </w:tcPr>
          <w:p>
            <w:pPr>
              <w:jc w:val="right"/>
            </w:pPr>
            <w:r/>
            <w:r>
              <w:rPr>
                <w:rFonts w:ascii="Segoe UI" w:hAnsi="Segoe UI"/>
                <w:sz w:val="18"/>
              </w:rPr>
              <w:t>$1,010m</w:t>
            </w:r>
          </w:p>
        </w:tc>
      </w:tr>
      <w:tr>
        <w:tc>
          <w:tcPr>
            <w:tcW w:type="dxa" w:w="2340"/>
          </w:tcPr>
          <w:p>
            <w:r/>
            <w:r>
              <w:rPr>
                <w:rFonts w:ascii="Segoe UI" w:hAnsi="Segoe UI"/>
                <w:sz w:val="18"/>
              </w:rPr>
              <w:t>IPO</w:t>
            </w:r>
          </w:p>
        </w:tc>
        <w:tc>
          <w:tcPr>
            <w:tcW w:type="dxa" w:w="2340"/>
          </w:tcPr>
          <w:p>
            <w:pPr>
              <w:jc w:val="right"/>
            </w:pPr>
            <w:r/>
            <w:r>
              <w:rPr>
                <w:rFonts w:ascii="Segoe UI" w:hAnsi="Segoe UI"/>
                <w:sz w:val="18"/>
              </w:rPr>
              <w:t>6</w:t>
            </w:r>
          </w:p>
        </w:tc>
        <w:tc>
          <w:tcPr>
            <w:tcW w:type="dxa" w:w="2340"/>
          </w:tcPr>
          <w:p>
            <w:pPr>
              <w:jc w:val="right"/>
            </w:pPr>
            <w:r/>
            <w:r>
              <w:rPr>
                <w:rFonts w:ascii="Segoe UI" w:hAnsi="Segoe UI"/>
                <w:sz w:val="18"/>
              </w:rPr>
              <w:t>0.8%</w:t>
            </w:r>
          </w:p>
        </w:tc>
        <w:tc>
          <w:tcPr>
            <w:tcW w:type="dxa" w:w="2340"/>
          </w:tcPr>
          <w:p>
            <w:pPr>
              <w:jc w:val="right"/>
            </w:pPr>
            <w:r/>
            <w:r>
              <w:rPr>
                <w:rFonts w:ascii="Segoe UI" w:hAnsi="Segoe UI"/>
                <w:sz w:val="18"/>
              </w:rPr>
              <w:t>$2,400m</w:t>
            </w:r>
          </w:p>
        </w:tc>
      </w:tr>
      <w:tr>
        <w:tc>
          <w:tcPr>
            <w:tcW w:type="dxa" w:w="2340"/>
          </w:tcPr>
          <w:p>
            <w:r/>
            <w:r>
              <w:rPr>
                <w:rFonts w:ascii="Segoe UI" w:hAnsi="Segoe UI"/>
                <w:sz w:val="18"/>
              </w:rPr>
              <w:t>Joint venture</w:t>
            </w:r>
          </w:p>
        </w:tc>
        <w:tc>
          <w:tcPr>
            <w:tcW w:type="dxa" w:w="2340"/>
          </w:tcPr>
          <w:p>
            <w:pPr>
              <w:jc w:val="right"/>
            </w:pPr>
            <w:r/>
            <w:r>
              <w:rPr>
                <w:rFonts w:ascii="Segoe UI" w:hAnsi="Segoe UI"/>
                <w:sz w:val="18"/>
              </w:rPr>
              <w:t>2</w:t>
            </w:r>
          </w:p>
        </w:tc>
        <w:tc>
          <w:tcPr>
            <w:tcW w:type="dxa" w:w="2340"/>
          </w:tcPr>
          <w:p>
            <w:pPr>
              <w:jc w:val="right"/>
            </w:pPr>
            <w:r/>
            <w:r>
              <w:rPr>
                <w:rFonts w:ascii="Segoe UI" w:hAnsi="Segoe UI"/>
                <w:sz w:val="18"/>
              </w:rPr>
              <w:t>0.3%</w:t>
            </w:r>
          </w:p>
        </w:tc>
        <w:tc>
          <w:tcPr>
            <w:tcW w:type="dxa" w:w="2340"/>
          </w:tcPr>
          <w:p>
            <w:pPr>
              <w:jc w:val="right"/>
            </w:pPr>
            <w:r/>
            <w:r>
              <w:rPr>
                <w:rFonts w:ascii="Segoe UI" w:hAnsi="Segoe UI"/>
                <w:sz w:val="18"/>
              </w:rPr>
              <w:t>Not disclosed</w:t>
            </w:r>
          </w:p>
        </w:tc>
      </w:tr>
    </w:tbl>
    <w:p/>
    <w:p>
      <w:r>
        <w:t>Approximately one transaction in nine was a carve-out. Of the 82 carve-outs recorded across the full corpus, only 31 named an adviser of any discipline. For the remaining 51, the public record contains no adviser at all, despite separation being among the most advisory-intensive activities in corporate transactions.</w:t>
      </w:r>
    </w:p>
    <w:p>
      <w:r>
        <w:t>Transformation should therefore be viewed as the continuation of a transaction rather than a separate event. The announcement may attract headlines, but the majority of consulting value is often created through execution. Understanding where integration and transformation activity is occurring provides a more accurate picture of future advisory demand.</w:t>
      </w:r>
    </w:p>
    <w:p>
      <w:pPr>
        <w:pBdr>
          <w:bottom w:val="single" w:sz="6" w:color="C9A84C"/>
        </w:pBdr>
      </w:pPr>
    </w:p>
    <w:p>
      <w:pPr>
        <w:spacing w:before="400" w:after="160"/>
      </w:pPr>
      <w:r>
        <w:rPr>
          <w:rFonts w:ascii="Georgia" w:hAnsi="Georgia"/>
          <w:b/>
          <w:color w:val="0D1B2A"/>
          <w:sz w:val="30"/>
        </w:rPr>
        <w:t>7. Where Change Is Occurring</w:t>
      </w:r>
    </w:p>
    <w:p>
      <w:r>
        <w:t>Transaction activity and organisational change do not follow the same geography. The distribution of transactions by region and country is set out below.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0D1B2A"/>
          </w:tcPr>
          <w:p>
            <w:r/>
            <w:r>
              <w:rPr>
                <w:rFonts w:ascii="Segoe UI" w:hAnsi="Segoe UI"/>
                <w:b/>
                <w:color w:val="FFFFFF"/>
                <w:sz w:val="17"/>
              </w:rPr>
              <w:t>Region</w:t>
            </w:r>
          </w:p>
        </w:tc>
        <w:tc>
          <w:tcPr>
            <w:tcW w:type="dxa" w:w="1872"/>
            <w:shd w:val="clear" w:fill="0D1B2A"/>
          </w:tcPr>
          <w:p>
            <w:r/>
            <w:r>
              <w:rPr>
                <w:rFonts w:ascii="Segoe UI" w:hAnsi="Segoe UI"/>
                <w:b/>
                <w:color w:val="FFFFFF"/>
                <w:sz w:val="17"/>
              </w:rPr>
              <w:t>Transactions</w:t>
            </w:r>
          </w:p>
        </w:tc>
        <w:tc>
          <w:tcPr>
            <w:tcW w:type="dxa" w:w="1872"/>
            <w:shd w:val="clear" w:fill="0D1B2A"/>
          </w:tcPr>
          <w:p>
            <w:r/>
            <w:r>
              <w:rPr>
                <w:rFonts w:ascii="Segoe UI" w:hAnsi="Segoe UI"/>
                <w:b/>
                <w:color w:val="FFFFFF"/>
                <w:sz w:val="17"/>
              </w:rPr>
              <w:t>Share</w:t>
            </w:r>
          </w:p>
        </w:tc>
        <w:tc>
          <w:tcPr>
            <w:tcW w:type="dxa" w:w="1872"/>
            <w:shd w:val="clear" w:fill="0D1B2A"/>
          </w:tcPr>
          <w:p>
            <w:r/>
            <w:r>
              <w:rPr>
                <w:rFonts w:ascii="Segoe UI" w:hAnsi="Segoe UI"/>
                <w:b/>
                <w:color w:val="FFFFFF"/>
                <w:sz w:val="17"/>
              </w:rPr>
              <w:t>Disclosed value</w:t>
            </w:r>
          </w:p>
        </w:tc>
        <w:tc>
          <w:tcPr>
            <w:tcW w:type="dxa" w:w="1872"/>
            <w:shd w:val="clear" w:fill="0D1B2A"/>
          </w:tcPr>
          <w:p>
            <w:r/>
            <w:r>
              <w:rPr>
                <w:rFonts w:ascii="Segoe UI" w:hAnsi="Segoe UI"/>
                <w:b/>
                <w:color w:val="FFFFFF"/>
                <w:sz w:val="17"/>
              </w:rPr>
              <w:t>Median transaction</w:t>
            </w:r>
          </w:p>
        </w:tc>
      </w:tr>
      <w:tr>
        <w:tc>
          <w:tcPr>
            <w:tcW w:type="dxa" w:w="1872"/>
          </w:tcPr>
          <w:p>
            <w:r/>
            <w:r>
              <w:rPr>
                <w:rFonts w:ascii="Segoe UI" w:hAnsi="Segoe UI"/>
                <w:sz w:val="18"/>
              </w:rPr>
              <w:t>Europe</w:t>
            </w:r>
          </w:p>
        </w:tc>
        <w:tc>
          <w:tcPr>
            <w:tcW w:type="dxa" w:w="1872"/>
          </w:tcPr>
          <w:p>
            <w:pPr>
              <w:jc w:val="right"/>
            </w:pPr>
            <w:r/>
            <w:r>
              <w:rPr>
                <w:rFonts w:ascii="Segoe UI" w:hAnsi="Segoe UI"/>
                <w:sz w:val="18"/>
              </w:rPr>
              <w:t>674</w:t>
            </w:r>
          </w:p>
        </w:tc>
        <w:tc>
          <w:tcPr>
            <w:tcW w:type="dxa" w:w="1872"/>
          </w:tcPr>
          <w:p>
            <w:pPr>
              <w:jc w:val="right"/>
            </w:pPr>
            <w:r/>
            <w:r>
              <w:rPr>
                <w:rFonts w:ascii="Segoe UI" w:hAnsi="Segoe UI"/>
                <w:sz w:val="18"/>
              </w:rPr>
              <w:t>91.2%</w:t>
            </w:r>
          </w:p>
        </w:tc>
        <w:tc>
          <w:tcPr>
            <w:tcW w:type="dxa" w:w="1872"/>
          </w:tcPr>
          <w:p>
            <w:pPr>
              <w:jc w:val="right"/>
            </w:pPr>
            <w:r/>
            <w:r>
              <w:rPr>
                <w:rFonts w:ascii="Segoe UI" w:hAnsi="Segoe UI"/>
                <w:sz w:val="18"/>
              </w:rPr>
              <w:t>$242.4bn</w:t>
            </w:r>
          </w:p>
        </w:tc>
        <w:tc>
          <w:tcPr>
            <w:tcW w:type="dxa" w:w="1872"/>
          </w:tcPr>
          <w:p>
            <w:pPr>
              <w:jc w:val="right"/>
            </w:pPr>
            <w:r/>
            <w:r>
              <w:rPr>
                <w:rFonts w:ascii="Segoe UI" w:hAnsi="Segoe UI"/>
                <w:sz w:val="18"/>
              </w:rPr>
              <w:t>$290m</w:t>
            </w:r>
          </w:p>
        </w:tc>
      </w:tr>
      <w:tr>
        <w:tc>
          <w:tcPr>
            <w:tcW w:type="dxa" w:w="1872"/>
          </w:tcPr>
          <w:p>
            <w:r/>
            <w:r>
              <w:rPr>
                <w:rFonts w:ascii="Segoe UI" w:hAnsi="Segoe UI"/>
                <w:sz w:val="18"/>
              </w:rPr>
              <w:t>Africa</w:t>
            </w:r>
          </w:p>
        </w:tc>
        <w:tc>
          <w:tcPr>
            <w:tcW w:type="dxa" w:w="1872"/>
          </w:tcPr>
          <w:p>
            <w:pPr>
              <w:jc w:val="right"/>
            </w:pPr>
            <w:r/>
            <w:r>
              <w:rPr>
                <w:rFonts w:ascii="Segoe UI" w:hAnsi="Segoe UI"/>
                <w:sz w:val="18"/>
              </w:rPr>
              <w:t>40</w:t>
            </w:r>
          </w:p>
        </w:tc>
        <w:tc>
          <w:tcPr>
            <w:tcW w:type="dxa" w:w="1872"/>
          </w:tcPr>
          <w:p>
            <w:pPr>
              <w:jc w:val="right"/>
            </w:pPr>
            <w:r/>
            <w:r>
              <w:rPr>
                <w:rFonts w:ascii="Segoe UI" w:hAnsi="Segoe UI"/>
                <w:sz w:val="18"/>
              </w:rPr>
              <w:t>5.4%</w:t>
            </w:r>
          </w:p>
        </w:tc>
        <w:tc>
          <w:tcPr>
            <w:tcW w:type="dxa" w:w="1872"/>
          </w:tcPr>
          <w:p>
            <w:pPr>
              <w:jc w:val="right"/>
            </w:pPr>
            <w:r/>
            <w:r>
              <w:rPr>
                <w:rFonts w:ascii="Segoe UI" w:hAnsi="Segoe UI"/>
                <w:sz w:val="18"/>
              </w:rPr>
              <w:t>$5.3bn</w:t>
            </w:r>
          </w:p>
        </w:tc>
        <w:tc>
          <w:tcPr>
            <w:tcW w:type="dxa" w:w="1872"/>
          </w:tcPr>
          <w:p>
            <w:pPr>
              <w:jc w:val="right"/>
            </w:pPr>
            <w:r/>
            <w:r>
              <w:rPr>
                <w:rFonts w:ascii="Segoe UI" w:hAnsi="Segoe UI"/>
                <w:sz w:val="18"/>
              </w:rPr>
              <w:t>$68m</w:t>
            </w:r>
          </w:p>
        </w:tc>
      </w:tr>
      <w:tr>
        <w:tc>
          <w:tcPr>
            <w:tcW w:type="dxa" w:w="1872"/>
          </w:tcPr>
          <w:p>
            <w:r/>
            <w:r>
              <w:rPr>
                <w:rFonts w:ascii="Segoe UI" w:hAnsi="Segoe UI"/>
                <w:sz w:val="18"/>
              </w:rPr>
              <w:t>Middle East</w:t>
            </w:r>
          </w:p>
        </w:tc>
        <w:tc>
          <w:tcPr>
            <w:tcW w:type="dxa" w:w="1872"/>
          </w:tcPr>
          <w:p>
            <w:pPr>
              <w:jc w:val="right"/>
            </w:pPr>
            <w:r/>
            <w:r>
              <w:rPr>
                <w:rFonts w:ascii="Segoe UI" w:hAnsi="Segoe UI"/>
                <w:sz w:val="18"/>
              </w:rPr>
              <w:t>25</w:t>
            </w:r>
          </w:p>
        </w:tc>
        <w:tc>
          <w:tcPr>
            <w:tcW w:type="dxa" w:w="1872"/>
          </w:tcPr>
          <w:p>
            <w:pPr>
              <w:jc w:val="right"/>
            </w:pPr>
            <w:r/>
            <w:r>
              <w:rPr>
                <w:rFonts w:ascii="Segoe UI" w:hAnsi="Segoe UI"/>
                <w:sz w:val="18"/>
              </w:rPr>
              <w:t>3.4%</w:t>
            </w:r>
          </w:p>
        </w:tc>
        <w:tc>
          <w:tcPr>
            <w:tcW w:type="dxa" w:w="1872"/>
          </w:tcPr>
          <w:p>
            <w:pPr>
              <w:jc w:val="right"/>
            </w:pPr>
            <w:r/>
            <w:r>
              <w:rPr>
                <w:rFonts w:ascii="Segoe UI" w:hAnsi="Segoe UI"/>
                <w:sz w:val="18"/>
              </w:rPr>
              <w:t>$8.2bn</w:t>
            </w:r>
          </w:p>
        </w:tc>
        <w:tc>
          <w:tcPr>
            <w:tcW w:type="dxa" w:w="1872"/>
          </w:tcPr>
          <w:p>
            <w:pPr>
              <w:jc w:val="right"/>
            </w:pPr>
            <w:r/>
            <w:r>
              <w:rPr>
                <w:rFonts w:ascii="Segoe UI" w:hAnsi="Segoe UI"/>
                <w:sz w:val="18"/>
              </w:rPr>
              <w:t>$310m</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0D1B2A"/>
          </w:tcPr>
          <w:p>
            <w:r/>
            <w:r>
              <w:rPr>
                <w:rFonts w:ascii="Segoe UI" w:hAnsi="Segoe UI"/>
                <w:b/>
                <w:color w:val="FFFFFF"/>
                <w:sz w:val="17"/>
              </w:rPr>
              <w:t>Country</w:t>
            </w:r>
          </w:p>
        </w:tc>
        <w:tc>
          <w:tcPr>
            <w:tcW w:type="dxa" w:w="3120"/>
            <w:shd w:val="clear" w:fill="0D1B2A"/>
          </w:tcPr>
          <w:p>
            <w:r/>
            <w:r>
              <w:rPr>
                <w:rFonts w:ascii="Segoe UI" w:hAnsi="Segoe UI"/>
                <w:b/>
                <w:color w:val="FFFFFF"/>
                <w:sz w:val="17"/>
              </w:rPr>
              <w:t>Transactions</w:t>
            </w:r>
          </w:p>
        </w:tc>
        <w:tc>
          <w:tcPr>
            <w:tcW w:type="dxa" w:w="3120"/>
            <w:shd w:val="clear" w:fill="0D1B2A"/>
          </w:tcPr>
          <w:p>
            <w:r/>
            <w:r>
              <w:rPr>
                <w:rFonts w:ascii="Segoe UI" w:hAnsi="Segoe UI"/>
                <w:b/>
                <w:color w:val="FFFFFF"/>
                <w:sz w:val="17"/>
              </w:rPr>
              <w:t>Disclosed value</w:t>
            </w:r>
          </w:p>
        </w:tc>
      </w:tr>
      <w:tr>
        <w:tc>
          <w:tcPr>
            <w:tcW w:type="dxa" w:w="3120"/>
          </w:tcPr>
          <w:p>
            <w:r/>
            <w:r>
              <w:rPr>
                <w:rFonts w:ascii="Segoe UI" w:hAnsi="Segoe UI"/>
                <w:sz w:val="18"/>
              </w:rPr>
              <w:t>United Kingdom</w:t>
            </w:r>
          </w:p>
        </w:tc>
        <w:tc>
          <w:tcPr>
            <w:tcW w:type="dxa" w:w="3120"/>
          </w:tcPr>
          <w:p>
            <w:pPr>
              <w:jc w:val="right"/>
            </w:pPr>
            <w:r/>
            <w:r>
              <w:rPr>
                <w:rFonts w:ascii="Segoe UI" w:hAnsi="Segoe UI"/>
                <w:sz w:val="18"/>
              </w:rPr>
              <w:t>157</w:t>
            </w:r>
          </w:p>
        </w:tc>
        <w:tc>
          <w:tcPr>
            <w:tcW w:type="dxa" w:w="3120"/>
          </w:tcPr>
          <w:p>
            <w:pPr>
              <w:jc w:val="right"/>
            </w:pPr>
            <w:r/>
            <w:r>
              <w:rPr>
                <w:rFonts w:ascii="Segoe UI" w:hAnsi="Segoe UI"/>
                <w:sz w:val="18"/>
              </w:rPr>
              <w:t>$65.8bn</w:t>
            </w:r>
          </w:p>
        </w:tc>
      </w:tr>
      <w:tr>
        <w:tc>
          <w:tcPr>
            <w:tcW w:type="dxa" w:w="3120"/>
          </w:tcPr>
          <w:p>
            <w:r/>
            <w:r>
              <w:rPr>
                <w:rFonts w:ascii="Segoe UI" w:hAnsi="Segoe UI"/>
                <w:sz w:val="18"/>
              </w:rPr>
              <w:t>Germany</w:t>
            </w:r>
          </w:p>
        </w:tc>
        <w:tc>
          <w:tcPr>
            <w:tcW w:type="dxa" w:w="3120"/>
          </w:tcPr>
          <w:p>
            <w:pPr>
              <w:jc w:val="right"/>
            </w:pPr>
            <w:r/>
            <w:r>
              <w:rPr>
                <w:rFonts w:ascii="Segoe UI" w:hAnsi="Segoe UI"/>
                <w:sz w:val="18"/>
              </w:rPr>
              <w:t>136</w:t>
            </w:r>
          </w:p>
        </w:tc>
        <w:tc>
          <w:tcPr>
            <w:tcW w:type="dxa" w:w="3120"/>
          </w:tcPr>
          <w:p>
            <w:pPr>
              <w:jc w:val="right"/>
            </w:pPr>
            <w:r/>
            <w:r>
              <w:rPr>
                <w:rFonts w:ascii="Segoe UI" w:hAnsi="Segoe UI"/>
                <w:sz w:val="18"/>
              </w:rPr>
              <w:t>$54.3bn</w:t>
            </w:r>
          </w:p>
        </w:tc>
      </w:tr>
      <w:tr>
        <w:tc>
          <w:tcPr>
            <w:tcW w:type="dxa" w:w="3120"/>
          </w:tcPr>
          <w:p>
            <w:r/>
            <w:r>
              <w:rPr>
                <w:rFonts w:ascii="Segoe UI" w:hAnsi="Segoe UI"/>
                <w:sz w:val="18"/>
              </w:rPr>
              <w:t>Spain</w:t>
            </w:r>
          </w:p>
        </w:tc>
        <w:tc>
          <w:tcPr>
            <w:tcW w:type="dxa" w:w="3120"/>
          </w:tcPr>
          <w:p>
            <w:pPr>
              <w:jc w:val="right"/>
            </w:pPr>
            <w:r/>
            <w:r>
              <w:rPr>
                <w:rFonts w:ascii="Segoe UI" w:hAnsi="Segoe UI"/>
                <w:sz w:val="18"/>
              </w:rPr>
              <w:t>63</w:t>
            </w:r>
          </w:p>
        </w:tc>
        <w:tc>
          <w:tcPr>
            <w:tcW w:type="dxa" w:w="3120"/>
          </w:tcPr>
          <w:p>
            <w:pPr>
              <w:jc w:val="right"/>
            </w:pPr>
            <w:r/>
            <w:r>
              <w:rPr>
                <w:rFonts w:ascii="Segoe UI" w:hAnsi="Segoe UI"/>
                <w:sz w:val="18"/>
              </w:rPr>
              <w:t>$5.7bn</w:t>
            </w:r>
          </w:p>
        </w:tc>
      </w:tr>
      <w:tr>
        <w:tc>
          <w:tcPr>
            <w:tcW w:type="dxa" w:w="3120"/>
          </w:tcPr>
          <w:p>
            <w:r/>
            <w:r>
              <w:rPr>
                <w:rFonts w:ascii="Segoe UI" w:hAnsi="Segoe UI"/>
                <w:sz w:val="18"/>
              </w:rPr>
              <w:t>Italy</w:t>
            </w:r>
          </w:p>
        </w:tc>
        <w:tc>
          <w:tcPr>
            <w:tcW w:type="dxa" w:w="3120"/>
          </w:tcPr>
          <w:p>
            <w:pPr>
              <w:jc w:val="right"/>
            </w:pPr>
            <w:r/>
            <w:r>
              <w:rPr>
                <w:rFonts w:ascii="Segoe UI" w:hAnsi="Segoe UI"/>
                <w:sz w:val="18"/>
              </w:rPr>
              <w:t>52</w:t>
            </w:r>
          </w:p>
        </w:tc>
        <w:tc>
          <w:tcPr>
            <w:tcW w:type="dxa" w:w="3120"/>
          </w:tcPr>
          <w:p>
            <w:pPr>
              <w:jc w:val="right"/>
            </w:pPr>
            <w:r/>
            <w:r>
              <w:rPr>
                <w:rFonts w:ascii="Segoe UI" w:hAnsi="Segoe UI"/>
                <w:sz w:val="18"/>
              </w:rPr>
              <w:t>$42.4bn</w:t>
            </w:r>
          </w:p>
        </w:tc>
      </w:tr>
      <w:tr>
        <w:tc>
          <w:tcPr>
            <w:tcW w:type="dxa" w:w="3120"/>
          </w:tcPr>
          <w:p>
            <w:r/>
            <w:r>
              <w:rPr>
                <w:rFonts w:ascii="Segoe UI" w:hAnsi="Segoe UI"/>
                <w:sz w:val="18"/>
              </w:rPr>
              <w:t>France</w:t>
            </w:r>
          </w:p>
        </w:tc>
        <w:tc>
          <w:tcPr>
            <w:tcW w:type="dxa" w:w="3120"/>
          </w:tcPr>
          <w:p>
            <w:pPr>
              <w:jc w:val="right"/>
            </w:pPr>
            <w:r/>
            <w:r>
              <w:rPr>
                <w:rFonts w:ascii="Segoe UI" w:hAnsi="Segoe UI"/>
                <w:sz w:val="18"/>
              </w:rPr>
              <w:t>39</w:t>
            </w:r>
          </w:p>
        </w:tc>
        <w:tc>
          <w:tcPr>
            <w:tcW w:type="dxa" w:w="3120"/>
          </w:tcPr>
          <w:p>
            <w:pPr>
              <w:jc w:val="right"/>
            </w:pPr>
            <w:r/>
            <w:r>
              <w:rPr>
                <w:rFonts w:ascii="Segoe UI" w:hAnsi="Segoe UI"/>
                <w:sz w:val="18"/>
              </w:rPr>
              <w:t>$7.7bn</w:t>
            </w:r>
          </w:p>
        </w:tc>
      </w:tr>
      <w:tr>
        <w:tc>
          <w:tcPr>
            <w:tcW w:type="dxa" w:w="3120"/>
          </w:tcPr>
          <w:p>
            <w:r/>
            <w:r>
              <w:rPr>
                <w:rFonts w:ascii="Segoe UI" w:hAnsi="Segoe UI"/>
                <w:sz w:val="18"/>
              </w:rPr>
              <w:t>Netherlands</w:t>
            </w:r>
          </w:p>
        </w:tc>
        <w:tc>
          <w:tcPr>
            <w:tcW w:type="dxa" w:w="3120"/>
          </w:tcPr>
          <w:p>
            <w:pPr>
              <w:jc w:val="right"/>
            </w:pPr>
            <w:r/>
            <w:r>
              <w:rPr>
                <w:rFonts w:ascii="Segoe UI" w:hAnsi="Segoe UI"/>
                <w:sz w:val="18"/>
              </w:rPr>
              <w:t>29</w:t>
            </w:r>
          </w:p>
        </w:tc>
        <w:tc>
          <w:tcPr>
            <w:tcW w:type="dxa" w:w="3120"/>
          </w:tcPr>
          <w:p>
            <w:pPr>
              <w:jc w:val="right"/>
            </w:pPr>
            <w:r/>
            <w:r>
              <w:rPr>
                <w:rFonts w:ascii="Segoe UI" w:hAnsi="Segoe UI"/>
                <w:sz w:val="18"/>
              </w:rPr>
              <w:t>$0.7bn</w:t>
            </w:r>
          </w:p>
        </w:tc>
      </w:tr>
      <w:tr>
        <w:tc>
          <w:tcPr>
            <w:tcW w:type="dxa" w:w="3120"/>
          </w:tcPr>
          <w:p>
            <w:r/>
            <w:r>
              <w:rPr>
                <w:rFonts w:ascii="Segoe UI" w:hAnsi="Segoe UI"/>
                <w:sz w:val="18"/>
              </w:rPr>
              <w:t>Sweden</w:t>
            </w:r>
          </w:p>
        </w:tc>
        <w:tc>
          <w:tcPr>
            <w:tcW w:type="dxa" w:w="3120"/>
          </w:tcPr>
          <w:p>
            <w:pPr>
              <w:jc w:val="right"/>
            </w:pPr>
            <w:r/>
            <w:r>
              <w:rPr>
                <w:rFonts w:ascii="Segoe UI" w:hAnsi="Segoe UI"/>
                <w:sz w:val="18"/>
              </w:rPr>
              <w:t>29</w:t>
            </w:r>
          </w:p>
        </w:tc>
        <w:tc>
          <w:tcPr>
            <w:tcW w:type="dxa" w:w="3120"/>
          </w:tcPr>
          <w:p>
            <w:pPr>
              <w:jc w:val="right"/>
            </w:pPr>
            <w:r/>
            <w:r>
              <w:rPr>
                <w:rFonts w:ascii="Segoe UI" w:hAnsi="Segoe UI"/>
                <w:sz w:val="18"/>
              </w:rPr>
              <w:t>$19.7bn</w:t>
            </w:r>
          </w:p>
        </w:tc>
      </w:tr>
      <w:tr>
        <w:tc>
          <w:tcPr>
            <w:tcW w:type="dxa" w:w="3120"/>
          </w:tcPr>
          <w:p>
            <w:r/>
            <w:r>
              <w:rPr>
                <w:rFonts w:ascii="Segoe UI" w:hAnsi="Segoe UI"/>
                <w:sz w:val="18"/>
              </w:rPr>
              <w:t>Norway</w:t>
            </w:r>
          </w:p>
        </w:tc>
        <w:tc>
          <w:tcPr>
            <w:tcW w:type="dxa" w:w="3120"/>
          </w:tcPr>
          <w:p>
            <w:pPr>
              <w:jc w:val="right"/>
            </w:pPr>
            <w:r/>
            <w:r>
              <w:rPr>
                <w:rFonts w:ascii="Segoe UI" w:hAnsi="Segoe UI"/>
                <w:sz w:val="18"/>
              </w:rPr>
              <w:t>20</w:t>
            </w:r>
          </w:p>
        </w:tc>
        <w:tc>
          <w:tcPr>
            <w:tcW w:type="dxa" w:w="3120"/>
          </w:tcPr>
          <w:p>
            <w:pPr>
              <w:jc w:val="right"/>
            </w:pPr>
            <w:r/>
            <w:r>
              <w:rPr>
                <w:rFonts w:ascii="Segoe UI" w:hAnsi="Segoe UI"/>
                <w:sz w:val="18"/>
              </w:rPr>
              <w:t>$7.0bn</w:t>
            </w:r>
          </w:p>
        </w:tc>
      </w:tr>
      <w:tr>
        <w:tc>
          <w:tcPr>
            <w:tcW w:type="dxa" w:w="3120"/>
          </w:tcPr>
          <w:p>
            <w:r/>
            <w:r>
              <w:rPr>
                <w:rFonts w:ascii="Segoe UI" w:hAnsi="Segoe UI"/>
                <w:sz w:val="18"/>
              </w:rPr>
              <w:t>Switzerland</w:t>
            </w:r>
          </w:p>
        </w:tc>
        <w:tc>
          <w:tcPr>
            <w:tcW w:type="dxa" w:w="3120"/>
          </w:tcPr>
          <w:p>
            <w:pPr>
              <w:jc w:val="right"/>
            </w:pPr>
            <w:r/>
            <w:r>
              <w:rPr>
                <w:rFonts w:ascii="Segoe UI" w:hAnsi="Segoe UI"/>
                <w:sz w:val="18"/>
              </w:rPr>
              <w:t>18</w:t>
            </w:r>
          </w:p>
        </w:tc>
        <w:tc>
          <w:tcPr>
            <w:tcW w:type="dxa" w:w="3120"/>
          </w:tcPr>
          <w:p>
            <w:pPr>
              <w:jc w:val="right"/>
            </w:pPr>
            <w:r/>
            <w:r>
              <w:rPr>
                <w:rFonts w:ascii="Segoe UI" w:hAnsi="Segoe UI"/>
                <w:sz w:val="18"/>
              </w:rPr>
              <w:t>$11.0bn</w:t>
            </w:r>
          </w:p>
        </w:tc>
      </w:tr>
      <w:tr>
        <w:tc>
          <w:tcPr>
            <w:tcW w:type="dxa" w:w="3120"/>
          </w:tcPr>
          <w:p>
            <w:r/>
            <w:r>
              <w:rPr>
                <w:rFonts w:ascii="Segoe UI" w:hAnsi="Segoe UI"/>
                <w:sz w:val="18"/>
              </w:rPr>
              <w:t>South Africa</w:t>
            </w:r>
          </w:p>
        </w:tc>
        <w:tc>
          <w:tcPr>
            <w:tcW w:type="dxa" w:w="3120"/>
          </w:tcPr>
          <w:p>
            <w:pPr>
              <w:jc w:val="right"/>
            </w:pPr>
            <w:r/>
            <w:r>
              <w:rPr>
                <w:rFonts w:ascii="Segoe UI" w:hAnsi="Segoe UI"/>
                <w:sz w:val="18"/>
              </w:rPr>
              <w:t>15</w:t>
            </w:r>
          </w:p>
        </w:tc>
        <w:tc>
          <w:tcPr>
            <w:tcW w:type="dxa" w:w="3120"/>
          </w:tcPr>
          <w:p>
            <w:pPr>
              <w:jc w:val="right"/>
            </w:pPr>
            <w:r/>
            <w:r>
              <w:rPr>
                <w:rFonts w:ascii="Segoe UI" w:hAnsi="Segoe UI"/>
                <w:sz w:val="18"/>
              </w:rPr>
              <w:t>$4.2bn</w:t>
            </w:r>
          </w:p>
        </w:tc>
      </w:tr>
    </w:tbl>
    <w:p/>
    <w:p>
      <w:r>
        <w:t>The United Kingdom and Germany together account for forty percent of transactions. Italy records 52 transactions but $42.4bn of disclosed value, reflecting a small number of very large deals rather than market depth.</w:t>
      </w:r>
    </w:p>
    <w:p>
      <w:r>
        <w:t>Overlaying hiring activity on the same geography produces a materially different picture.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0D1B2A"/>
          </w:tcPr>
          <w:p>
            <w:r/>
            <w:r>
              <w:rPr>
                <w:rFonts w:ascii="Segoe UI" w:hAnsi="Segoe UI"/>
                <w:b/>
                <w:color w:val="FFFFFF"/>
                <w:sz w:val="17"/>
              </w:rPr>
              <w:t>Country</w:t>
            </w:r>
          </w:p>
        </w:tc>
        <w:tc>
          <w:tcPr>
            <w:tcW w:type="dxa" w:w="1560"/>
            <w:shd w:val="clear" w:fill="0D1B2A"/>
          </w:tcPr>
          <w:p>
            <w:r/>
            <w:r>
              <w:rPr>
                <w:rFonts w:ascii="Segoe UI" w:hAnsi="Segoe UI"/>
                <w:b/>
                <w:color w:val="FFFFFF"/>
                <w:sz w:val="17"/>
              </w:rPr>
              <w:t>Transactions</w:t>
            </w:r>
          </w:p>
        </w:tc>
        <w:tc>
          <w:tcPr>
            <w:tcW w:type="dxa" w:w="1560"/>
            <w:shd w:val="clear" w:fill="0D1B2A"/>
          </w:tcPr>
          <w:p>
            <w:r/>
            <w:r>
              <w:rPr>
                <w:rFonts w:ascii="Segoe UI" w:hAnsi="Segoe UI"/>
                <w:b/>
                <w:color w:val="FFFFFF"/>
                <w:sz w:val="17"/>
              </w:rPr>
              <w:t>Role advertisements</w:t>
            </w:r>
          </w:p>
        </w:tc>
        <w:tc>
          <w:tcPr>
            <w:tcW w:type="dxa" w:w="1560"/>
            <w:shd w:val="clear" w:fill="0D1B2A"/>
          </w:tcPr>
          <w:p>
            <w:r/>
            <w:r>
              <w:rPr>
                <w:rFonts w:ascii="Segoe UI" w:hAnsi="Segoe UI"/>
                <w:b/>
                <w:color w:val="FFFFFF"/>
                <w:sz w:val="17"/>
              </w:rPr>
              <w:t>Advertisements per transaction</w:t>
            </w:r>
          </w:p>
        </w:tc>
        <w:tc>
          <w:tcPr>
            <w:tcW w:type="dxa" w:w="1560"/>
            <w:shd w:val="clear" w:fill="0D1B2A"/>
          </w:tcPr>
          <w:p>
            <w:r/>
            <w:r>
              <w:rPr>
                <w:rFonts w:ascii="Segoe UI" w:hAnsi="Segoe UI"/>
                <w:b/>
                <w:color w:val="FFFFFF"/>
                <w:sz w:val="17"/>
              </w:rPr>
              <w:t>Integration share</w:t>
            </w:r>
          </w:p>
        </w:tc>
        <w:tc>
          <w:tcPr>
            <w:tcW w:type="dxa" w:w="1560"/>
            <w:shd w:val="clear" w:fill="0D1B2A"/>
          </w:tcPr>
          <w:p>
            <w:r/>
            <w:r>
              <w:rPr>
                <w:rFonts w:ascii="Segoe UI" w:hAnsi="Segoe UI"/>
                <w:b/>
                <w:color w:val="FFFFFF"/>
                <w:sz w:val="17"/>
              </w:rPr>
              <w:t>Transformation share</w:t>
            </w:r>
          </w:p>
        </w:tc>
      </w:tr>
      <w:tr>
        <w:tc>
          <w:tcPr>
            <w:tcW w:type="dxa" w:w="1560"/>
          </w:tcPr>
          <w:p>
            <w:r/>
            <w:r>
              <w:rPr>
                <w:rFonts w:ascii="Segoe UI" w:hAnsi="Segoe UI"/>
                <w:sz w:val="18"/>
              </w:rPr>
              <w:t>Germany</w:t>
            </w:r>
          </w:p>
        </w:tc>
        <w:tc>
          <w:tcPr>
            <w:tcW w:type="dxa" w:w="1560"/>
          </w:tcPr>
          <w:p>
            <w:pPr>
              <w:jc w:val="right"/>
            </w:pPr>
            <w:r/>
            <w:r>
              <w:rPr>
                <w:rFonts w:ascii="Segoe UI" w:hAnsi="Segoe UI"/>
                <w:sz w:val="18"/>
              </w:rPr>
              <w:t>136</w:t>
            </w:r>
          </w:p>
        </w:tc>
        <w:tc>
          <w:tcPr>
            <w:tcW w:type="dxa" w:w="1560"/>
          </w:tcPr>
          <w:p>
            <w:pPr>
              <w:jc w:val="right"/>
            </w:pPr>
            <w:r/>
            <w:r>
              <w:rPr>
                <w:rFonts w:ascii="Segoe UI" w:hAnsi="Segoe UI"/>
                <w:sz w:val="18"/>
              </w:rPr>
              <w:t>375</w:t>
            </w:r>
          </w:p>
        </w:tc>
        <w:tc>
          <w:tcPr>
            <w:tcW w:type="dxa" w:w="1560"/>
          </w:tcPr>
          <w:p>
            <w:pPr>
              <w:jc w:val="right"/>
            </w:pPr>
            <w:r/>
            <w:r>
              <w:rPr>
                <w:rFonts w:ascii="Segoe UI" w:hAnsi="Segoe UI"/>
                <w:sz w:val="18"/>
              </w:rPr>
              <w:t>2.76</w:t>
            </w:r>
          </w:p>
        </w:tc>
        <w:tc>
          <w:tcPr>
            <w:tcW w:type="dxa" w:w="1560"/>
          </w:tcPr>
          <w:p>
            <w:pPr>
              <w:jc w:val="right"/>
            </w:pPr>
            <w:r/>
            <w:r>
              <w:rPr>
                <w:rFonts w:ascii="Segoe UI" w:hAnsi="Segoe UI"/>
                <w:sz w:val="18"/>
              </w:rPr>
              <w:t>79%</w:t>
            </w:r>
          </w:p>
        </w:tc>
        <w:tc>
          <w:tcPr>
            <w:tcW w:type="dxa" w:w="1560"/>
          </w:tcPr>
          <w:p>
            <w:pPr>
              <w:jc w:val="right"/>
            </w:pPr>
            <w:r/>
            <w:r>
              <w:rPr>
                <w:rFonts w:ascii="Segoe UI" w:hAnsi="Segoe UI"/>
                <w:sz w:val="18"/>
              </w:rPr>
              <w:t>10%</w:t>
            </w:r>
          </w:p>
        </w:tc>
      </w:tr>
      <w:tr>
        <w:tc>
          <w:tcPr>
            <w:tcW w:type="dxa" w:w="1560"/>
          </w:tcPr>
          <w:p>
            <w:r/>
            <w:r>
              <w:rPr>
                <w:rFonts w:ascii="Segoe UI" w:hAnsi="Segoe UI"/>
                <w:sz w:val="18"/>
              </w:rPr>
              <w:t>United Kingdom</w:t>
            </w:r>
          </w:p>
        </w:tc>
        <w:tc>
          <w:tcPr>
            <w:tcW w:type="dxa" w:w="1560"/>
          </w:tcPr>
          <w:p>
            <w:pPr>
              <w:jc w:val="right"/>
            </w:pPr>
            <w:r/>
            <w:r>
              <w:rPr>
                <w:rFonts w:ascii="Segoe UI" w:hAnsi="Segoe UI"/>
                <w:sz w:val="18"/>
              </w:rPr>
              <w:t>157</w:t>
            </w:r>
          </w:p>
        </w:tc>
        <w:tc>
          <w:tcPr>
            <w:tcW w:type="dxa" w:w="1560"/>
          </w:tcPr>
          <w:p>
            <w:pPr>
              <w:jc w:val="right"/>
            </w:pPr>
            <w:r/>
            <w:r>
              <w:rPr>
                <w:rFonts w:ascii="Segoe UI" w:hAnsi="Segoe UI"/>
                <w:sz w:val="18"/>
              </w:rPr>
              <w:t>227</w:t>
            </w:r>
          </w:p>
        </w:tc>
        <w:tc>
          <w:tcPr>
            <w:tcW w:type="dxa" w:w="1560"/>
          </w:tcPr>
          <w:p>
            <w:pPr>
              <w:jc w:val="right"/>
            </w:pPr>
            <w:r/>
            <w:r>
              <w:rPr>
                <w:rFonts w:ascii="Segoe UI" w:hAnsi="Segoe UI"/>
                <w:sz w:val="18"/>
              </w:rPr>
              <w:t>1.45</w:t>
            </w:r>
          </w:p>
        </w:tc>
        <w:tc>
          <w:tcPr>
            <w:tcW w:type="dxa" w:w="1560"/>
          </w:tcPr>
          <w:p>
            <w:pPr>
              <w:jc w:val="right"/>
            </w:pPr>
            <w:r/>
            <w:r>
              <w:rPr>
                <w:rFonts w:ascii="Segoe UI" w:hAnsi="Segoe UI"/>
                <w:sz w:val="18"/>
              </w:rPr>
              <w:t>19%</w:t>
            </w:r>
          </w:p>
        </w:tc>
        <w:tc>
          <w:tcPr>
            <w:tcW w:type="dxa" w:w="1560"/>
          </w:tcPr>
          <w:p>
            <w:pPr>
              <w:jc w:val="right"/>
            </w:pPr>
            <w:r/>
            <w:r>
              <w:rPr>
                <w:rFonts w:ascii="Segoe UI" w:hAnsi="Segoe UI"/>
                <w:sz w:val="18"/>
              </w:rPr>
              <w:t>70%</w:t>
            </w:r>
          </w:p>
        </w:tc>
      </w:tr>
      <w:tr>
        <w:tc>
          <w:tcPr>
            <w:tcW w:type="dxa" w:w="1560"/>
          </w:tcPr>
          <w:p>
            <w:r/>
            <w:r>
              <w:rPr>
                <w:rFonts w:ascii="Segoe UI" w:hAnsi="Segoe UI"/>
                <w:sz w:val="18"/>
              </w:rPr>
              <w:t>Spain</w:t>
            </w:r>
          </w:p>
        </w:tc>
        <w:tc>
          <w:tcPr>
            <w:tcW w:type="dxa" w:w="1560"/>
          </w:tcPr>
          <w:p>
            <w:pPr>
              <w:jc w:val="right"/>
            </w:pPr>
            <w:r/>
            <w:r>
              <w:rPr>
                <w:rFonts w:ascii="Segoe UI" w:hAnsi="Segoe UI"/>
                <w:sz w:val="18"/>
              </w:rPr>
              <w:t>63</w:t>
            </w:r>
          </w:p>
        </w:tc>
        <w:tc>
          <w:tcPr>
            <w:tcW w:type="dxa" w:w="1560"/>
          </w:tcPr>
          <w:p>
            <w:pPr>
              <w:jc w:val="right"/>
            </w:pPr>
            <w:r/>
            <w:r>
              <w:rPr>
                <w:rFonts w:ascii="Segoe UI" w:hAnsi="Segoe UI"/>
                <w:sz w:val="18"/>
              </w:rPr>
              <w:t>89</w:t>
            </w:r>
          </w:p>
        </w:tc>
        <w:tc>
          <w:tcPr>
            <w:tcW w:type="dxa" w:w="1560"/>
          </w:tcPr>
          <w:p>
            <w:pPr>
              <w:jc w:val="right"/>
            </w:pPr>
            <w:r/>
            <w:r>
              <w:rPr>
                <w:rFonts w:ascii="Segoe UI" w:hAnsi="Segoe UI"/>
                <w:sz w:val="18"/>
              </w:rPr>
              <w:t>1.41</w:t>
            </w:r>
          </w:p>
        </w:tc>
        <w:tc>
          <w:tcPr>
            <w:tcW w:type="dxa" w:w="1560"/>
          </w:tcPr>
          <w:p>
            <w:pPr>
              <w:jc w:val="right"/>
            </w:pPr>
            <w:r/>
            <w:r>
              <w:rPr>
                <w:rFonts w:ascii="Segoe UI" w:hAnsi="Segoe UI"/>
                <w:sz w:val="18"/>
              </w:rPr>
              <w:t>48%</w:t>
            </w:r>
          </w:p>
        </w:tc>
        <w:tc>
          <w:tcPr>
            <w:tcW w:type="dxa" w:w="1560"/>
          </w:tcPr>
          <w:p>
            <w:pPr>
              <w:jc w:val="right"/>
            </w:pPr>
            <w:r/>
            <w:r>
              <w:rPr>
                <w:rFonts w:ascii="Segoe UI" w:hAnsi="Segoe UI"/>
                <w:sz w:val="18"/>
              </w:rPr>
              <w:t>44%</w:t>
            </w:r>
          </w:p>
        </w:tc>
      </w:tr>
      <w:tr>
        <w:tc>
          <w:tcPr>
            <w:tcW w:type="dxa" w:w="1560"/>
          </w:tcPr>
          <w:p>
            <w:r/>
            <w:r>
              <w:rPr>
                <w:rFonts w:ascii="Segoe UI" w:hAnsi="Segoe UI"/>
                <w:sz w:val="18"/>
              </w:rPr>
              <w:t>Italy</w:t>
            </w:r>
          </w:p>
        </w:tc>
        <w:tc>
          <w:tcPr>
            <w:tcW w:type="dxa" w:w="1560"/>
          </w:tcPr>
          <w:p>
            <w:pPr>
              <w:jc w:val="right"/>
            </w:pPr>
            <w:r/>
            <w:r>
              <w:rPr>
                <w:rFonts w:ascii="Segoe UI" w:hAnsi="Segoe UI"/>
                <w:sz w:val="18"/>
              </w:rPr>
              <w:t>52</w:t>
            </w:r>
          </w:p>
        </w:tc>
        <w:tc>
          <w:tcPr>
            <w:tcW w:type="dxa" w:w="1560"/>
          </w:tcPr>
          <w:p>
            <w:pPr>
              <w:jc w:val="right"/>
            </w:pPr>
            <w:r/>
            <w:r>
              <w:rPr>
                <w:rFonts w:ascii="Segoe UI" w:hAnsi="Segoe UI"/>
                <w:sz w:val="18"/>
              </w:rPr>
              <w:t>66</w:t>
            </w:r>
          </w:p>
        </w:tc>
        <w:tc>
          <w:tcPr>
            <w:tcW w:type="dxa" w:w="1560"/>
          </w:tcPr>
          <w:p>
            <w:pPr>
              <w:jc w:val="right"/>
            </w:pPr>
            <w:r/>
            <w:r>
              <w:rPr>
                <w:rFonts w:ascii="Segoe UI" w:hAnsi="Segoe UI"/>
                <w:sz w:val="18"/>
              </w:rPr>
              <w:t>1.27</w:t>
            </w:r>
          </w:p>
        </w:tc>
        <w:tc>
          <w:tcPr>
            <w:tcW w:type="dxa" w:w="1560"/>
          </w:tcPr>
          <w:p>
            <w:pPr>
              <w:jc w:val="right"/>
            </w:pPr>
            <w:r/>
            <w:r>
              <w:rPr>
                <w:rFonts w:ascii="Segoe UI" w:hAnsi="Segoe UI"/>
                <w:sz w:val="18"/>
              </w:rPr>
              <w:t>30%</w:t>
            </w:r>
          </w:p>
        </w:tc>
        <w:tc>
          <w:tcPr>
            <w:tcW w:type="dxa" w:w="1560"/>
          </w:tcPr>
          <w:p>
            <w:pPr>
              <w:jc w:val="right"/>
            </w:pPr>
            <w:r/>
            <w:r>
              <w:rPr>
                <w:rFonts w:ascii="Segoe UI" w:hAnsi="Segoe UI"/>
                <w:sz w:val="18"/>
              </w:rPr>
              <w:t>55%</w:t>
            </w:r>
          </w:p>
        </w:tc>
      </w:tr>
      <w:tr>
        <w:tc>
          <w:tcPr>
            <w:tcW w:type="dxa" w:w="1560"/>
          </w:tcPr>
          <w:p>
            <w:r/>
            <w:r>
              <w:rPr>
                <w:rFonts w:ascii="Segoe UI" w:hAnsi="Segoe UI"/>
                <w:sz w:val="18"/>
              </w:rPr>
              <w:t>France</w:t>
            </w:r>
          </w:p>
        </w:tc>
        <w:tc>
          <w:tcPr>
            <w:tcW w:type="dxa" w:w="1560"/>
          </w:tcPr>
          <w:p>
            <w:pPr>
              <w:jc w:val="right"/>
            </w:pPr>
            <w:r/>
            <w:r>
              <w:rPr>
                <w:rFonts w:ascii="Segoe UI" w:hAnsi="Segoe UI"/>
                <w:sz w:val="18"/>
              </w:rPr>
              <w:t>39</w:t>
            </w:r>
          </w:p>
        </w:tc>
        <w:tc>
          <w:tcPr>
            <w:tcW w:type="dxa" w:w="1560"/>
          </w:tcPr>
          <w:p>
            <w:pPr>
              <w:jc w:val="right"/>
            </w:pPr>
            <w:r/>
            <w:r>
              <w:rPr>
                <w:rFonts w:ascii="Segoe UI" w:hAnsi="Segoe UI"/>
                <w:sz w:val="18"/>
              </w:rPr>
              <w:t>59</w:t>
            </w:r>
          </w:p>
        </w:tc>
        <w:tc>
          <w:tcPr>
            <w:tcW w:type="dxa" w:w="1560"/>
          </w:tcPr>
          <w:p>
            <w:pPr>
              <w:jc w:val="right"/>
            </w:pPr>
            <w:r/>
            <w:r>
              <w:rPr>
                <w:rFonts w:ascii="Segoe UI" w:hAnsi="Segoe UI"/>
                <w:sz w:val="18"/>
              </w:rPr>
              <w:t>1.51</w:t>
            </w:r>
          </w:p>
        </w:tc>
        <w:tc>
          <w:tcPr>
            <w:tcW w:type="dxa" w:w="1560"/>
          </w:tcPr>
          <w:p>
            <w:pPr>
              <w:jc w:val="right"/>
            </w:pPr>
            <w:r/>
            <w:r>
              <w:rPr>
                <w:rFonts w:ascii="Segoe UI" w:hAnsi="Segoe UI"/>
                <w:sz w:val="18"/>
              </w:rPr>
              <w:t>42%</w:t>
            </w:r>
          </w:p>
        </w:tc>
        <w:tc>
          <w:tcPr>
            <w:tcW w:type="dxa" w:w="1560"/>
          </w:tcPr>
          <w:p>
            <w:pPr>
              <w:jc w:val="right"/>
            </w:pPr>
            <w:r/>
            <w:r>
              <w:rPr>
                <w:rFonts w:ascii="Segoe UI" w:hAnsi="Segoe UI"/>
                <w:sz w:val="18"/>
              </w:rPr>
              <w:t>37%</w:t>
            </w:r>
          </w:p>
        </w:tc>
      </w:tr>
      <w:tr>
        <w:tc>
          <w:tcPr>
            <w:tcW w:type="dxa" w:w="1560"/>
          </w:tcPr>
          <w:p>
            <w:r/>
            <w:r>
              <w:rPr>
                <w:rFonts w:ascii="Segoe UI" w:hAnsi="Segoe UI"/>
                <w:sz w:val="18"/>
              </w:rPr>
              <w:t>Poland</w:t>
            </w:r>
          </w:p>
        </w:tc>
        <w:tc>
          <w:tcPr>
            <w:tcW w:type="dxa" w:w="1560"/>
          </w:tcPr>
          <w:p>
            <w:pPr>
              <w:jc w:val="right"/>
            </w:pPr>
            <w:r/>
            <w:r>
              <w:rPr>
                <w:rFonts w:ascii="Segoe UI" w:hAnsi="Segoe UI"/>
                <w:sz w:val="18"/>
              </w:rPr>
              <w:t>11</w:t>
            </w:r>
          </w:p>
        </w:tc>
        <w:tc>
          <w:tcPr>
            <w:tcW w:type="dxa" w:w="1560"/>
          </w:tcPr>
          <w:p>
            <w:pPr>
              <w:jc w:val="right"/>
            </w:pPr>
            <w:r/>
            <w:r>
              <w:rPr>
                <w:rFonts w:ascii="Segoe UI" w:hAnsi="Segoe UI"/>
                <w:sz w:val="18"/>
              </w:rPr>
              <w:t>66</w:t>
            </w:r>
          </w:p>
        </w:tc>
        <w:tc>
          <w:tcPr>
            <w:tcW w:type="dxa" w:w="1560"/>
          </w:tcPr>
          <w:p>
            <w:pPr>
              <w:jc w:val="right"/>
            </w:pPr>
            <w:r/>
            <w:r>
              <w:rPr>
                <w:rFonts w:ascii="Segoe UI" w:hAnsi="Segoe UI"/>
                <w:sz w:val="18"/>
              </w:rPr>
              <w:t>6.00</w:t>
            </w:r>
          </w:p>
        </w:tc>
        <w:tc>
          <w:tcPr>
            <w:tcW w:type="dxa" w:w="1560"/>
          </w:tcPr>
          <w:p>
            <w:pPr>
              <w:jc w:val="right"/>
            </w:pPr>
            <w:r/>
            <w:r>
              <w:rPr>
                <w:rFonts w:ascii="Segoe UI" w:hAnsi="Segoe UI"/>
                <w:sz w:val="18"/>
              </w:rPr>
              <w:t>9%</w:t>
            </w:r>
          </w:p>
        </w:tc>
        <w:tc>
          <w:tcPr>
            <w:tcW w:type="dxa" w:w="1560"/>
          </w:tcPr>
          <w:p>
            <w:pPr>
              <w:jc w:val="right"/>
            </w:pPr>
            <w:r/>
            <w:r>
              <w:rPr>
                <w:rFonts w:ascii="Segoe UI" w:hAnsi="Segoe UI"/>
                <w:sz w:val="18"/>
              </w:rPr>
              <w:t>68%</w:t>
            </w:r>
          </w:p>
        </w:tc>
      </w:tr>
      <w:tr>
        <w:tc>
          <w:tcPr>
            <w:tcW w:type="dxa" w:w="1560"/>
          </w:tcPr>
          <w:p>
            <w:r/>
            <w:r>
              <w:rPr>
                <w:rFonts w:ascii="Segoe UI" w:hAnsi="Segoe UI"/>
                <w:sz w:val="18"/>
              </w:rPr>
              <w:t>South Africa</w:t>
            </w:r>
          </w:p>
        </w:tc>
        <w:tc>
          <w:tcPr>
            <w:tcW w:type="dxa" w:w="1560"/>
          </w:tcPr>
          <w:p>
            <w:pPr>
              <w:jc w:val="right"/>
            </w:pPr>
            <w:r/>
            <w:r>
              <w:rPr>
                <w:rFonts w:ascii="Segoe UI" w:hAnsi="Segoe UI"/>
                <w:sz w:val="18"/>
              </w:rPr>
              <w:t>15</w:t>
            </w:r>
          </w:p>
        </w:tc>
        <w:tc>
          <w:tcPr>
            <w:tcW w:type="dxa" w:w="1560"/>
          </w:tcPr>
          <w:p>
            <w:pPr>
              <w:jc w:val="right"/>
            </w:pPr>
            <w:r/>
            <w:r>
              <w:rPr>
                <w:rFonts w:ascii="Segoe UI" w:hAnsi="Segoe UI"/>
                <w:sz w:val="18"/>
              </w:rPr>
              <w:t>53</w:t>
            </w:r>
          </w:p>
        </w:tc>
        <w:tc>
          <w:tcPr>
            <w:tcW w:type="dxa" w:w="1560"/>
          </w:tcPr>
          <w:p>
            <w:pPr>
              <w:jc w:val="right"/>
            </w:pPr>
            <w:r/>
            <w:r>
              <w:rPr>
                <w:rFonts w:ascii="Segoe UI" w:hAnsi="Segoe UI"/>
                <w:sz w:val="18"/>
              </w:rPr>
              <w:t>3.53</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83%</w:t>
            </w:r>
          </w:p>
        </w:tc>
      </w:tr>
    </w:tbl>
    <w:p/>
    <w:p>
      <w:r>
        <w:t>Germany and the United Kingdom are staffing for different work. Of Germany's 375 advertisements, 295 are post-merger integration roles, representing seventy-nine percent of its hiring activity and approximately sixty-five percent of all integration hiring in the corpus. The United Kingdom inverts this profile, with seventy percent of advertisements in transformation roles and nineteen percent in integration. Two of the largest transaction markets in Europe are therefore preparing for substantially different mandate types.</w:t>
      </w:r>
    </w:p>
    <w:p>
      <w:r>
        <w:t>Poland and South Africa record hiring activity well ahead of their transaction counts, at six and three and a half advertisements per transaction respectively. Both are weighted heavily toward transformation. This pattern is consistent with capability build-out and nearshoring rather than transaction activity, and represents a distinct category of advisory opportunity.</w:t>
      </w:r>
    </w:p>
    <w:p>
      <w:r>
        <w:t>It should be noted that role advertisement coverage is not evenly distributed. Sweden, Norway, Denmark, Finland and Ireland together account for 87 transactions in the corpus and no recorded role advertisements. This reflects a limitation in collection rather than an absence of Nordic hiring activity, and no regional hiring conclusion in this paper extends to those markets.</w:t>
      </w:r>
    </w:p>
    <w:p>
      <w:pPr>
        <w:pBdr>
          <w:bottom w:val="single" w:sz="6" w:color="C9A84C"/>
        </w:pBdr>
      </w:pPr>
    </w:p>
    <w:p>
      <w:pPr>
        <w:spacing w:before="400" w:after="160"/>
      </w:pPr>
      <w:r>
        <w:rPr>
          <w:rFonts w:ascii="Georgia" w:hAnsi="Georgia"/>
          <w:b/>
          <w:color w:val="0D1B2A"/>
          <w:sz w:val="30"/>
        </w:rPr>
        <w:t>8. How Consulting Opportunities Emerge Before They Become Visible</w:t>
      </w:r>
    </w:p>
    <w:p>
      <w:r>
        <w:t>Mandates rarely appear suddenly. In most cases they emerge through a sequence of observable organisational behaviours. Leadership changes may occur. Programme teams are formed. Hiring activity increases. Specialist expertise is recruited. Strategic reviews begin. Only later does a formal transaction, separation or transformation programme become publicly visible.</w:t>
      </w:r>
    </w:p>
    <w:p>
      <w:r>
        <w:t>Two patterns in the corpus illustrate how such sequences can be observed.</w:t>
      </w:r>
    </w:p>
    <w:p>
      <w:r>
        <w:t>The first concerns acquisition cadence. Twelve buyers completed four or more transactions during the period, and the intervals between their transactions are consistent enough to be described as a rhythm.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0D1B2A"/>
          </w:tcPr>
          <w:p>
            <w:r/>
            <w:r>
              <w:rPr>
                <w:rFonts w:ascii="Segoe UI" w:hAnsi="Segoe UI"/>
                <w:b/>
                <w:color w:val="FFFFFF"/>
                <w:sz w:val="17"/>
              </w:rPr>
              <w:t>Buyer</w:t>
            </w:r>
          </w:p>
        </w:tc>
        <w:tc>
          <w:tcPr>
            <w:tcW w:type="dxa" w:w="1560"/>
            <w:shd w:val="clear" w:fill="0D1B2A"/>
          </w:tcPr>
          <w:p>
            <w:r/>
            <w:r>
              <w:rPr>
                <w:rFonts w:ascii="Segoe UI" w:hAnsi="Segoe UI"/>
                <w:b/>
                <w:color w:val="FFFFFF"/>
                <w:sz w:val="17"/>
              </w:rPr>
              <w:t>Transactions</w:t>
            </w:r>
          </w:p>
        </w:tc>
        <w:tc>
          <w:tcPr>
            <w:tcW w:type="dxa" w:w="1560"/>
            <w:shd w:val="clear" w:fill="0D1B2A"/>
          </w:tcPr>
          <w:p>
            <w:r/>
            <w:r>
              <w:rPr>
                <w:rFonts w:ascii="Segoe UI" w:hAnsi="Segoe UI"/>
                <w:b/>
                <w:color w:val="FFFFFF"/>
                <w:sz w:val="17"/>
              </w:rPr>
              <w:t>Average interval</w:t>
            </w:r>
          </w:p>
        </w:tc>
        <w:tc>
          <w:tcPr>
            <w:tcW w:type="dxa" w:w="1560"/>
            <w:shd w:val="clear" w:fill="0D1B2A"/>
          </w:tcPr>
          <w:p>
            <w:r/>
            <w:r>
              <w:rPr>
                <w:rFonts w:ascii="Segoe UI" w:hAnsi="Segoe UI"/>
                <w:b/>
                <w:color w:val="FFFFFF"/>
                <w:sz w:val="17"/>
              </w:rPr>
              <w:t>Days since last</w:t>
            </w:r>
          </w:p>
        </w:tc>
        <w:tc>
          <w:tcPr>
            <w:tcW w:type="dxa" w:w="1560"/>
            <w:shd w:val="clear" w:fill="0D1B2A"/>
          </w:tcPr>
          <w:p>
            <w:r/>
            <w:r>
              <w:rPr>
                <w:rFonts w:ascii="Segoe UI" w:hAnsi="Segoe UI"/>
                <w:b/>
                <w:color w:val="FFFFFF"/>
                <w:sz w:val="17"/>
              </w:rPr>
              <w:t>Countries</w:t>
            </w:r>
          </w:p>
        </w:tc>
        <w:tc>
          <w:tcPr>
            <w:tcW w:type="dxa" w:w="1560"/>
            <w:shd w:val="clear" w:fill="0D1B2A"/>
          </w:tcPr>
          <w:p>
            <w:r/>
            <w:r>
              <w:rPr>
                <w:rFonts w:ascii="Segoe UI" w:hAnsi="Segoe UI"/>
                <w:b/>
                <w:color w:val="FFFFFF"/>
                <w:sz w:val="17"/>
              </w:rPr>
              <w:t>Sectors</w:t>
            </w:r>
          </w:p>
        </w:tc>
      </w:tr>
      <w:tr>
        <w:tc>
          <w:tcPr>
            <w:tcW w:type="dxa" w:w="1560"/>
          </w:tcPr>
          <w:p>
            <w:r/>
            <w:r>
              <w:rPr>
                <w:rFonts w:ascii="Segoe UI" w:hAnsi="Segoe UI"/>
                <w:sz w:val="18"/>
              </w:rPr>
              <w:t>Apollo Global Management</w:t>
            </w:r>
          </w:p>
        </w:tc>
        <w:tc>
          <w:tcPr>
            <w:tcW w:type="dxa" w:w="1560"/>
          </w:tcPr>
          <w:p>
            <w:pPr>
              <w:jc w:val="right"/>
            </w:pPr>
            <w:r/>
            <w:r>
              <w:rPr>
                <w:rFonts w:ascii="Segoe UI" w:hAnsi="Segoe UI"/>
                <w:sz w:val="18"/>
              </w:rPr>
              <w:t>7</w:t>
            </w:r>
          </w:p>
        </w:tc>
        <w:tc>
          <w:tcPr>
            <w:tcW w:type="dxa" w:w="1560"/>
          </w:tcPr>
          <w:p>
            <w:pPr>
              <w:jc w:val="right"/>
            </w:pPr>
            <w:r/>
            <w:r>
              <w:rPr>
                <w:rFonts w:ascii="Segoe UI" w:hAnsi="Segoe UI"/>
                <w:sz w:val="18"/>
              </w:rPr>
              <w:t>42 days</w:t>
            </w:r>
          </w:p>
        </w:tc>
        <w:tc>
          <w:tcPr>
            <w:tcW w:type="dxa" w:w="1560"/>
          </w:tcPr>
          <w:p>
            <w:pPr>
              <w:jc w:val="right"/>
            </w:pPr>
            <w:r/>
            <w:r>
              <w:rPr>
                <w:rFonts w:ascii="Segoe UI" w:hAnsi="Segoe UI"/>
                <w:sz w:val="18"/>
              </w:rPr>
              <w:t>31</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6</w:t>
            </w:r>
          </w:p>
        </w:tc>
      </w:tr>
      <w:tr>
        <w:tc>
          <w:tcPr>
            <w:tcW w:type="dxa" w:w="1560"/>
          </w:tcPr>
          <w:p>
            <w:r/>
            <w:r>
              <w:rPr>
                <w:rFonts w:ascii="Segoe UI" w:hAnsi="Segoe UI"/>
                <w:sz w:val="18"/>
              </w:rPr>
              <w:t>Blackstone</w:t>
            </w:r>
          </w:p>
        </w:tc>
        <w:tc>
          <w:tcPr>
            <w:tcW w:type="dxa" w:w="1560"/>
          </w:tcPr>
          <w:p>
            <w:pPr>
              <w:jc w:val="right"/>
            </w:pPr>
            <w:r/>
            <w:r>
              <w:rPr>
                <w:rFonts w:ascii="Segoe UI" w:hAnsi="Segoe UI"/>
                <w:sz w:val="18"/>
              </w:rPr>
              <w:t>7</w:t>
            </w:r>
          </w:p>
        </w:tc>
        <w:tc>
          <w:tcPr>
            <w:tcW w:type="dxa" w:w="1560"/>
          </w:tcPr>
          <w:p>
            <w:pPr>
              <w:jc w:val="right"/>
            </w:pPr>
            <w:r/>
            <w:r>
              <w:rPr>
                <w:rFonts w:ascii="Segoe UI" w:hAnsi="Segoe UI"/>
                <w:sz w:val="18"/>
              </w:rPr>
              <w:t>20 days</w:t>
            </w:r>
          </w:p>
        </w:tc>
        <w:tc>
          <w:tcPr>
            <w:tcW w:type="dxa" w:w="1560"/>
          </w:tcPr>
          <w:p>
            <w:pPr>
              <w:jc w:val="right"/>
            </w:pPr>
            <w:r/>
            <w:r>
              <w:rPr>
                <w:rFonts w:ascii="Segoe UI" w:hAnsi="Segoe UI"/>
                <w:sz w:val="18"/>
              </w:rPr>
              <w:t>118</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6</w:t>
            </w:r>
          </w:p>
        </w:tc>
      </w:tr>
      <w:tr>
        <w:tc>
          <w:tcPr>
            <w:tcW w:type="dxa" w:w="1560"/>
          </w:tcPr>
          <w:p>
            <w:r/>
            <w:r>
              <w:rPr>
                <w:rFonts w:ascii="Segoe UI" w:hAnsi="Segoe UI"/>
                <w:sz w:val="18"/>
              </w:rPr>
              <w:t>EQT</w:t>
            </w:r>
          </w:p>
        </w:tc>
        <w:tc>
          <w:tcPr>
            <w:tcW w:type="dxa" w:w="1560"/>
          </w:tcPr>
          <w:p>
            <w:pPr>
              <w:jc w:val="right"/>
            </w:pPr>
            <w:r/>
            <w:r>
              <w:rPr>
                <w:rFonts w:ascii="Segoe UI" w:hAnsi="Segoe UI"/>
                <w:sz w:val="18"/>
              </w:rPr>
              <w:t>6</w:t>
            </w:r>
          </w:p>
        </w:tc>
        <w:tc>
          <w:tcPr>
            <w:tcW w:type="dxa" w:w="1560"/>
          </w:tcPr>
          <w:p>
            <w:pPr>
              <w:jc w:val="right"/>
            </w:pPr>
            <w:r/>
            <w:r>
              <w:rPr>
                <w:rFonts w:ascii="Segoe UI" w:hAnsi="Segoe UI"/>
                <w:sz w:val="18"/>
              </w:rPr>
              <w:t>57 days</w:t>
            </w:r>
          </w:p>
        </w:tc>
        <w:tc>
          <w:tcPr>
            <w:tcW w:type="dxa" w:w="1560"/>
          </w:tcPr>
          <w:p>
            <w:pPr>
              <w:jc w:val="right"/>
            </w:pPr>
            <w:r/>
            <w:r>
              <w:rPr>
                <w:rFonts w:ascii="Segoe UI" w:hAnsi="Segoe UI"/>
                <w:sz w:val="18"/>
              </w:rPr>
              <w:t>2</w:t>
            </w:r>
          </w:p>
        </w:tc>
        <w:tc>
          <w:tcPr>
            <w:tcW w:type="dxa" w:w="1560"/>
          </w:tcPr>
          <w:p>
            <w:pPr>
              <w:jc w:val="right"/>
            </w:pPr>
            <w:r/>
            <w:r>
              <w:rPr>
                <w:rFonts w:ascii="Segoe UI" w:hAnsi="Segoe UI"/>
                <w:sz w:val="18"/>
              </w:rPr>
              <w:t>3</w:t>
            </w:r>
          </w:p>
        </w:tc>
        <w:tc>
          <w:tcPr>
            <w:tcW w:type="dxa" w:w="1560"/>
          </w:tcPr>
          <w:p>
            <w:pPr>
              <w:jc w:val="right"/>
            </w:pPr>
            <w:r/>
            <w:r>
              <w:rPr>
                <w:rFonts w:ascii="Segoe UI" w:hAnsi="Segoe UI"/>
                <w:sz w:val="18"/>
              </w:rPr>
              <w:t>5</w:t>
            </w:r>
          </w:p>
        </w:tc>
      </w:tr>
      <w:tr>
        <w:tc>
          <w:tcPr>
            <w:tcW w:type="dxa" w:w="1560"/>
          </w:tcPr>
          <w:p>
            <w:r/>
            <w:r>
              <w:rPr>
                <w:rFonts w:ascii="Segoe UI" w:hAnsi="Segoe UI"/>
                <w:sz w:val="18"/>
              </w:rPr>
              <w:t>Asker Healthcare</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21 days</w:t>
            </w:r>
          </w:p>
        </w:tc>
        <w:tc>
          <w:tcPr>
            <w:tcW w:type="dxa" w:w="1560"/>
          </w:tcPr>
          <w:p>
            <w:pPr>
              <w:jc w:val="right"/>
            </w:pPr>
            <w:r/>
            <w:r>
              <w:rPr>
                <w:rFonts w:ascii="Segoe UI" w:hAnsi="Segoe UI"/>
                <w:sz w:val="18"/>
              </w:rPr>
              <w:t>3</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1</w:t>
            </w:r>
          </w:p>
        </w:tc>
      </w:tr>
      <w:tr>
        <w:tc>
          <w:tcPr>
            <w:tcW w:type="dxa" w:w="1560"/>
          </w:tcPr>
          <w:p>
            <w:r/>
            <w:r>
              <w:rPr>
                <w:rFonts w:ascii="Segoe UI" w:hAnsi="Segoe UI"/>
                <w:sz w:val="18"/>
              </w:rPr>
              <w:t>Mutares</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31 days</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2</w:t>
            </w:r>
          </w:p>
        </w:tc>
        <w:tc>
          <w:tcPr>
            <w:tcW w:type="dxa" w:w="1560"/>
          </w:tcPr>
          <w:p>
            <w:pPr>
              <w:jc w:val="right"/>
            </w:pPr>
            <w:r/>
            <w:r>
              <w:rPr>
                <w:rFonts w:ascii="Segoe UI" w:hAnsi="Segoe UI"/>
                <w:sz w:val="18"/>
              </w:rPr>
              <w:t>3</w:t>
            </w:r>
          </w:p>
        </w:tc>
      </w:tr>
      <w:tr>
        <w:tc>
          <w:tcPr>
            <w:tcW w:type="dxa" w:w="1560"/>
          </w:tcPr>
          <w:p>
            <w:r/>
            <w:r>
              <w:rPr>
                <w:rFonts w:ascii="Segoe UI" w:hAnsi="Segoe UI"/>
                <w:sz w:val="18"/>
              </w:rPr>
              <w:t>Bridgepoint</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80 days</w:t>
            </w:r>
          </w:p>
        </w:tc>
        <w:tc>
          <w:tcPr>
            <w:tcW w:type="dxa" w:w="1560"/>
          </w:tcPr>
          <w:p>
            <w:pPr>
              <w:jc w:val="right"/>
            </w:pPr>
            <w:r/>
            <w:r>
              <w:rPr>
                <w:rFonts w:ascii="Segoe UI" w:hAnsi="Segoe UI"/>
                <w:sz w:val="18"/>
              </w:rPr>
              <w:t>3</w:t>
            </w:r>
          </w:p>
        </w:tc>
        <w:tc>
          <w:tcPr>
            <w:tcW w:type="dxa" w:w="1560"/>
          </w:tcPr>
          <w:p>
            <w:pPr>
              <w:jc w:val="right"/>
            </w:pPr>
            <w:r/>
            <w:r>
              <w:rPr>
                <w:rFonts w:ascii="Segoe UI" w:hAnsi="Segoe UI"/>
                <w:sz w:val="18"/>
              </w:rPr>
              <w:t>2</w:t>
            </w:r>
          </w:p>
        </w:tc>
        <w:tc>
          <w:tcPr>
            <w:tcW w:type="dxa" w:w="1560"/>
          </w:tcPr>
          <w:p>
            <w:pPr>
              <w:jc w:val="right"/>
            </w:pPr>
            <w:r/>
            <w:r>
              <w:rPr>
                <w:rFonts w:ascii="Segoe UI" w:hAnsi="Segoe UI"/>
                <w:sz w:val="18"/>
              </w:rPr>
              <w:t>3</w:t>
            </w:r>
          </w:p>
        </w:tc>
      </w:tr>
      <w:tr>
        <w:tc>
          <w:tcPr>
            <w:tcW w:type="dxa" w:w="1560"/>
          </w:tcPr>
          <w:p>
            <w:r/>
            <w:r>
              <w:rPr>
                <w:rFonts w:ascii="Segoe UI" w:hAnsi="Segoe UI"/>
                <w:sz w:val="18"/>
              </w:rPr>
              <w:t>Oakley Capital</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75 days</w:t>
            </w:r>
          </w:p>
        </w:tc>
        <w:tc>
          <w:tcPr>
            <w:tcW w:type="dxa" w:w="1560"/>
          </w:tcPr>
          <w:p>
            <w:pPr>
              <w:jc w:val="right"/>
            </w:pPr>
            <w:r/>
            <w:r>
              <w:rPr>
                <w:rFonts w:ascii="Segoe UI" w:hAnsi="Segoe UI"/>
                <w:sz w:val="18"/>
              </w:rPr>
              <w:t>18</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2</w:t>
            </w:r>
          </w:p>
        </w:tc>
      </w:tr>
      <w:tr>
        <w:tc>
          <w:tcPr>
            <w:tcW w:type="dxa" w:w="1560"/>
          </w:tcPr>
          <w:p>
            <w:r/>
            <w:r>
              <w:rPr>
                <w:rFonts w:ascii="Segoe UI" w:hAnsi="Segoe UI"/>
                <w:sz w:val="18"/>
              </w:rPr>
              <w:t>Bain Capital</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70 days</w:t>
            </w:r>
          </w:p>
        </w:tc>
        <w:tc>
          <w:tcPr>
            <w:tcW w:type="dxa" w:w="1560"/>
          </w:tcPr>
          <w:p>
            <w:pPr>
              <w:jc w:val="right"/>
            </w:pPr>
            <w:r/>
            <w:r>
              <w:rPr>
                <w:rFonts w:ascii="Segoe UI" w:hAnsi="Segoe UI"/>
                <w:sz w:val="18"/>
              </w:rPr>
              <w:t>32</w:t>
            </w:r>
          </w:p>
        </w:tc>
        <w:tc>
          <w:tcPr>
            <w:tcW w:type="dxa" w:w="1560"/>
          </w:tcPr>
          <w:p>
            <w:pPr>
              <w:jc w:val="right"/>
            </w:pPr>
            <w:r/>
            <w:r>
              <w:rPr>
                <w:rFonts w:ascii="Segoe UI" w:hAnsi="Segoe UI"/>
                <w:sz w:val="18"/>
              </w:rPr>
              <w:t>3</w:t>
            </w:r>
          </w:p>
        </w:tc>
        <w:tc>
          <w:tcPr>
            <w:tcW w:type="dxa" w:w="1560"/>
          </w:tcPr>
          <w:p>
            <w:pPr>
              <w:jc w:val="right"/>
            </w:pPr>
            <w:r/>
            <w:r>
              <w:rPr>
                <w:rFonts w:ascii="Segoe UI" w:hAnsi="Segoe UI"/>
                <w:sz w:val="18"/>
              </w:rPr>
              <w:t>3</w:t>
            </w:r>
          </w:p>
        </w:tc>
      </w:tr>
      <w:tr>
        <w:tc>
          <w:tcPr>
            <w:tcW w:type="dxa" w:w="1560"/>
          </w:tcPr>
          <w:p>
            <w:r/>
            <w:r>
              <w:rPr>
                <w:rFonts w:ascii="Segoe UI" w:hAnsi="Segoe UI"/>
                <w:sz w:val="18"/>
              </w:rPr>
              <w:t>CVC Capital Partners</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69 days</w:t>
            </w:r>
          </w:p>
        </w:tc>
        <w:tc>
          <w:tcPr>
            <w:tcW w:type="dxa" w:w="1560"/>
          </w:tcPr>
          <w:p>
            <w:pPr>
              <w:jc w:val="right"/>
            </w:pPr>
            <w:r/>
            <w:r>
              <w:rPr>
                <w:rFonts w:ascii="Segoe UI" w:hAnsi="Segoe UI"/>
                <w:sz w:val="18"/>
              </w:rPr>
              <w:t>69</w:t>
            </w:r>
          </w:p>
        </w:tc>
        <w:tc>
          <w:tcPr>
            <w:tcW w:type="dxa" w:w="1560"/>
          </w:tcPr>
          <w:p>
            <w:pPr>
              <w:jc w:val="right"/>
            </w:pPr>
            <w:r/>
            <w:r>
              <w:rPr>
                <w:rFonts w:ascii="Segoe UI" w:hAnsi="Segoe UI"/>
                <w:sz w:val="18"/>
              </w:rPr>
              <w:t>3</w:t>
            </w:r>
          </w:p>
        </w:tc>
        <w:tc>
          <w:tcPr>
            <w:tcW w:type="dxa" w:w="1560"/>
          </w:tcPr>
          <w:p>
            <w:pPr>
              <w:jc w:val="right"/>
            </w:pPr>
            <w:r/>
            <w:r>
              <w:rPr>
                <w:rFonts w:ascii="Segoe UI" w:hAnsi="Segoe UI"/>
                <w:sz w:val="18"/>
              </w:rPr>
              <w:t>4</w:t>
            </w:r>
          </w:p>
        </w:tc>
      </w:tr>
      <w:tr>
        <w:tc>
          <w:tcPr>
            <w:tcW w:type="dxa" w:w="1560"/>
          </w:tcPr>
          <w:p>
            <w:r/>
            <w:r>
              <w:rPr>
                <w:rFonts w:ascii="Segoe UI" w:hAnsi="Segoe UI"/>
                <w:sz w:val="18"/>
              </w:rPr>
              <w:t>Stonepeak</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64 days</w:t>
            </w:r>
          </w:p>
        </w:tc>
        <w:tc>
          <w:tcPr>
            <w:tcW w:type="dxa" w:w="1560"/>
          </w:tcPr>
          <w:p>
            <w:pPr>
              <w:jc w:val="right"/>
            </w:pPr>
            <w:r/>
            <w:r>
              <w:rPr>
                <w:rFonts w:ascii="Segoe UI" w:hAnsi="Segoe UI"/>
                <w:sz w:val="18"/>
              </w:rPr>
              <w:t>87</w:t>
            </w:r>
          </w:p>
        </w:tc>
        <w:tc>
          <w:tcPr>
            <w:tcW w:type="dxa" w:w="1560"/>
          </w:tcPr>
          <w:p>
            <w:pPr>
              <w:jc w:val="right"/>
            </w:pPr>
            <w:r/>
            <w:r>
              <w:rPr>
                <w:rFonts w:ascii="Segoe UI" w:hAnsi="Segoe UI"/>
                <w:sz w:val="18"/>
              </w:rPr>
              <w:t>2</w:t>
            </w:r>
          </w:p>
        </w:tc>
        <w:tc>
          <w:tcPr>
            <w:tcW w:type="dxa" w:w="1560"/>
          </w:tcPr>
          <w:p>
            <w:pPr>
              <w:jc w:val="right"/>
            </w:pPr>
            <w:r/>
            <w:r>
              <w:rPr>
                <w:rFonts w:ascii="Segoe UI" w:hAnsi="Segoe UI"/>
                <w:sz w:val="18"/>
              </w:rPr>
              <w:t>1</w:t>
            </w:r>
          </w:p>
        </w:tc>
      </w:tr>
    </w:tbl>
    <w:p/>
    <w:p>
      <w:r>
        <w:t>Asker Healthcare completed four transactions across four countries within a single sector at an average interval of twenty-one days, a pattern consistent with a programmatic acquisition strategy supported by a dedicated team. Several other acquirers have now been inactive for longer than their own established interval. This is not a prediction of transaction activity. It is an observation that an acquirer with a known rhythm that has become quiet represents a better-qualified conversation than a name selected from a sector list.</w:t>
      </w:r>
    </w:p>
    <w:p>
      <w:r>
        <w:t>The second pattern concerns the interval between a situation becoming observable and becoming public. Across seven verified cases in the period, the difference was as follows.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0D1B2A"/>
          </w:tcPr>
          <w:p>
            <w:r/>
            <w:r>
              <w:rPr>
                <w:rFonts w:ascii="Segoe UI" w:hAnsi="Segoe UI"/>
                <w:b/>
                <w:color w:val="FFFFFF"/>
                <w:sz w:val="17"/>
              </w:rPr>
              <w:t>Company</w:t>
            </w:r>
          </w:p>
        </w:tc>
        <w:tc>
          <w:tcPr>
            <w:tcW w:type="dxa" w:w="2340"/>
            <w:shd w:val="clear" w:fill="0D1B2A"/>
          </w:tcPr>
          <w:p>
            <w:r/>
            <w:r>
              <w:rPr>
                <w:rFonts w:ascii="Segoe UI" w:hAnsi="Segoe UI"/>
                <w:b/>
                <w:color w:val="FFFFFF"/>
                <w:sz w:val="17"/>
              </w:rPr>
              <w:t>Identified</w:t>
            </w:r>
          </w:p>
        </w:tc>
        <w:tc>
          <w:tcPr>
            <w:tcW w:type="dxa" w:w="2340"/>
            <w:shd w:val="clear" w:fill="0D1B2A"/>
          </w:tcPr>
          <w:p>
            <w:r/>
            <w:r>
              <w:rPr>
                <w:rFonts w:ascii="Segoe UI" w:hAnsi="Segoe UI"/>
                <w:b/>
                <w:color w:val="FFFFFF"/>
                <w:sz w:val="17"/>
              </w:rPr>
              <w:t>Announced</w:t>
            </w:r>
          </w:p>
        </w:tc>
        <w:tc>
          <w:tcPr>
            <w:tcW w:type="dxa" w:w="2340"/>
            <w:shd w:val="clear" w:fill="0D1B2A"/>
          </w:tcPr>
          <w:p>
            <w:r/>
            <w:r>
              <w:rPr>
                <w:rFonts w:ascii="Segoe UI" w:hAnsi="Segoe UI"/>
                <w:b/>
                <w:color w:val="FFFFFF"/>
                <w:sz w:val="17"/>
              </w:rPr>
              <w:t>Interval</w:t>
            </w:r>
          </w:p>
        </w:tc>
      </w:tr>
      <w:tr>
        <w:tc>
          <w:tcPr>
            <w:tcW w:type="dxa" w:w="2340"/>
          </w:tcPr>
          <w:p>
            <w:r/>
            <w:r>
              <w:rPr>
                <w:rFonts w:ascii="Segoe UI" w:hAnsi="Segoe UI"/>
                <w:sz w:val="18"/>
              </w:rPr>
              <w:t>ATG Entertainment</w:t>
            </w:r>
          </w:p>
        </w:tc>
        <w:tc>
          <w:tcPr>
            <w:tcW w:type="dxa" w:w="2340"/>
          </w:tcPr>
          <w:p>
            <w:r/>
            <w:r>
              <w:rPr>
                <w:rFonts w:ascii="Segoe UI" w:hAnsi="Segoe UI"/>
                <w:sz w:val="18"/>
              </w:rPr>
              <w:t>21 May</w:t>
            </w:r>
          </w:p>
        </w:tc>
        <w:tc>
          <w:tcPr>
            <w:tcW w:type="dxa" w:w="2340"/>
          </w:tcPr>
          <w:p>
            <w:r/>
            <w:r>
              <w:rPr>
                <w:rFonts w:ascii="Segoe UI" w:hAnsi="Segoe UI"/>
                <w:sz w:val="18"/>
              </w:rPr>
              <w:t>11 August</w:t>
            </w:r>
          </w:p>
        </w:tc>
        <w:tc>
          <w:tcPr>
            <w:tcW w:type="dxa" w:w="2340"/>
          </w:tcPr>
          <w:p>
            <w:pPr>
              <w:jc w:val="right"/>
            </w:pPr>
            <w:r/>
            <w:r>
              <w:rPr>
                <w:rFonts w:ascii="Segoe UI" w:hAnsi="Segoe UI"/>
                <w:sz w:val="18"/>
              </w:rPr>
              <w:t>82 days</w:t>
            </w:r>
          </w:p>
        </w:tc>
      </w:tr>
      <w:tr>
        <w:tc>
          <w:tcPr>
            <w:tcW w:type="dxa" w:w="2340"/>
          </w:tcPr>
          <w:p>
            <w:r/>
            <w:r>
              <w:rPr>
                <w:rFonts w:ascii="Segoe UI" w:hAnsi="Segoe UI"/>
                <w:sz w:val="18"/>
              </w:rPr>
              <w:t>Gamma Communications</w:t>
            </w:r>
          </w:p>
        </w:tc>
        <w:tc>
          <w:tcPr>
            <w:tcW w:type="dxa" w:w="2340"/>
          </w:tcPr>
          <w:p>
            <w:r/>
            <w:r>
              <w:rPr>
                <w:rFonts w:ascii="Segoe UI" w:hAnsi="Segoe UI"/>
                <w:sz w:val="18"/>
              </w:rPr>
              <w:t>9 July</w:t>
            </w:r>
          </w:p>
        </w:tc>
        <w:tc>
          <w:tcPr>
            <w:tcW w:type="dxa" w:w="2340"/>
          </w:tcPr>
          <w:p>
            <w:r/>
            <w:r>
              <w:rPr>
                <w:rFonts w:ascii="Segoe UI" w:hAnsi="Segoe UI"/>
                <w:sz w:val="18"/>
              </w:rPr>
              <w:t>1 September</w:t>
            </w:r>
          </w:p>
        </w:tc>
        <w:tc>
          <w:tcPr>
            <w:tcW w:type="dxa" w:w="2340"/>
          </w:tcPr>
          <w:p>
            <w:pPr>
              <w:jc w:val="right"/>
            </w:pPr>
            <w:r/>
            <w:r>
              <w:rPr>
                <w:rFonts w:ascii="Segoe UI" w:hAnsi="Segoe UI"/>
                <w:sz w:val="18"/>
              </w:rPr>
              <w:t>54 days</w:t>
            </w:r>
          </w:p>
        </w:tc>
      </w:tr>
      <w:tr>
        <w:tc>
          <w:tcPr>
            <w:tcW w:type="dxa" w:w="2340"/>
          </w:tcPr>
          <w:p>
            <w:r/>
            <w:r>
              <w:rPr>
                <w:rFonts w:ascii="Segoe UI" w:hAnsi="Segoe UI"/>
                <w:sz w:val="18"/>
              </w:rPr>
              <w:t>Delivery Hero</w:t>
            </w:r>
          </w:p>
        </w:tc>
        <w:tc>
          <w:tcPr>
            <w:tcW w:type="dxa" w:w="2340"/>
          </w:tcPr>
          <w:p>
            <w:r/>
            <w:r>
              <w:rPr>
                <w:rFonts w:ascii="Segoe UI" w:hAnsi="Segoe UI"/>
                <w:sz w:val="18"/>
              </w:rPr>
              <w:t>2 June</w:t>
            </w:r>
          </w:p>
        </w:tc>
        <w:tc>
          <w:tcPr>
            <w:tcW w:type="dxa" w:w="2340"/>
          </w:tcPr>
          <w:p>
            <w:r/>
            <w:r>
              <w:rPr>
                <w:rFonts w:ascii="Segoe UI" w:hAnsi="Segoe UI"/>
                <w:sz w:val="18"/>
              </w:rPr>
              <w:t>15 July</w:t>
            </w:r>
          </w:p>
        </w:tc>
        <w:tc>
          <w:tcPr>
            <w:tcW w:type="dxa" w:w="2340"/>
          </w:tcPr>
          <w:p>
            <w:pPr>
              <w:jc w:val="right"/>
            </w:pPr>
            <w:r/>
            <w:r>
              <w:rPr>
                <w:rFonts w:ascii="Segoe UI" w:hAnsi="Segoe UI"/>
                <w:sz w:val="18"/>
              </w:rPr>
              <w:t>43 days</w:t>
            </w:r>
          </w:p>
        </w:tc>
      </w:tr>
      <w:tr>
        <w:tc>
          <w:tcPr>
            <w:tcW w:type="dxa" w:w="2340"/>
          </w:tcPr>
          <w:p>
            <w:r/>
            <w:r>
              <w:rPr>
                <w:rFonts w:ascii="Segoe UI" w:hAnsi="Segoe UI"/>
                <w:sz w:val="18"/>
              </w:rPr>
              <w:t>Commerzbank</w:t>
            </w:r>
          </w:p>
        </w:tc>
        <w:tc>
          <w:tcPr>
            <w:tcW w:type="dxa" w:w="2340"/>
          </w:tcPr>
          <w:p>
            <w:r/>
            <w:r>
              <w:rPr>
                <w:rFonts w:ascii="Segoe UI" w:hAnsi="Segoe UI"/>
                <w:sz w:val="18"/>
              </w:rPr>
              <w:t>2 June</w:t>
            </w:r>
          </w:p>
        </w:tc>
        <w:tc>
          <w:tcPr>
            <w:tcW w:type="dxa" w:w="2340"/>
          </w:tcPr>
          <w:p>
            <w:r/>
            <w:r>
              <w:rPr>
                <w:rFonts w:ascii="Segoe UI" w:hAnsi="Segoe UI"/>
                <w:sz w:val="18"/>
              </w:rPr>
              <w:t>8 July</w:t>
            </w:r>
          </w:p>
        </w:tc>
        <w:tc>
          <w:tcPr>
            <w:tcW w:type="dxa" w:w="2340"/>
          </w:tcPr>
          <w:p>
            <w:pPr>
              <w:jc w:val="right"/>
            </w:pPr>
            <w:r/>
            <w:r>
              <w:rPr>
                <w:rFonts w:ascii="Segoe UI" w:hAnsi="Segoe UI"/>
                <w:sz w:val="18"/>
              </w:rPr>
              <w:t>38 days</w:t>
            </w:r>
          </w:p>
        </w:tc>
      </w:tr>
      <w:tr>
        <w:tc>
          <w:tcPr>
            <w:tcW w:type="dxa" w:w="2340"/>
          </w:tcPr>
          <w:p>
            <w:r/>
            <w:r>
              <w:rPr>
                <w:rFonts w:ascii="Segoe UI" w:hAnsi="Segoe UI"/>
                <w:sz w:val="18"/>
              </w:rPr>
              <w:t>easyJet</w:t>
            </w:r>
          </w:p>
        </w:tc>
        <w:tc>
          <w:tcPr>
            <w:tcW w:type="dxa" w:w="2340"/>
          </w:tcPr>
          <w:p>
            <w:r/>
            <w:r>
              <w:rPr>
                <w:rFonts w:ascii="Segoe UI" w:hAnsi="Segoe UI"/>
                <w:sz w:val="18"/>
              </w:rPr>
              <w:t>31 May</w:t>
            </w:r>
          </w:p>
        </w:tc>
        <w:tc>
          <w:tcPr>
            <w:tcW w:type="dxa" w:w="2340"/>
          </w:tcPr>
          <w:p>
            <w:r/>
            <w:r>
              <w:rPr>
                <w:rFonts w:ascii="Segoe UI" w:hAnsi="Segoe UI"/>
                <w:sz w:val="18"/>
              </w:rPr>
              <w:t>6 July</w:t>
            </w:r>
          </w:p>
        </w:tc>
        <w:tc>
          <w:tcPr>
            <w:tcW w:type="dxa" w:w="2340"/>
          </w:tcPr>
          <w:p>
            <w:pPr>
              <w:jc w:val="right"/>
            </w:pPr>
            <w:r/>
            <w:r>
              <w:rPr>
                <w:rFonts w:ascii="Segoe UI" w:hAnsi="Segoe UI"/>
                <w:sz w:val="18"/>
              </w:rPr>
              <w:t>36 days</w:t>
            </w:r>
          </w:p>
        </w:tc>
      </w:tr>
      <w:tr>
        <w:tc>
          <w:tcPr>
            <w:tcW w:type="dxa" w:w="2340"/>
          </w:tcPr>
          <w:p>
            <w:r/>
            <w:r>
              <w:rPr>
                <w:rFonts w:ascii="Segoe UI" w:hAnsi="Segoe UI"/>
                <w:sz w:val="18"/>
              </w:rPr>
              <w:t>Bodycote</w:t>
            </w:r>
          </w:p>
        </w:tc>
        <w:tc>
          <w:tcPr>
            <w:tcW w:type="dxa" w:w="2340"/>
          </w:tcPr>
          <w:p>
            <w:r/>
            <w:r>
              <w:rPr>
                <w:rFonts w:ascii="Segoe UI" w:hAnsi="Segoe UI"/>
                <w:sz w:val="18"/>
              </w:rPr>
              <w:t>28 July</w:t>
            </w:r>
          </w:p>
        </w:tc>
        <w:tc>
          <w:tcPr>
            <w:tcW w:type="dxa" w:w="2340"/>
          </w:tcPr>
          <w:p>
            <w:r/>
            <w:r>
              <w:rPr>
                <w:rFonts w:ascii="Segoe UI" w:hAnsi="Segoe UI"/>
                <w:sz w:val="18"/>
              </w:rPr>
              <w:t>1 September</w:t>
            </w:r>
          </w:p>
        </w:tc>
        <w:tc>
          <w:tcPr>
            <w:tcW w:type="dxa" w:w="2340"/>
          </w:tcPr>
          <w:p>
            <w:pPr>
              <w:jc w:val="right"/>
            </w:pPr>
            <w:r/>
            <w:r>
              <w:rPr>
                <w:rFonts w:ascii="Segoe UI" w:hAnsi="Segoe UI"/>
                <w:sz w:val="18"/>
              </w:rPr>
              <w:t>35 days</w:t>
            </w:r>
          </w:p>
        </w:tc>
      </w:tr>
      <w:tr>
        <w:tc>
          <w:tcPr>
            <w:tcW w:type="dxa" w:w="2340"/>
          </w:tcPr>
          <w:p>
            <w:r/>
            <w:r>
              <w:rPr>
                <w:rFonts w:ascii="Segoe UI" w:hAnsi="Segoe UI"/>
                <w:sz w:val="18"/>
              </w:rPr>
              <w:t>Pinewood Technologies</w:t>
            </w:r>
          </w:p>
        </w:tc>
        <w:tc>
          <w:tcPr>
            <w:tcW w:type="dxa" w:w="2340"/>
          </w:tcPr>
          <w:p>
            <w:r/>
            <w:r>
              <w:rPr>
                <w:rFonts w:ascii="Segoe UI" w:hAnsi="Segoe UI"/>
                <w:sz w:val="18"/>
              </w:rPr>
              <w:t>27 July</w:t>
            </w:r>
          </w:p>
        </w:tc>
        <w:tc>
          <w:tcPr>
            <w:tcW w:type="dxa" w:w="2340"/>
          </w:tcPr>
          <w:p>
            <w:r/>
            <w:r>
              <w:rPr>
                <w:rFonts w:ascii="Segoe UI" w:hAnsi="Segoe UI"/>
                <w:sz w:val="18"/>
              </w:rPr>
              <w:t>19 August</w:t>
            </w:r>
          </w:p>
        </w:tc>
        <w:tc>
          <w:tcPr>
            <w:tcW w:type="dxa" w:w="2340"/>
          </w:tcPr>
          <w:p>
            <w:pPr>
              <w:jc w:val="right"/>
            </w:pPr>
            <w:r/>
            <w:r>
              <w:rPr>
                <w:rFonts w:ascii="Segoe UI" w:hAnsi="Segoe UI"/>
                <w:sz w:val="18"/>
              </w:rPr>
              <w:t>23 days</w:t>
            </w:r>
          </w:p>
        </w:tc>
      </w:tr>
    </w:tbl>
    <w:p/>
    <w:p>
      <w:r>
        <w:t>The median interval was thirty-eight days. A further twelve candidate cases were examined and set aside during review because the earlier signal described a different event or a different organisation. Lead-time measurement is only meaningful where the method for excluding false matches is applied consistently.</w:t>
      </w:r>
    </w:p>
    <w:p>
      <w:r>
        <w:t>The organisations that understand these sequences gain a deeper understanding of where change is occurring. Rather than pursuing opportunities after formal procurement begins, they are able to understand context, develop hypotheses and build relationships earlier in the cycle. The advantage is not prediction. The advantage is awareness.</w:t>
      </w:r>
    </w:p>
    <w:p>
      <w:pPr>
        <w:pBdr>
          <w:bottom w:val="single" w:sz="6" w:color="C9A84C"/>
        </w:pBdr>
      </w:pPr>
    </w:p>
    <w:p>
      <w:pPr>
        <w:spacing w:before="400" w:after="160"/>
      </w:pPr>
      <w:r>
        <w:rPr>
          <w:rFonts w:ascii="Georgia" w:hAnsi="Georgia"/>
          <w:b/>
          <w:color w:val="0D1B2A"/>
          <w:sz w:val="30"/>
        </w:rPr>
        <w:t>9. Implications for Partners in 2027</w:t>
      </w:r>
    </w:p>
    <w:p>
      <w:r>
        <w:t>The consulting market is becoming increasingly competitive, while information is becoming more abundant and less differentiated. As a result, simply having access to transaction announcements is no longer a source of competitive advantage. The next generation of origination will increasingly resemble an intelligence capability.</w:t>
      </w:r>
    </w:p>
    <w:p>
      <w:r>
        <w:t>Four implications follow from the evidence in this paper.</w:t>
      </w:r>
    </w:p>
    <w:p>
      <w:r>
        <w:t>Integration and separation demand will continue to be created ahead of its visibility. A market that recorded 79 carve-outs alongside 457 integration advertisements concentrated in 129 employers is a market in the middle of substantial execution activity, most of which will be delivered in the periods following the transactions that created it.</w:t>
      </w:r>
    </w:p>
    <w:p>
      <w:r>
        <w:t>Sector coverage should be weighted by complexity rather than volume. Industrials and Aerospace &amp; Defence recorded median transaction values of $677m and $686m respectively against a corpus median of $212m, with correspondingly longer execution horizons.</w:t>
      </w:r>
    </w:p>
    <w:p>
      <w:r>
        <w:t>The lower value segment will remain commercially significant and largely undocumented. Transactions below $100m accounted for thirty-seven percent of disclosed activity and are associated with the acquirers operating at the shortest intervals. This segment rarely features in league tables and is where programmatic advisory relationships are most often established.</w:t>
      </w:r>
    </w:p>
    <w:p>
      <w:r>
        <w:t>Geographic strategy should distinguish between transaction markets and capability markets. Germany and the United Kingdom are both major transaction markets preparing for different work. Poland and South Africa show hiring activity substantially ahead of transaction activity, indicating capability development rather than deal execution.</w:t>
      </w:r>
    </w:p>
    <w:p>
      <w:r>
        <w:t>Partners will need to combine market expertise with behavioural analysis, organisational understanding and signal detection. The goal is not to identify more deals. The goal is to better understand where change is likely to happen and which opportunities are likely to produce meaningful advisory demand. Firms that develop this capability are likely to have earlier, better-informed and more commercially relevant conversations.</w:t>
      </w:r>
    </w:p>
    <w:p>
      <w:pPr>
        <w:pBdr>
          <w:bottom w:val="single" w:sz="6" w:color="C9A84C"/>
        </w:pBdr>
      </w:pPr>
    </w:p>
    <w:p>
      <w:pPr>
        <w:spacing w:before="400" w:after="160"/>
      </w:pPr>
      <w:r>
        <w:rPr>
          <w:rFonts w:ascii="Georgia" w:hAnsi="Georgia"/>
          <w:b/>
          <w:color w:val="0D1B2A"/>
          <w:sz w:val="30"/>
        </w:rPr>
        <w:t>Conclusion</w:t>
      </w:r>
    </w:p>
    <w:p>
      <w:r>
        <w:t>The central conclusion of this research is that consulting demand is frequently invisible within traditional market records. Transactions remain important, but they are only one part of a much larger picture. The most significant opportunities are often created before public announcements and delivered long after those announcements have disappeared from view.</w:t>
      </w:r>
    </w:p>
    <w:p>
      <w:r>
        <w:t>The evidence supports this directly. Strategy firms accounted for 1.1% of named adviser appointments. No appointment in the corpus was named for post-close integration or separation work. Fifty-one of 82 carve-outs named no adviser at all. In each case the underlying work plainly occurred, but the public record did not describe it.</w:t>
      </w:r>
    </w:p>
    <w:p>
      <w:r>
        <w:t>Understanding the hidden market for consulting work requires a shift from transaction monitoring to behavioural intelligence. The firms that make that shift will possess a more complete understanding of where advisory demand is forming and how markets are evolving.</w:t>
      </w:r>
    </w:p>
    <w:p>
      <w:pPr>
        <w:pBdr>
          <w:bottom w:val="single" w:sz="6" w:color="C9A84C"/>
        </w:pBdr>
      </w:pPr>
    </w:p>
    <w:p>
      <w:pPr>
        <w:spacing w:before="400" w:after="160"/>
      </w:pPr>
      <w:r>
        <w:rPr>
          <w:rFonts w:ascii="Georgia" w:hAnsi="Georgia"/>
          <w:b/>
          <w:color w:val="0D1B2A"/>
          <w:sz w:val="30"/>
        </w:rPr>
        <w:t>Note on Scope</w:t>
      </w:r>
    </w:p>
    <w:p>
      <w:r>
        <w:t>Figures in this paper are drawn from the StrategyAI corpus for 1 June to 4 September 2026 and are traceable to source. Composition figures exclude debt and equity capital markets issuance. Two limitations should be recorded. First, hiring activity cannot yet be connected to individual transactions with sufficient frequency to support a published interval between recruitment and announcement; testing across the corpus produced a single clean match, which is insufficient for a general finding. Second, longitudinal headcount measurement is being rebuilt following an audit conducted during the preparation of this paper, and no conclusion here relies upon it.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