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Georgia" w:hAnsi="Georgia"/>
          <w:b/>
          <w:color w:val="0D1B2A"/>
          <w:sz w:val="60"/>
        </w:rPr>
        <w:t>The Mandate Gap</w:t>
      </w:r>
    </w:p>
    <w:p>
      <w:pPr>
        <w:spacing w:before="200"/>
      </w:pPr>
      <w:r>
        <w:rPr>
          <w:rFonts w:ascii="Georgia" w:hAnsi="Georgia"/>
          <w:i/>
          <w:color w:val="55637A"/>
          <w:sz w:val="26"/>
        </w:rPr>
        <w:t>What 739 European deals tell us about where advisory work is actually decided</w:t>
      </w:r>
    </w:p>
    <w:p>
      <w:r>
        <w:rPr>
          <w:rFonts w:ascii="Segoe UI" w:hAnsi="Segoe UI"/>
          <w:b/>
          <w:color w:val="9A7B10"/>
          <w:sz w:val="18"/>
        </w:rPr>
        <w:t>StrategyAI Research · Q3 2026 · Europe, Middle East and Africa</w:t>
      </w:r>
    </w:p>
    <w:p>
      <w:pPr>
        <w:pBdr>
          <w:bottom w:val="single" w:sz="6" w:color="C9A84C"/>
        </w:pBdr>
      </w:pPr>
    </w:p>
    <w:p>
      <w:pPr>
        <w:spacing w:before="400" w:after="160"/>
      </w:pPr>
      <w:r>
        <w:rPr>
          <w:rFonts w:ascii="Georgia" w:hAnsi="Georgia"/>
          <w:b/>
          <w:color w:val="0D1B2A"/>
          <w:sz w:val="30"/>
        </w:rPr>
        <w:t>In brief</w:t>
      </w:r>
    </w:p>
    <w:p>
      <w:r>
        <w:t>Between 1 June and 4 September 2026 we tracked 739 M&amp;A transactions across EMEA and recorded, where disclosed, every adviser named on them. That produced 1,472 named adviser appointments across 768 firms.</w:t>
      </w:r>
    </w:p>
    <w:p>
      <w:r>
        <w:t>Sixteen of those appointments went to a strategy firm. Just over one percent.</w:t>
      </w:r>
    </w:p>
    <w:p>
      <w:r>
        <w:t xml:space="preserve">This is not because strategy firms did not work on these deals. It is because the work they do is invisible in the transaction record. Banks and law firms are named in the announcement because their mandate </w:t>
      </w:r>
      <w:r>
        <w:rPr>
          <w:i/>
        </w:rPr>
        <w:t>is</w:t>
      </w:r>
      <w:r>
        <w:t xml:space="preserve"> the transaction. Strategy work is commissioned before the announcement and delivered after it, and in neither window does anyone publish a tombstone.</w:t>
      </w:r>
    </w:p>
    <w:p>
      <w:r>
        <w:t>That gap is the whole problem of origination in this market. If you wait for the deal record to tell you where the work is, you are reading a document that structurally cannot contain the answer.</w:t>
      </w:r>
    </w:p>
    <w:p>
      <w:r>
        <w:t>Worse, of those 1,472 appointments, the number named for post-close integration, separation or operating model work is zero. Not a small share. None. Across 79 carve-outs, no adviser in our corpus was publicly named for the separation itself.</w:t>
      </w:r>
    </w:p>
    <w:p>
      <w:r>
        <w:t>This paper sets out what we observed in the quarter: where the deals were, what they were worth, what shape they took, which consulting firms were named and for what, what companies were hiring for and in which countries, and what that implies for Q4. It also sets out, explicitly, the three things our data does not yet let us claim.</w:t>
      </w:r>
    </w:p>
    <w:p>
      <w:pPr>
        <w:pBdr>
          <w:bottom w:val="single" w:sz="6" w:color="C9A84C"/>
        </w:pBdr>
      </w:pPr>
    </w:p>
    <w:p>
      <w:pPr>
        <w:spacing w:before="400" w:after="160"/>
      </w:pPr>
      <w:r>
        <w:rPr>
          <w:rFonts w:ascii="Georgia" w:hAnsi="Georgia"/>
          <w:b/>
          <w:color w:val="0D1B2A"/>
          <w:sz w:val="30"/>
        </w:rPr>
        <w:t>Method, and what these numbers are not</w:t>
      </w:r>
    </w:p>
    <w:p>
      <w:r>
        <w:t>Every figure here comes from our own corpus: 739 M&amp;A transactions, 1,472 adviser appointments, 1,130 role advertisements classified by intent, and roughly 88,000 tracked signals. Deal values are as disclosed; 240 of the 739 transactions carried a public value.</w:t>
      </w:r>
    </w:p>
    <w:p>
      <w:r>
        <w:t>Two honest constraints, stated up front because they change how the numbers should be read.</w:t>
      </w:r>
    </w:p>
    <w:p>
      <w:r>
        <w:rPr>
          <w:b/>
        </w:rPr>
        <w:t>These are not market volumes.</w:t>
      </w:r>
      <w:r>
        <w:t xml:space="preserve"> Our monthly deal counts move with our own ingestion, not with the market. A chart showing deals rising in July and falling in August would describe our collection schedule and nothing else. So this paper reports </w:t>
      </w:r>
      <w:r>
        <w:rPr>
          <w:i/>
        </w:rPr>
        <w:t>composition</w:t>
      </w:r>
      <w:r>
        <w:t xml:space="preserve"> — sector mix, deal structure, value distribution, adviser mix — which is robust to when a record entered the system. Where we discuss direction, we say so and show the basis.</w:t>
      </w:r>
    </w:p>
    <w:p>
      <w:r>
        <w:rPr>
          <w:b/>
        </w:rPr>
        <w:t>Disclosure is not neutral.</w:t>
      </w:r>
      <w:r>
        <w:t xml:space="preserve"> Only 32% of transactions disclosed a value, and larger deals disclose more often. Median deal size across the corpus is therefore a median of the deals that chose to tell you, which skews high. We report medians by sector rather than a single headline average for that reason.</w:t>
      </w:r>
    </w:p>
    <w:p>
      <w:pPr>
        <w:pBdr>
          <w:bottom w:val="single" w:sz="6" w:color="C9A84C"/>
        </w:pBdr>
      </w:pPr>
    </w:p>
    <w:p>
      <w:pPr>
        <w:spacing w:before="400" w:after="160"/>
      </w:pPr>
      <w:r>
        <w:rPr>
          <w:rFonts w:ascii="Georgia" w:hAnsi="Georgia"/>
          <w:b/>
          <w:color w:val="0D1B2A"/>
          <w:sz w:val="30"/>
        </w:rPr>
        <w:t>Finding 1 · The adviser record has a hole in exactly the shape of strategy work</w:t>
      </w:r>
    </w:p>
    <w:p>
      <w:r>
        <w:t>Of 1,472 named adviser appointments: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0D1B2A"/>
          </w:tcPr>
          <w:p>
            <w:r/>
            <w:r>
              <w:rPr>
                <w:rFonts w:ascii="Segoe UI" w:hAnsi="Segoe UI"/>
                <w:b/>
                <w:color w:val="FFFFFF"/>
                <w:sz w:val="17"/>
              </w:rPr>
              <w:t>Discipline</w:t>
            </w:r>
          </w:p>
        </w:tc>
        <w:tc>
          <w:tcPr>
            <w:tcW w:type="dxa" w:w="2340"/>
            <w:shd w:val="clear" w:fill="0D1B2A"/>
          </w:tcPr>
          <w:p>
            <w:r/>
            <w:r>
              <w:rPr>
                <w:rFonts w:ascii="Segoe UI" w:hAnsi="Segoe UI"/>
                <w:b/>
                <w:color w:val="FFFFFF"/>
                <w:sz w:val="17"/>
              </w:rPr>
              <w:t>Appointments</w:t>
            </w:r>
          </w:p>
        </w:tc>
        <w:tc>
          <w:tcPr>
            <w:tcW w:type="dxa" w:w="2340"/>
            <w:shd w:val="clear" w:fill="0D1B2A"/>
          </w:tcPr>
          <w:p>
            <w:r/>
            <w:r>
              <w:rPr>
                <w:rFonts w:ascii="Segoe UI" w:hAnsi="Segoe UI"/>
                <w:b/>
                <w:color w:val="FFFFFF"/>
                <w:sz w:val="17"/>
              </w:rPr>
              <w:t>Share</w:t>
            </w:r>
          </w:p>
        </w:tc>
        <w:tc>
          <w:tcPr>
            <w:tcW w:type="dxa" w:w="2340"/>
            <w:shd w:val="clear" w:fill="0D1B2A"/>
          </w:tcPr>
          <w:p>
            <w:r/>
            <w:r>
              <w:rPr>
                <w:rFonts w:ascii="Segoe UI" w:hAnsi="Segoe UI"/>
                <w:b/>
                <w:color w:val="FFFFFF"/>
                <w:sz w:val="17"/>
              </w:rPr>
              <w:t>Distinct firms</w:t>
            </w:r>
          </w:p>
        </w:tc>
      </w:tr>
      <w:tr>
        <w:tc>
          <w:tcPr>
            <w:tcW w:type="dxa" w:w="2340"/>
          </w:tcPr>
          <w:p>
            <w:r/>
            <w:r>
              <w:rPr>
                <w:rFonts w:ascii="Segoe UI" w:hAnsi="Segoe UI"/>
                <w:sz w:val="18"/>
              </w:rPr>
              <w:t>Financial adviser / bank</w:t>
            </w:r>
          </w:p>
        </w:tc>
        <w:tc>
          <w:tcPr>
            <w:tcW w:type="dxa" w:w="2340"/>
          </w:tcPr>
          <w:p>
            <w:pPr>
              <w:jc w:val="right"/>
            </w:pPr>
            <w:r/>
            <w:r>
              <w:rPr>
                <w:rFonts w:ascii="Segoe UI" w:hAnsi="Segoe UI"/>
                <w:sz w:val="18"/>
              </w:rPr>
              <w:t>867</w:t>
            </w:r>
          </w:p>
        </w:tc>
        <w:tc>
          <w:tcPr>
            <w:tcW w:type="dxa" w:w="2340"/>
          </w:tcPr>
          <w:p>
            <w:pPr>
              <w:jc w:val="right"/>
            </w:pPr>
            <w:r/>
            <w:r>
              <w:rPr>
                <w:rFonts w:ascii="Segoe UI" w:hAnsi="Segoe UI"/>
                <w:sz w:val="18"/>
              </w:rPr>
              <w:t>58.9%</w:t>
            </w:r>
          </w:p>
        </w:tc>
        <w:tc>
          <w:tcPr>
            <w:tcW w:type="dxa" w:w="2340"/>
          </w:tcPr>
          <w:p>
            <w:pPr>
              <w:jc w:val="right"/>
            </w:pPr>
            <w:r/>
            <w:r>
              <w:rPr>
                <w:rFonts w:ascii="Segoe UI" w:hAnsi="Segoe UI"/>
                <w:sz w:val="18"/>
              </w:rPr>
              <w:t>475</w:t>
            </w:r>
          </w:p>
        </w:tc>
      </w:tr>
      <w:tr>
        <w:tc>
          <w:tcPr>
            <w:tcW w:type="dxa" w:w="2340"/>
          </w:tcPr>
          <w:p>
            <w:r/>
            <w:r>
              <w:rPr>
                <w:rFonts w:ascii="Segoe UI" w:hAnsi="Segoe UI"/>
                <w:sz w:val="18"/>
              </w:rPr>
              <w:t>Legal</w:t>
            </w:r>
          </w:p>
        </w:tc>
        <w:tc>
          <w:tcPr>
            <w:tcW w:type="dxa" w:w="2340"/>
          </w:tcPr>
          <w:p>
            <w:pPr>
              <w:jc w:val="right"/>
            </w:pPr>
            <w:r/>
            <w:r>
              <w:rPr>
                <w:rFonts w:ascii="Segoe UI" w:hAnsi="Segoe UI"/>
                <w:sz w:val="18"/>
              </w:rPr>
              <w:t>499</w:t>
            </w:r>
          </w:p>
        </w:tc>
        <w:tc>
          <w:tcPr>
            <w:tcW w:type="dxa" w:w="2340"/>
          </w:tcPr>
          <w:p>
            <w:pPr>
              <w:jc w:val="right"/>
            </w:pPr>
            <w:r/>
            <w:r>
              <w:rPr>
                <w:rFonts w:ascii="Segoe UI" w:hAnsi="Segoe UI"/>
                <w:sz w:val="18"/>
              </w:rPr>
              <w:t>33.9%</w:t>
            </w:r>
          </w:p>
        </w:tc>
        <w:tc>
          <w:tcPr>
            <w:tcW w:type="dxa" w:w="2340"/>
          </w:tcPr>
          <w:p>
            <w:pPr>
              <w:jc w:val="right"/>
            </w:pPr>
            <w:r/>
            <w:r>
              <w:rPr>
                <w:rFonts w:ascii="Segoe UI" w:hAnsi="Segoe UI"/>
                <w:sz w:val="18"/>
              </w:rPr>
              <w:t>252</w:t>
            </w:r>
          </w:p>
        </w:tc>
      </w:tr>
      <w:tr>
        <w:tc>
          <w:tcPr>
            <w:tcW w:type="dxa" w:w="2340"/>
          </w:tcPr>
          <w:p>
            <w:r/>
            <w:r>
              <w:rPr>
                <w:rFonts w:ascii="Segoe UI" w:hAnsi="Segoe UI"/>
                <w:sz w:val="18"/>
              </w:rPr>
              <w:t>Accounting and transaction advisory</w:t>
            </w:r>
          </w:p>
        </w:tc>
        <w:tc>
          <w:tcPr>
            <w:tcW w:type="dxa" w:w="2340"/>
          </w:tcPr>
          <w:p>
            <w:pPr>
              <w:jc w:val="right"/>
            </w:pPr>
            <w:r/>
            <w:r>
              <w:rPr>
                <w:rFonts w:ascii="Segoe UI" w:hAnsi="Segoe UI"/>
                <w:sz w:val="18"/>
              </w:rPr>
              <w:t>59</w:t>
            </w:r>
          </w:p>
        </w:tc>
        <w:tc>
          <w:tcPr>
            <w:tcW w:type="dxa" w:w="2340"/>
          </w:tcPr>
          <w:p>
            <w:pPr>
              <w:jc w:val="right"/>
            </w:pPr>
            <w:r/>
            <w:r>
              <w:rPr>
                <w:rFonts w:ascii="Segoe UI" w:hAnsi="Segoe UI"/>
                <w:sz w:val="18"/>
              </w:rPr>
              <w:t>4.0%</w:t>
            </w:r>
          </w:p>
        </w:tc>
        <w:tc>
          <w:tcPr>
            <w:tcW w:type="dxa" w:w="2340"/>
          </w:tcPr>
          <w:p>
            <w:pPr>
              <w:jc w:val="right"/>
            </w:pPr>
            <w:r/>
            <w:r>
              <w:rPr>
                <w:rFonts w:ascii="Segoe UI" w:hAnsi="Segoe UI"/>
                <w:sz w:val="18"/>
              </w:rPr>
              <w:t>14</w:t>
            </w:r>
          </w:p>
        </w:tc>
      </w:tr>
      <w:tr>
        <w:tc>
          <w:tcPr>
            <w:tcW w:type="dxa" w:w="2340"/>
          </w:tcPr>
          <w:p>
            <w:r/>
            <w:r>
              <w:rPr>
                <w:rFonts w:ascii="Segoe UI" w:hAnsi="Segoe UI"/>
                <w:sz w:val="18"/>
              </w:rPr>
              <w:t>Communications and IR</w:t>
            </w:r>
          </w:p>
        </w:tc>
        <w:tc>
          <w:tcPr>
            <w:tcW w:type="dxa" w:w="2340"/>
          </w:tcPr>
          <w:p>
            <w:pPr>
              <w:jc w:val="right"/>
            </w:pPr>
            <w:r/>
            <w:r>
              <w:rPr>
                <w:rFonts w:ascii="Segoe UI" w:hAnsi="Segoe UI"/>
                <w:sz w:val="18"/>
              </w:rPr>
              <w:t>31</w:t>
            </w:r>
          </w:p>
        </w:tc>
        <w:tc>
          <w:tcPr>
            <w:tcW w:type="dxa" w:w="2340"/>
          </w:tcPr>
          <w:p>
            <w:pPr>
              <w:jc w:val="right"/>
            </w:pPr>
            <w:r/>
            <w:r>
              <w:rPr>
                <w:rFonts w:ascii="Segoe UI" w:hAnsi="Segoe UI"/>
                <w:sz w:val="18"/>
              </w:rPr>
              <w:t>2.1%</w:t>
            </w:r>
          </w:p>
        </w:tc>
        <w:tc>
          <w:tcPr>
            <w:tcW w:type="dxa" w:w="2340"/>
          </w:tcPr>
          <w:p>
            <w:pPr>
              <w:jc w:val="right"/>
            </w:pPr>
            <w:r/>
            <w:r>
              <w:rPr>
                <w:rFonts w:ascii="Segoe UI" w:hAnsi="Segoe UI"/>
                <w:sz w:val="18"/>
              </w:rPr>
              <w:t>27</w:t>
            </w:r>
          </w:p>
        </w:tc>
      </w:tr>
      <w:tr>
        <w:tc>
          <w:tcPr>
            <w:tcW w:type="dxa" w:w="2340"/>
          </w:tcPr>
          <w:p>
            <w:r/>
            <w:r>
              <w:rPr>
                <w:rFonts w:ascii="Segoe UI" w:hAnsi="Segoe UI"/>
                <w:b/>
                <w:color w:val="9A7B10"/>
                <w:sz w:val="18"/>
              </w:rPr>
              <w:t>Strategy</w:t>
            </w:r>
          </w:p>
        </w:tc>
        <w:tc>
          <w:tcPr>
            <w:tcW w:type="dxa" w:w="2340"/>
          </w:tcPr>
          <w:p>
            <w:pPr>
              <w:jc w:val="right"/>
            </w:pPr>
            <w:r/>
            <w:r>
              <w:rPr>
                <w:rFonts w:ascii="Segoe UI" w:hAnsi="Segoe UI"/>
                <w:b/>
                <w:color w:val="9A7B10"/>
                <w:sz w:val="18"/>
              </w:rPr>
              <w:t>16</w:t>
            </w:r>
          </w:p>
        </w:tc>
        <w:tc>
          <w:tcPr>
            <w:tcW w:type="dxa" w:w="2340"/>
          </w:tcPr>
          <w:p>
            <w:pPr>
              <w:jc w:val="right"/>
            </w:pPr>
            <w:r/>
            <w:r>
              <w:rPr>
                <w:rFonts w:ascii="Segoe UI" w:hAnsi="Segoe UI"/>
                <w:b/>
                <w:color w:val="9A7B10"/>
                <w:sz w:val="18"/>
              </w:rPr>
              <w:t>1.1%</w:t>
            </w:r>
          </w:p>
        </w:tc>
        <w:tc>
          <w:tcPr>
            <w:tcW w:type="dxa" w:w="2340"/>
          </w:tcPr>
          <w:p>
            <w:pPr>
              <w:jc w:val="right"/>
            </w:pPr>
            <w:r/>
            <w:r>
              <w:rPr>
                <w:rFonts w:ascii="Segoe UI" w:hAnsi="Segoe UI"/>
                <w:b/>
                <w:color w:val="9A7B10"/>
                <w:sz w:val="18"/>
              </w:rPr>
              <w:t>11</w:t>
            </w:r>
          </w:p>
        </w:tc>
      </w:tr>
    </w:tbl>
    <w:p/>
    <w:p>
      <w:r>
        <w:t>A communications firm is more likely to be named on a European deal than a strategy firm.</w:t>
      </w:r>
    </w:p>
    <w:p>
      <w:r>
        <w:t>The league table underneath is what you would expect. Goldman Sachs and J.P. Morgan tie at 20 appointments each, Barclays 19, Citi 17, then Morgan Stanley, Rothschild, Latham &amp; Watkins and A&amp;O Shearman at 16. Nine of the top ten are banks or law firms. The exceptions are PwC and Deloitte at 14 each, and both appear overwhelmingly in due diligence roles, not strategy ones.</w:t>
      </w:r>
    </w:p>
    <w:p>
      <w:r>
        <w:rPr>
          <w:b/>
        </w:rPr>
        <w:t>Why this matters commercially.</w:t>
      </w:r>
      <w:r>
        <w:t xml:space="preserve"> Every business development function in consulting is built on reading deal announcements. That source will tell you, accurately, who ran the process. It will not tell you who is doing the separation design, the operating model work, the synergy case or the first hundred days, because those mandates are not part of the announcement. They are awarded on either side of it, usually without a press release.</w:t>
      </w:r>
    </w:p>
    <w:p>
      <w:r>
        <w:t xml:space="preserve">The implication is uncomfortable and worth stating plainly: </w:t>
      </w:r>
      <w:r>
        <w:rPr>
          <w:b/>
        </w:rPr>
        <w:t>the deal record is a lagging indicator of banking work and not an indicator of consulting work at all.</w:t>
      </w:r>
      <w:r>
        <w:t xml:space="preserve"> Origination built on it is structurally late.</w:t>
      </w:r>
    </w:p>
    <w:p>
      <w:pPr>
        <w:pBdr>
          <w:bottom w:val="single" w:sz="6" w:color="C9A84C"/>
        </w:pBdr>
      </w:pPr>
    </w:p>
    <w:p>
      <w:pPr>
        <w:spacing w:before="400" w:after="160"/>
      </w:pPr>
      <w:r>
        <w:rPr>
          <w:rFonts w:ascii="Georgia" w:hAnsi="Georgia"/>
          <w:b/>
          <w:color w:val="0D1B2A"/>
          <w:sz w:val="30"/>
        </w:rPr>
        <w:t>Finding 2 · When a consulting firm is named, it is always before the deal and never after</w:t>
      </w:r>
    </w:p>
    <w:p>
      <w:r>
        <w:t xml:space="preserve">The 1.1% headline understates the point. Look at </w:t>
      </w:r>
      <w:r>
        <w:rPr>
          <w:i/>
        </w:rPr>
        <w:t>what</w:t>
      </w:r>
      <w:r>
        <w:t xml:space="preserve"> the named advisory appointments were for, across all 1,472:</w:t>
      </w:r>
    </w:p>
    <w:tbl>
      <w:tblPr>
        <w:tblStyle w:val="TableGrid"/>
        <w:tblW w:type="auto" w:w="0"/>
        <w:jc w:val="center"/>
        <w:tblLook w:firstColumn="1" w:firstRow="1" w:lastColumn="0" w:lastRow="0" w:noHBand="0" w:noVBand="1" w:val="04A0"/>
      </w:tblPr>
      <w:tblGrid>
        <w:gridCol w:w="4680"/>
        <w:gridCol w:w="4680"/>
      </w:tblGrid>
      <w:tr>
        <w:tc>
          <w:tcPr>
            <w:tcW w:type="dxa" w:w="4680"/>
            <w:shd w:val="clear" w:fill="0D1B2A"/>
          </w:tcPr>
          <w:p>
            <w:r/>
            <w:r>
              <w:rPr>
                <w:rFonts w:ascii="Segoe UI" w:hAnsi="Segoe UI"/>
                <w:b/>
                <w:color w:val="FFFFFF"/>
                <w:sz w:val="17"/>
              </w:rPr>
              <w:t>Role type</w:t>
            </w:r>
          </w:p>
        </w:tc>
        <w:tc>
          <w:tcPr>
            <w:tcW w:type="dxa" w:w="4680"/>
            <w:shd w:val="clear" w:fill="0D1B2A"/>
          </w:tcPr>
          <w:p>
            <w:r/>
            <w:r>
              <w:rPr>
                <w:rFonts w:ascii="Segoe UI" w:hAnsi="Segoe UI"/>
                <w:b/>
                <w:color w:val="FFFFFF"/>
                <w:sz w:val="17"/>
              </w:rPr>
              <w:t>Appointments</w:t>
            </w:r>
          </w:p>
        </w:tc>
      </w:tr>
      <w:tr>
        <w:tc>
          <w:tcPr>
            <w:tcW w:type="dxa" w:w="4680"/>
          </w:tcPr>
          <w:p>
            <w:r/>
            <w:r>
              <w:rPr>
                <w:rFonts w:ascii="Segoe UI" w:hAnsi="Segoe UI"/>
                <w:sz w:val="18"/>
              </w:rPr>
              <w:t>Due diligence of any kind</w:t>
            </w:r>
          </w:p>
        </w:tc>
        <w:tc>
          <w:tcPr>
            <w:tcW w:type="dxa" w:w="4680"/>
          </w:tcPr>
          <w:p>
            <w:pPr>
              <w:jc w:val="right"/>
            </w:pPr>
            <w:r/>
            <w:r>
              <w:rPr>
                <w:rFonts w:ascii="Segoe UI" w:hAnsi="Segoe UI"/>
                <w:sz w:val="18"/>
              </w:rPr>
              <w:t>43</w:t>
            </w:r>
          </w:p>
        </w:tc>
      </w:tr>
      <w:tr>
        <w:tc>
          <w:tcPr>
            <w:tcW w:type="dxa" w:w="4680"/>
          </w:tcPr>
          <w:p>
            <w:r/>
            <w:r>
              <w:rPr>
                <w:rFonts w:ascii="Segoe UI" w:hAnsi="Segoe UI"/>
                <w:sz w:val="18"/>
              </w:rPr>
              <w:t>Commercial or strategy advisory</w:t>
            </w:r>
          </w:p>
        </w:tc>
        <w:tc>
          <w:tcPr>
            <w:tcW w:type="dxa" w:w="4680"/>
          </w:tcPr>
          <w:p>
            <w:pPr>
              <w:jc w:val="right"/>
            </w:pPr>
            <w:r/>
            <w:r>
              <w:rPr>
                <w:rFonts w:ascii="Segoe UI" w:hAnsi="Segoe UI"/>
                <w:sz w:val="18"/>
              </w:rPr>
              <w:t>15</w:t>
            </w:r>
          </w:p>
        </w:tc>
      </w:tr>
      <w:tr>
        <w:tc>
          <w:tcPr>
            <w:tcW w:type="dxa" w:w="4680"/>
          </w:tcPr>
          <w:p>
            <w:r/>
            <w:r>
              <w:rPr>
                <w:rFonts w:ascii="Segoe UI" w:hAnsi="Segoe UI"/>
                <w:b/>
                <w:color w:val="9A7B10"/>
                <w:sz w:val="18"/>
              </w:rPr>
              <w:t>Integration, separation, operating model or first hundred days</w:t>
            </w:r>
          </w:p>
        </w:tc>
        <w:tc>
          <w:tcPr>
            <w:tcW w:type="dxa" w:w="4680"/>
          </w:tcPr>
          <w:p>
            <w:pPr>
              <w:jc w:val="right"/>
            </w:pPr>
            <w:r/>
            <w:r>
              <w:rPr>
                <w:rFonts w:ascii="Segoe UI" w:hAnsi="Segoe UI"/>
                <w:b/>
                <w:color w:val="9A7B10"/>
                <w:sz w:val="18"/>
              </w:rPr>
              <w:t>0</w:t>
            </w:r>
          </w:p>
        </w:tc>
      </w:tr>
    </w:tbl>
    <w:p/>
    <w:p>
      <w:r>
        <w:t>Not a small number. Zero.</w:t>
      </w:r>
    </w:p>
    <w:p>
      <w:r>
        <w:t>Across 739 transactions, including 79 carve-outs, not a single named appointment in our corpus is for post-close integration or separation work. That work unquestionably happened. Seventy-nine businesses did not separate themselves. It simply never appears in the record.</w:t>
      </w:r>
    </w:p>
    <w:p>
      <w:r>
        <w:t>The pattern inside the consulting names confirms it. Every strategy house that does appear is there for one thing: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0D1B2A"/>
          </w:tcPr>
          <w:p>
            <w:r/>
            <w:r>
              <w:rPr>
                <w:rFonts w:ascii="Segoe UI" w:hAnsi="Segoe UI"/>
                <w:b/>
                <w:color w:val="FFFFFF"/>
                <w:sz w:val="17"/>
              </w:rPr>
              <w:t>Firm</w:t>
            </w:r>
          </w:p>
        </w:tc>
        <w:tc>
          <w:tcPr>
            <w:tcW w:type="dxa" w:w="3120"/>
            <w:shd w:val="clear" w:fill="0D1B2A"/>
          </w:tcPr>
          <w:p>
            <w:r/>
            <w:r>
              <w:rPr>
                <w:rFonts w:ascii="Segoe UI" w:hAnsi="Segoe UI"/>
                <w:b/>
                <w:color w:val="FFFFFF"/>
                <w:sz w:val="17"/>
              </w:rPr>
              <w:t>Appointments</w:t>
            </w:r>
          </w:p>
        </w:tc>
        <w:tc>
          <w:tcPr>
            <w:tcW w:type="dxa" w:w="3120"/>
            <w:shd w:val="clear" w:fill="0D1B2A"/>
          </w:tcPr>
          <w:p>
            <w:r/>
            <w:r>
              <w:rPr>
                <w:rFonts w:ascii="Segoe UI" w:hAnsi="Segoe UI"/>
                <w:b/>
                <w:color w:val="FFFFFF"/>
                <w:sz w:val="17"/>
              </w:rPr>
              <w:t>What they were named for</w:t>
            </w:r>
          </w:p>
        </w:tc>
      </w:tr>
      <w:tr>
        <w:tc>
          <w:tcPr>
            <w:tcW w:type="dxa" w:w="3120"/>
          </w:tcPr>
          <w:p>
            <w:r/>
            <w:r>
              <w:rPr>
                <w:rFonts w:ascii="Segoe UI" w:hAnsi="Segoe UI"/>
                <w:sz w:val="18"/>
              </w:rPr>
              <w:t>Boston Consulting Group</w:t>
            </w:r>
          </w:p>
        </w:tc>
        <w:tc>
          <w:tcPr>
            <w:tcW w:type="dxa" w:w="3120"/>
          </w:tcPr>
          <w:p>
            <w:pPr>
              <w:jc w:val="right"/>
            </w:pPr>
            <w:r/>
            <w:r>
              <w:rPr>
                <w:rFonts w:ascii="Segoe UI" w:hAnsi="Segoe UI"/>
                <w:sz w:val="18"/>
              </w:rPr>
              <w:t>3</w:t>
            </w:r>
          </w:p>
        </w:tc>
        <w:tc>
          <w:tcPr>
            <w:tcW w:type="dxa" w:w="3120"/>
          </w:tcPr>
          <w:p>
            <w:r/>
            <w:r>
              <w:rPr>
                <w:rFonts w:ascii="Segoe UI" w:hAnsi="Segoe UI"/>
                <w:sz w:val="18"/>
              </w:rPr>
              <w:t>Commercial due diligence, commercial and strategy adviser</w:t>
            </w:r>
          </w:p>
        </w:tc>
      </w:tr>
      <w:tr>
        <w:tc>
          <w:tcPr>
            <w:tcW w:type="dxa" w:w="3120"/>
          </w:tcPr>
          <w:p>
            <w:r/>
            <w:r>
              <w:rPr>
                <w:rFonts w:ascii="Segoe UI" w:hAnsi="Segoe UI"/>
                <w:sz w:val="18"/>
              </w:rPr>
              <w:t>EY-Parthenon</w:t>
            </w:r>
          </w:p>
        </w:tc>
        <w:tc>
          <w:tcPr>
            <w:tcW w:type="dxa" w:w="3120"/>
          </w:tcPr>
          <w:p>
            <w:pPr>
              <w:jc w:val="right"/>
            </w:pPr>
            <w:r/>
            <w:r>
              <w:rPr>
                <w:rFonts w:ascii="Segoe UI" w:hAnsi="Segoe UI"/>
                <w:sz w:val="18"/>
              </w:rPr>
              <w:t>3</w:t>
            </w:r>
          </w:p>
        </w:tc>
        <w:tc>
          <w:tcPr>
            <w:tcW w:type="dxa" w:w="3120"/>
          </w:tcPr>
          <w:p>
            <w:r/>
            <w:r>
              <w:rPr>
                <w:rFonts w:ascii="Segoe UI" w:hAnsi="Segoe UI"/>
                <w:sz w:val="18"/>
              </w:rPr>
              <w:t>Commercial and strategy diligence, M&amp;A process lead</w:t>
            </w:r>
          </w:p>
        </w:tc>
      </w:tr>
      <w:tr>
        <w:tc>
          <w:tcPr>
            <w:tcW w:type="dxa" w:w="3120"/>
          </w:tcPr>
          <w:p>
            <w:r/>
            <w:r>
              <w:rPr>
                <w:rFonts w:ascii="Segoe UI" w:hAnsi="Segoe UI"/>
                <w:sz w:val="18"/>
              </w:rPr>
              <w:t>Kearney</w:t>
            </w:r>
          </w:p>
        </w:tc>
        <w:tc>
          <w:tcPr>
            <w:tcW w:type="dxa" w:w="3120"/>
          </w:tcPr>
          <w:p>
            <w:pPr>
              <w:jc w:val="right"/>
            </w:pPr>
            <w:r/>
            <w:r>
              <w:rPr>
                <w:rFonts w:ascii="Segoe UI" w:hAnsi="Segoe UI"/>
                <w:sz w:val="18"/>
              </w:rPr>
              <w:t>2</w:t>
            </w:r>
          </w:p>
        </w:tc>
        <w:tc>
          <w:tcPr>
            <w:tcW w:type="dxa" w:w="3120"/>
          </w:tcPr>
          <w:p>
            <w:r/>
            <w:r>
              <w:rPr>
                <w:rFonts w:ascii="Segoe UI" w:hAnsi="Segoe UI"/>
                <w:sz w:val="18"/>
              </w:rPr>
              <w:t>Commercial due diligence</w:t>
            </w:r>
          </w:p>
        </w:tc>
      </w:tr>
      <w:tr>
        <w:tc>
          <w:tcPr>
            <w:tcW w:type="dxa" w:w="3120"/>
          </w:tcPr>
          <w:p>
            <w:r/>
            <w:r>
              <w:rPr>
                <w:rFonts w:ascii="Segoe UI" w:hAnsi="Segoe UI"/>
                <w:sz w:val="18"/>
              </w:rPr>
              <w:t>Bain &amp; Company</w:t>
            </w:r>
          </w:p>
        </w:tc>
        <w:tc>
          <w:tcPr>
            <w:tcW w:type="dxa" w:w="3120"/>
          </w:tcPr>
          <w:p>
            <w:pPr>
              <w:jc w:val="right"/>
            </w:pPr>
            <w:r/>
            <w:r>
              <w:rPr>
                <w:rFonts w:ascii="Segoe UI" w:hAnsi="Segoe UI"/>
                <w:sz w:val="18"/>
              </w:rPr>
              <w:t>1</w:t>
            </w:r>
          </w:p>
        </w:tc>
        <w:tc>
          <w:tcPr>
            <w:tcW w:type="dxa" w:w="3120"/>
          </w:tcPr>
          <w:p>
            <w:r/>
            <w:r>
              <w:rPr>
                <w:rFonts w:ascii="Segoe UI" w:hAnsi="Segoe UI"/>
                <w:sz w:val="18"/>
              </w:rPr>
              <w:t>Commercial due diligence</w:t>
            </w:r>
          </w:p>
        </w:tc>
      </w:tr>
      <w:tr>
        <w:tc>
          <w:tcPr>
            <w:tcW w:type="dxa" w:w="3120"/>
          </w:tcPr>
          <w:p>
            <w:r/>
            <w:r>
              <w:rPr>
                <w:rFonts w:ascii="Segoe UI" w:hAnsi="Segoe UI"/>
                <w:sz w:val="18"/>
              </w:rPr>
              <w:t>Oliver Wyman</w:t>
            </w:r>
          </w:p>
        </w:tc>
        <w:tc>
          <w:tcPr>
            <w:tcW w:type="dxa" w:w="3120"/>
          </w:tcPr>
          <w:p>
            <w:pPr>
              <w:jc w:val="right"/>
            </w:pPr>
            <w:r/>
            <w:r>
              <w:rPr>
                <w:rFonts w:ascii="Segoe UI" w:hAnsi="Segoe UI"/>
                <w:sz w:val="18"/>
              </w:rPr>
              <w:t>1</w:t>
            </w:r>
          </w:p>
        </w:tc>
        <w:tc>
          <w:tcPr>
            <w:tcW w:type="dxa" w:w="3120"/>
          </w:tcPr>
          <w:p>
            <w:r/>
            <w:r>
              <w:rPr>
                <w:rFonts w:ascii="Segoe UI" w:hAnsi="Segoe UI"/>
                <w:sz w:val="18"/>
              </w:rPr>
              <w:t>Commercial due diligence</w:t>
            </w:r>
          </w:p>
        </w:tc>
      </w:tr>
      <w:tr>
        <w:tc>
          <w:tcPr>
            <w:tcW w:type="dxa" w:w="3120"/>
          </w:tcPr>
          <w:p>
            <w:r/>
            <w:r>
              <w:rPr>
                <w:rFonts w:ascii="Segoe UI" w:hAnsi="Segoe UI"/>
                <w:sz w:val="18"/>
              </w:rPr>
              <w:t>Monitor Deloitte</w:t>
            </w:r>
          </w:p>
        </w:tc>
        <w:tc>
          <w:tcPr>
            <w:tcW w:type="dxa" w:w="3120"/>
          </w:tcPr>
          <w:p>
            <w:pPr>
              <w:jc w:val="right"/>
            </w:pPr>
            <w:r/>
            <w:r>
              <w:rPr>
                <w:rFonts w:ascii="Segoe UI" w:hAnsi="Segoe UI"/>
                <w:sz w:val="18"/>
              </w:rPr>
              <w:t>1</w:t>
            </w:r>
          </w:p>
        </w:tc>
        <w:tc>
          <w:tcPr>
            <w:tcW w:type="dxa" w:w="3120"/>
          </w:tcPr>
          <w:p>
            <w:r/>
            <w:r>
              <w:rPr>
                <w:rFonts w:ascii="Segoe UI" w:hAnsi="Segoe UI"/>
                <w:sz w:val="18"/>
              </w:rPr>
              <w:t>Commercial and strategic due diligence</w:t>
            </w:r>
          </w:p>
        </w:tc>
      </w:tr>
      <w:tr>
        <w:tc>
          <w:tcPr>
            <w:tcW w:type="dxa" w:w="3120"/>
          </w:tcPr>
          <w:p>
            <w:r/>
            <w:r>
              <w:rPr>
                <w:rFonts w:ascii="Segoe UI" w:hAnsi="Segoe UI"/>
                <w:sz w:val="18"/>
              </w:rPr>
              <w:t>Roland Berger</w:t>
            </w:r>
          </w:p>
        </w:tc>
        <w:tc>
          <w:tcPr>
            <w:tcW w:type="dxa" w:w="3120"/>
          </w:tcPr>
          <w:p>
            <w:pPr>
              <w:jc w:val="right"/>
            </w:pPr>
            <w:r/>
            <w:r>
              <w:rPr>
                <w:rFonts w:ascii="Segoe UI" w:hAnsi="Segoe UI"/>
                <w:sz w:val="18"/>
              </w:rPr>
              <w:t>1</w:t>
            </w:r>
          </w:p>
        </w:tc>
        <w:tc>
          <w:tcPr>
            <w:tcW w:type="dxa" w:w="3120"/>
          </w:tcPr>
          <w:p>
            <w:r/>
            <w:r>
              <w:rPr>
                <w:rFonts w:ascii="Segoe UI" w:hAnsi="Segoe UI"/>
                <w:sz w:val="18"/>
              </w:rPr>
              <w:t>Commercial adviser</w:t>
            </w:r>
          </w:p>
        </w:tc>
      </w:tr>
      <w:tr>
        <w:tc>
          <w:tcPr>
            <w:tcW w:type="dxa" w:w="3120"/>
          </w:tcPr>
          <w:p>
            <w:r/>
            <w:r>
              <w:rPr>
                <w:rFonts w:ascii="Segoe UI" w:hAnsi="Segoe UI"/>
                <w:sz w:val="18"/>
              </w:rPr>
              <w:t>Strategy&amp;</w:t>
            </w:r>
          </w:p>
        </w:tc>
        <w:tc>
          <w:tcPr>
            <w:tcW w:type="dxa" w:w="3120"/>
          </w:tcPr>
          <w:p>
            <w:pPr>
              <w:jc w:val="right"/>
            </w:pPr>
            <w:r/>
            <w:r>
              <w:rPr>
                <w:rFonts w:ascii="Segoe UI" w:hAnsi="Segoe UI"/>
                <w:sz w:val="18"/>
              </w:rPr>
              <w:t>1</w:t>
            </w:r>
          </w:p>
        </w:tc>
        <w:tc>
          <w:tcPr>
            <w:tcW w:type="dxa" w:w="3120"/>
          </w:tcPr>
          <w:p>
            <w:r/>
            <w:r>
              <w:rPr>
                <w:rFonts w:ascii="Segoe UI" w:hAnsi="Segoe UI"/>
                <w:sz w:val="18"/>
              </w:rPr>
              <w:t>Commercial adviser</w:t>
            </w:r>
          </w:p>
        </w:tc>
      </w:tr>
    </w:tbl>
    <w:p/>
    <w:p>
      <w:r>
        <w:t>Eight strategy brands, thirteen appointments, and with one exception every single one is buy-side diligence before signing.</w:t>
      </w:r>
    </w:p>
    <w:p>
      <w:r>
        <w:t>The Big Four sit in the same window and dominate it by volume: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0D1B2A"/>
          </w:tcPr>
          <w:p>
            <w:r/>
            <w:r>
              <w:rPr>
                <w:rFonts w:ascii="Segoe UI" w:hAnsi="Segoe UI"/>
                <w:b/>
                <w:color w:val="FFFFFF"/>
                <w:sz w:val="17"/>
              </w:rPr>
              <w:t>Firm group</w:t>
            </w:r>
          </w:p>
        </w:tc>
        <w:tc>
          <w:tcPr>
            <w:tcW w:type="dxa" w:w="3120"/>
            <w:shd w:val="clear" w:fill="0D1B2A"/>
          </w:tcPr>
          <w:p>
            <w:r/>
            <w:r>
              <w:rPr>
                <w:rFonts w:ascii="Segoe UI" w:hAnsi="Segoe UI"/>
                <w:b/>
                <w:color w:val="FFFFFF"/>
                <w:sz w:val="17"/>
              </w:rPr>
              <w:t>Appointments</w:t>
            </w:r>
          </w:p>
        </w:tc>
        <w:tc>
          <w:tcPr>
            <w:tcW w:type="dxa" w:w="3120"/>
            <w:shd w:val="clear" w:fill="0D1B2A"/>
          </w:tcPr>
          <w:p>
            <w:r/>
            <w:r>
              <w:rPr>
                <w:rFonts w:ascii="Segoe UI" w:hAnsi="Segoe UI"/>
                <w:b/>
                <w:color w:val="FFFFFF"/>
                <w:sz w:val="17"/>
              </w:rPr>
              <w:t>Dominant role</w:t>
            </w:r>
          </w:p>
        </w:tc>
      </w:tr>
      <w:tr>
        <w:tc>
          <w:tcPr>
            <w:tcW w:type="dxa" w:w="3120"/>
          </w:tcPr>
          <w:p>
            <w:r/>
            <w:r>
              <w:rPr>
                <w:rFonts w:ascii="Segoe UI" w:hAnsi="Segoe UI"/>
                <w:sz w:val="18"/>
              </w:rPr>
              <w:t>Deloitte (incl. Monitor Deloitte, Deloitte Italy)</w:t>
            </w:r>
          </w:p>
        </w:tc>
        <w:tc>
          <w:tcPr>
            <w:tcW w:type="dxa" w:w="3120"/>
          </w:tcPr>
          <w:p>
            <w:pPr>
              <w:jc w:val="right"/>
            </w:pPr>
            <w:r/>
            <w:r>
              <w:rPr>
                <w:rFonts w:ascii="Segoe UI" w:hAnsi="Segoe UI"/>
                <w:sz w:val="18"/>
              </w:rPr>
              <w:t>16</w:t>
            </w:r>
          </w:p>
        </w:tc>
        <w:tc>
          <w:tcPr>
            <w:tcW w:type="dxa" w:w="3120"/>
          </w:tcPr>
          <w:p>
            <w:r/>
            <w:r>
              <w:rPr>
                <w:rFonts w:ascii="Segoe UI" w:hAnsi="Segoe UI"/>
                <w:sz w:val="18"/>
              </w:rPr>
              <w:t>Financial, tax and IT due diligence</w:t>
            </w:r>
          </w:p>
        </w:tc>
      </w:tr>
      <w:tr>
        <w:tc>
          <w:tcPr>
            <w:tcW w:type="dxa" w:w="3120"/>
          </w:tcPr>
          <w:p>
            <w:r/>
            <w:r>
              <w:rPr>
                <w:rFonts w:ascii="Segoe UI" w:hAnsi="Segoe UI"/>
                <w:sz w:val="18"/>
              </w:rPr>
              <w:t>EY (incl. Ernst &amp; Young, EY-Parthenon)</w:t>
            </w:r>
          </w:p>
        </w:tc>
        <w:tc>
          <w:tcPr>
            <w:tcW w:type="dxa" w:w="3120"/>
          </w:tcPr>
          <w:p>
            <w:pPr>
              <w:jc w:val="right"/>
            </w:pPr>
            <w:r/>
            <w:r>
              <w:rPr>
                <w:rFonts w:ascii="Segoe UI" w:hAnsi="Segoe UI"/>
                <w:sz w:val="18"/>
              </w:rPr>
              <w:t>16</w:t>
            </w:r>
          </w:p>
        </w:tc>
        <w:tc>
          <w:tcPr>
            <w:tcW w:type="dxa" w:w="3120"/>
          </w:tcPr>
          <w:p>
            <w:r/>
            <w:r>
              <w:rPr>
                <w:rFonts w:ascii="Segoe UI" w:hAnsi="Segoe UI"/>
                <w:sz w:val="18"/>
              </w:rPr>
              <w:t>Financial and tax due diligence</w:t>
            </w:r>
          </w:p>
        </w:tc>
      </w:tr>
      <w:tr>
        <w:tc>
          <w:tcPr>
            <w:tcW w:type="dxa" w:w="3120"/>
          </w:tcPr>
          <w:p>
            <w:r/>
            <w:r>
              <w:rPr>
                <w:rFonts w:ascii="Segoe UI" w:hAnsi="Segoe UI"/>
                <w:sz w:val="18"/>
              </w:rPr>
              <w:t>PwC (incl. Strategy&amp;, PwC South Africa)</w:t>
            </w:r>
          </w:p>
        </w:tc>
        <w:tc>
          <w:tcPr>
            <w:tcW w:type="dxa" w:w="3120"/>
          </w:tcPr>
          <w:p>
            <w:pPr>
              <w:jc w:val="right"/>
            </w:pPr>
            <w:r/>
            <w:r>
              <w:rPr>
                <w:rFonts w:ascii="Segoe UI" w:hAnsi="Segoe UI"/>
                <w:sz w:val="18"/>
              </w:rPr>
              <w:t>16</w:t>
            </w:r>
          </w:p>
        </w:tc>
        <w:tc>
          <w:tcPr>
            <w:tcW w:type="dxa" w:w="3120"/>
          </w:tcPr>
          <w:p>
            <w:r/>
            <w:r>
              <w:rPr>
                <w:rFonts w:ascii="Segoe UI" w:hAnsi="Segoe UI"/>
                <w:sz w:val="18"/>
              </w:rPr>
              <w:t>Financial due diligence, transaction advisory</w:t>
            </w:r>
          </w:p>
        </w:tc>
      </w:tr>
      <w:tr>
        <w:tc>
          <w:tcPr>
            <w:tcW w:type="dxa" w:w="3120"/>
          </w:tcPr>
          <w:p>
            <w:r/>
            <w:r>
              <w:rPr>
                <w:rFonts w:ascii="Segoe UI" w:hAnsi="Segoe UI"/>
                <w:sz w:val="18"/>
              </w:rPr>
              <w:t>KPMG</w:t>
            </w:r>
          </w:p>
        </w:tc>
        <w:tc>
          <w:tcPr>
            <w:tcW w:type="dxa" w:w="3120"/>
          </w:tcPr>
          <w:p>
            <w:pPr>
              <w:jc w:val="right"/>
            </w:pPr>
            <w:r/>
            <w:r>
              <w:rPr>
                <w:rFonts w:ascii="Segoe UI" w:hAnsi="Segoe UI"/>
                <w:sz w:val="18"/>
              </w:rPr>
              <w:t>11</w:t>
            </w:r>
          </w:p>
        </w:tc>
        <w:tc>
          <w:tcPr>
            <w:tcW w:type="dxa" w:w="3120"/>
          </w:tcPr>
          <w:p>
            <w:r/>
            <w:r>
              <w:rPr>
                <w:rFonts w:ascii="Segoe UI" w:hAnsi="Segoe UI"/>
                <w:sz w:val="18"/>
              </w:rPr>
              <w:t>Financial, legal and tax due diligence, reporting accountant</w:t>
            </w:r>
          </w:p>
        </w:tc>
      </w:tr>
      <w:tr>
        <w:tc>
          <w:tcPr>
            <w:tcW w:type="dxa" w:w="3120"/>
          </w:tcPr>
          <w:p>
            <w:r/>
            <w:r>
              <w:rPr>
                <w:rFonts w:ascii="Segoe UI" w:hAnsi="Segoe UI"/>
                <w:sz w:val="18"/>
              </w:rPr>
              <w:t>Alvarez &amp; Marsal</w:t>
            </w:r>
          </w:p>
        </w:tc>
        <w:tc>
          <w:tcPr>
            <w:tcW w:type="dxa" w:w="3120"/>
          </w:tcPr>
          <w:p>
            <w:pPr>
              <w:jc w:val="right"/>
            </w:pPr>
            <w:r/>
            <w:r>
              <w:rPr>
                <w:rFonts w:ascii="Segoe UI" w:hAnsi="Segoe UI"/>
                <w:sz w:val="18"/>
              </w:rPr>
              <w:t>4</w:t>
            </w:r>
          </w:p>
        </w:tc>
        <w:tc>
          <w:tcPr>
            <w:tcW w:type="dxa" w:w="3120"/>
          </w:tcPr>
          <w:p>
            <w:r/>
            <w:r>
              <w:rPr>
                <w:rFonts w:ascii="Segoe UI" w:hAnsi="Segoe UI"/>
                <w:sz w:val="18"/>
              </w:rPr>
              <w:t>Finance and tax, specialist adviser</w:t>
            </w:r>
          </w:p>
        </w:tc>
      </w:tr>
      <w:tr>
        <w:tc>
          <w:tcPr>
            <w:tcW w:type="dxa" w:w="3120"/>
          </w:tcPr>
          <w:p>
            <w:r/>
            <w:r>
              <w:rPr>
                <w:rFonts w:ascii="Segoe UI" w:hAnsi="Segoe UI"/>
                <w:sz w:val="18"/>
              </w:rPr>
              <w:t>Interpath</w:t>
            </w:r>
          </w:p>
        </w:tc>
        <w:tc>
          <w:tcPr>
            <w:tcW w:type="dxa" w:w="3120"/>
          </w:tcPr>
          <w:p>
            <w:pPr>
              <w:jc w:val="right"/>
            </w:pPr>
            <w:r/>
            <w:r>
              <w:rPr>
                <w:rFonts w:ascii="Segoe UI" w:hAnsi="Segoe UI"/>
                <w:sz w:val="18"/>
              </w:rPr>
              <w:t>3</w:t>
            </w:r>
          </w:p>
        </w:tc>
        <w:tc>
          <w:tcPr>
            <w:tcW w:type="dxa" w:w="3120"/>
          </w:tcPr>
          <w:p>
            <w:r/>
            <w:r>
              <w:rPr>
                <w:rFonts w:ascii="Segoe UI" w:hAnsi="Segoe UI"/>
                <w:sz w:val="18"/>
              </w:rPr>
              <w:t>Financial adviser, financial due diligence</w:t>
            </w:r>
          </w:p>
        </w:tc>
      </w:tr>
      <w:tr>
        <w:tc>
          <w:tcPr>
            <w:tcW w:type="dxa" w:w="3120"/>
          </w:tcPr>
          <w:p>
            <w:r/>
            <w:r>
              <w:rPr>
                <w:rFonts w:ascii="Segoe UI" w:hAnsi="Segoe UI"/>
                <w:sz w:val="18"/>
              </w:rPr>
              <w:t>Kroll</w:t>
            </w:r>
          </w:p>
        </w:tc>
        <w:tc>
          <w:tcPr>
            <w:tcW w:type="dxa" w:w="3120"/>
          </w:tcPr>
          <w:p>
            <w:pPr>
              <w:jc w:val="right"/>
            </w:pPr>
            <w:r/>
            <w:r>
              <w:rPr>
                <w:rFonts w:ascii="Segoe UI" w:hAnsi="Segoe UI"/>
                <w:sz w:val="18"/>
              </w:rPr>
              <w:t>3</w:t>
            </w:r>
          </w:p>
        </w:tc>
        <w:tc>
          <w:tcPr>
            <w:tcW w:type="dxa" w:w="3120"/>
          </w:tcPr>
          <w:p>
            <w:r/>
            <w:r>
              <w:rPr>
                <w:rFonts w:ascii="Segoe UI" w:hAnsi="Segoe UI"/>
                <w:sz w:val="18"/>
              </w:rPr>
              <w:t>Advisory, exclusive financial adviser</w:t>
            </w:r>
          </w:p>
        </w:tc>
      </w:tr>
    </w:tbl>
    <w:p/>
    <w:p>
      <w:r>
        <w:rPr>
          <w:b/>
        </w:rPr>
        <w:t>Two observations worth acting on.</w:t>
      </w:r>
    </w:p>
    <w:p>
      <w:r>
        <w:t>First, the diligence window is crowded and it is where every consulting brand competes for the same visible mandate. Forty-three named diligence appointments against fifteen commercial or strategy ones, in a market that also ran seventy-nine carve-outs.</w:t>
      </w:r>
    </w:p>
    <w:p>
      <w:r>
        <w:t xml:space="preserve">Second, restructuring and turnaround specialists barely register. We recorded </w:t>
      </w:r>
      <w:r>
        <w:rPr>
          <w:b/>
        </w:rPr>
        <w:t>no appointments at all for AlixPartners</w:t>
      </w:r>
      <w:r>
        <w:t xml:space="preserve"> across the quarter. That is a statement about the disclosure record rather than about the firm: this kind of work is engaged privately, often under distress, and is precisely the category least likely to carry a public tombstone.</w:t>
      </w:r>
    </w:p>
    <w:p>
      <w:r>
        <w:t>Carve-outs make the disclosure problem concrete. Of 82 carve-outs, only 31 named any adviser at all. For 51 separations, the public record contains no adviser of any discipline.</w:t>
      </w:r>
    </w:p>
    <w:p>
      <w:pPr>
        <w:pBdr>
          <w:bottom w:val="single" w:sz="6" w:color="C9A84C"/>
        </w:pBdr>
      </w:pPr>
    </w:p>
    <w:p>
      <w:pPr>
        <w:spacing w:before="400" w:after="160"/>
      </w:pPr>
      <w:r>
        <w:rPr>
          <w:rFonts w:ascii="Georgia" w:hAnsi="Georgia"/>
          <w:b/>
          <w:color w:val="0D1B2A"/>
          <w:sz w:val="30"/>
        </w:rPr>
        <w:t>Finding 3 · The market is a barbell, and the middle is thinner than it looks</w:t>
      </w:r>
    </w:p>
    <w:p>
      <w:r>
        <w:t>Across the 240 transactions with a disclosed value: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0D1B2A"/>
          </w:tcPr>
          <w:p>
            <w:r/>
            <w:r>
              <w:rPr>
                <w:rFonts w:ascii="Segoe UI" w:hAnsi="Segoe UI"/>
                <w:b/>
                <w:color w:val="FFFFFF"/>
                <w:sz w:val="17"/>
              </w:rPr>
              <w:t>Value band</w:t>
            </w:r>
          </w:p>
        </w:tc>
        <w:tc>
          <w:tcPr>
            <w:tcW w:type="dxa" w:w="3120"/>
            <w:shd w:val="clear" w:fill="0D1B2A"/>
          </w:tcPr>
          <w:p>
            <w:r/>
            <w:r>
              <w:rPr>
                <w:rFonts w:ascii="Segoe UI" w:hAnsi="Segoe UI"/>
                <w:b/>
                <w:color w:val="FFFFFF"/>
                <w:sz w:val="17"/>
              </w:rPr>
              <w:t>Deals</w:t>
            </w:r>
          </w:p>
        </w:tc>
        <w:tc>
          <w:tcPr>
            <w:tcW w:type="dxa" w:w="3120"/>
            <w:shd w:val="clear" w:fill="0D1B2A"/>
          </w:tcPr>
          <w:p>
            <w:r/>
            <w:r>
              <w:rPr>
                <w:rFonts w:ascii="Segoe UI" w:hAnsi="Segoe UI"/>
                <w:b/>
                <w:color w:val="FFFFFF"/>
                <w:sz w:val="17"/>
              </w:rPr>
              <w:t>Share</w:t>
            </w:r>
          </w:p>
        </w:tc>
      </w:tr>
      <w:tr>
        <w:tc>
          <w:tcPr>
            <w:tcW w:type="dxa" w:w="3120"/>
          </w:tcPr>
          <w:p>
            <w:r/>
            <w:r>
              <w:rPr>
                <w:rFonts w:ascii="Segoe UI" w:hAnsi="Segoe UI"/>
                <w:sz w:val="18"/>
              </w:rPr>
              <w:t>Under $10m</w:t>
            </w:r>
          </w:p>
        </w:tc>
        <w:tc>
          <w:tcPr>
            <w:tcW w:type="dxa" w:w="3120"/>
          </w:tcPr>
          <w:p>
            <w:pPr>
              <w:jc w:val="right"/>
            </w:pPr>
            <w:r/>
            <w:r>
              <w:rPr>
                <w:rFonts w:ascii="Segoe UI" w:hAnsi="Segoe UI"/>
                <w:sz w:val="18"/>
              </w:rPr>
              <w:t>33</w:t>
            </w:r>
          </w:p>
        </w:tc>
        <w:tc>
          <w:tcPr>
            <w:tcW w:type="dxa" w:w="3120"/>
          </w:tcPr>
          <w:p>
            <w:pPr>
              <w:jc w:val="right"/>
            </w:pPr>
            <w:r/>
            <w:r>
              <w:rPr>
                <w:rFonts w:ascii="Segoe UI" w:hAnsi="Segoe UI"/>
                <w:sz w:val="18"/>
              </w:rPr>
              <w:t>13.8%</w:t>
            </w:r>
          </w:p>
        </w:tc>
      </w:tr>
      <w:tr>
        <w:tc>
          <w:tcPr>
            <w:tcW w:type="dxa" w:w="3120"/>
          </w:tcPr>
          <w:p>
            <w:r/>
            <w:r>
              <w:rPr>
                <w:rFonts w:ascii="Segoe UI" w:hAnsi="Segoe UI"/>
                <w:sz w:val="18"/>
              </w:rPr>
              <w:t>$10m to $50m</w:t>
            </w:r>
          </w:p>
        </w:tc>
        <w:tc>
          <w:tcPr>
            <w:tcW w:type="dxa" w:w="3120"/>
          </w:tcPr>
          <w:p>
            <w:pPr>
              <w:jc w:val="right"/>
            </w:pPr>
            <w:r/>
            <w:r>
              <w:rPr>
                <w:rFonts w:ascii="Segoe UI" w:hAnsi="Segoe UI"/>
                <w:sz w:val="18"/>
              </w:rPr>
              <w:t>35</w:t>
            </w:r>
          </w:p>
        </w:tc>
        <w:tc>
          <w:tcPr>
            <w:tcW w:type="dxa" w:w="3120"/>
          </w:tcPr>
          <w:p>
            <w:pPr>
              <w:jc w:val="right"/>
            </w:pPr>
            <w:r/>
            <w:r>
              <w:rPr>
                <w:rFonts w:ascii="Segoe UI" w:hAnsi="Segoe UI"/>
                <w:sz w:val="18"/>
              </w:rPr>
              <w:t>14.6%</w:t>
            </w:r>
          </w:p>
        </w:tc>
      </w:tr>
      <w:tr>
        <w:tc>
          <w:tcPr>
            <w:tcW w:type="dxa" w:w="3120"/>
          </w:tcPr>
          <w:p>
            <w:r/>
            <w:r>
              <w:rPr>
                <w:rFonts w:ascii="Segoe UI" w:hAnsi="Segoe UI"/>
                <w:sz w:val="18"/>
              </w:rPr>
              <w:t>$50m to $100m</w:t>
            </w:r>
          </w:p>
        </w:tc>
        <w:tc>
          <w:tcPr>
            <w:tcW w:type="dxa" w:w="3120"/>
          </w:tcPr>
          <w:p>
            <w:pPr>
              <w:jc w:val="right"/>
            </w:pPr>
            <w:r/>
            <w:r>
              <w:rPr>
                <w:rFonts w:ascii="Segoe UI" w:hAnsi="Segoe UI"/>
                <w:sz w:val="18"/>
              </w:rPr>
              <w:t>21</w:t>
            </w:r>
          </w:p>
        </w:tc>
        <w:tc>
          <w:tcPr>
            <w:tcW w:type="dxa" w:w="3120"/>
          </w:tcPr>
          <w:p>
            <w:pPr>
              <w:jc w:val="right"/>
            </w:pPr>
            <w:r/>
            <w:r>
              <w:rPr>
                <w:rFonts w:ascii="Segoe UI" w:hAnsi="Segoe UI"/>
                <w:sz w:val="18"/>
              </w:rPr>
              <w:t>8.8%</w:t>
            </w:r>
          </w:p>
        </w:tc>
      </w:tr>
      <w:tr>
        <w:tc>
          <w:tcPr>
            <w:tcW w:type="dxa" w:w="3120"/>
          </w:tcPr>
          <w:p>
            <w:r/>
            <w:r>
              <w:rPr>
                <w:rFonts w:ascii="Segoe UI" w:hAnsi="Segoe UI"/>
                <w:sz w:val="18"/>
              </w:rPr>
              <w:t>$100m to $500m</w:t>
            </w:r>
          </w:p>
        </w:tc>
        <w:tc>
          <w:tcPr>
            <w:tcW w:type="dxa" w:w="3120"/>
          </w:tcPr>
          <w:p>
            <w:pPr>
              <w:jc w:val="right"/>
            </w:pPr>
            <w:r/>
            <w:r>
              <w:rPr>
                <w:rFonts w:ascii="Segoe UI" w:hAnsi="Segoe UI"/>
                <w:sz w:val="18"/>
              </w:rPr>
              <w:t>66</w:t>
            </w:r>
          </w:p>
        </w:tc>
        <w:tc>
          <w:tcPr>
            <w:tcW w:type="dxa" w:w="3120"/>
          </w:tcPr>
          <w:p>
            <w:pPr>
              <w:jc w:val="right"/>
            </w:pPr>
            <w:r/>
            <w:r>
              <w:rPr>
                <w:rFonts w:ascii="Segoe UI" w:hAnsi="Segoe UI"/>
                <w:sz w:val="18"/>
              </w:rPr>
              <w:t>27.6%</w:t>
            </w:r>
          </w:p>
        </w:tc>
      </w:tr>
      <w:tr>
        <w:tc>
          <w:tcPr>
            <w:tcW w:type="dxa" w:w="3120"/>
          </w:tcPr>
          <w:p>
            <w:r/>
            <w:r>
              <w:rPr>
                <w:rFonts w:ascii="Segoe UI" w:hAnsi="Segoe UI"/>
                <w:sz w:val="18"/>
              </w:rPr>
              <w:t>$500m to $1bn</w:t>
            </w:r>
          </w:p>
        </w:tc>
        <w:tc>
          <w:tcPr>
            <w:tcW w:type="dxa" w:w="3120"/>
          </w:tcPr>
          <w:p>
            <w:pPr>
              <w:jc w:val="right"/>
            </w:pPr>
            <w:r/>
            <w:r>
              <w:rPr>
                <w:rFonts w:ascii="Segoe UI" w:hAnsi="Segoe UI"/>
                <w:sz w:val="18"/>
              </w:rPr>
              <w:t>26</w:t>
            </w:r>
          </w:p>
        </w:tc>
        <w:tc>
          <w:tcPr>
            <w:tcW w:type="dxa" w:w="3120"/>
          </w:tcPr>
          <w:p>
            <w:pPr>
              <w:jc w:val="right"/>
            </w:pPr>
            <w:r/>
            <w:r>
              <w:rPr>
                <w:rFonts w:ascii="Segoe UI" w:hAnsi="Segoe UI"/>
                <w:sz w:val="18"/>
              </w:rPr>
              <w:t>10.9%</w:t>
            </w:r>
          </w:p>
        </w:tc>
      </w:tr>
      <w:tr>
        <w:tc>
          <w:tcPr>
            <w:tcW w:type="dxa" w:w="3120"/>
          </w:tcPr>
          <w:p>
            <w:r/>
            <w:r>
              <w:rPr>
                <w:rFonts w:ascii="Segoe UI" w:hAnsi="Segoe UI"/>
                <w:sz w:val="18"/>
              </w:rPr>
              <w:t>$1bn to $10bn</w:t>
            </w:r>
          </w:p>
        </w:tc>
        <w:tc>
          <w:tcPr>
            <w:tcW w:type="dxa" w:w="3120"/>
          </w:tcPr>
          <w:p>
            <w:pPr>
              <w:jc w:val="right"/>
            </w:pPr>
            <w:r/>
            <w:r>
              <w:rPr>
                <w:rFonts w:ascii="Segoe UI" w:hAnsi="Segoe UI"/>
                <w:sz w:val="18"/>
              </w:rPr>
              <w:t>55</w:t>
            </w:r>
          </w:p>
        </w:tc>
        <w:tc>
          <w:tcPr>
            <w:tcW w:type="dxa" w:w="3120"/>
          </w:tcPr>
          <w:p>
            <w:pPr>
              <w:jc w:val="right"/>
            </w:pPr>
            <w:r/>
            <w:r>
              <w:rPr>
                <w:rFonts w:ascii="Segoe UI" w:hAnsi="Segoe UI"/>
                <w:sz w:val="18"/>
              </w:rPr>
              <w:t>23.0%</w:t>
            </w:r>
          </w:p>
        </w:tc>
      </w:tr>
      <w:tr>
        <w:tc>
          <w:tcPr>
            <w:tcW w:type="dxa" w:w="3120"/>
          </w:tcPr>
          <w:p>
            <w:r/>
            <w:r>
              <w:rPr>
                <w:rFonts w:ascii="Segoe UI" w:hAnsi="Segoe UI"/>
                <w:sz w:val="18"/>
              </w:rPr>
              <w:t>$10bn and above</w:t>
            </w:r>
          </w:p>
        </w:tc>
        <w:tc>
          <w:tcPr>
            <w:tcW w:type="dxa" w:w="3120"/>
          </w:tcPr>
          <w:p>
            <w:pPr>
              <w:jc w:val="right"/>
            </w:pPr>
            <w:r/>
            <w:r>
              <w:rPr>
                <w:rFonts w:ascii="Segoe UI" w:hAnsi="Segoe UI"/>
                <w:sz w:val="18"/>
              </w:rPr>
              <w:t>3</w:t>
            </w:r>
          </w:p>
        </w:tc>
        <w:tc>
          <w:tcPr>
            <w:tcW w:type="dxa" w:w="3120"/>
          </w:tcPr>
          <w:p>
            <w:pPr>
              <w:jc w:val="right"/>
            </w:pPr>
            <w:r/>
            <w:r>
              <w:rPr>
                <w:rFonts w:ascii="Segoe UI" w:hAnsi="Segoe UI"/>
                <w:sz w:val="18"/>
              </w:rPr>
              <w:t>1.3%</w:t>
            </w:r>
          </w:p>
        </w:tc>
      </w:tr>
    </w:tbl>
    <w:p/>
    <w:p>
      <w:r>
        <w:t>Thirty-seven percent of disclosed transactions were under $100m. Twenty-four percent were above $1bn. The $500m to $1bn band, the traditional heartland of mid-market sponsor activity, held just 10.9%.</w:t>
      </w:r>
    </w:p>
    <w:p>
      <w:r>
        <w:t>Two different markets are operating here and they need different coverage models. The sub $100m band is high-frequency, low-disclosure, and dominated by serial acquirers doing programmatic bolt-ons. The billion-plus band is low-frequency and heavily intermediated. A single origination approach applied to both will be wrong for one of them.</w:t>
      </w:r>
    </w:p>
    <w:p>
      <w:pPr>
        <w:pBdr>
          <w:bottom w:val="single" w:sz="6" w:color="C9A84C"/>
        </w:pBdr>
      </w:pPr>
    </w:p>
    <w:p>
      <w:pPr>
        <w:spacing w:before="400" w:after="160"/>
      </w:pPr>
      <w:r>
        <w:rPr>
          <w:rFonts w:ascii="Georgia" w:hAnsi="Georgia"/>
          <w:b/>
          <w:color w:val="0D1B2A"/>
          <w:sz w:val="30"/>
        </w:rPr>
        <w:t>Finding 4 · Volume and value point at different sectors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0D1B2A"/>
          </w:tcPr>
          <w:p>
            <w:r/>
            <w:r>
              <w:rPr>
                <w:rFonts w:ascii="Segoe UI" w:hAnsi="Segoe UI"/>
                <w:b/>
                <w:color w:val="FFFFFF"/>
                <w:sz w:val="17"/>
              </w:rPr>
              <w:t>Sector</w:t>
            </w:r>
          </w:p>
        </w:tc>
        <w:tc>
          <w:tcPr>
            <w:tcW w:type="dxa" w:w="1872"/>
            <w:shd w:val="clear" w:fill="0D1B2A"/>
          </w:tcPr>
          <w:p>
            <w:r/>
            <w:r>
              <w:rPr>
                <w:rFonts w:ascii="Segoe UI" w:hAnsi="Segoe UI"/>
                <w:b/>
                <w:color w:val="FFFFFF"/>
                <w:sz w:val="17"/>
              </w:rPr>
              <w:t>Deals</w:t>
            </w:r>
          </w:p>
        </w:tc>
        <w:tc>
          <w:tcPr>
            <w:tcW w:type="dxa" w:w="1872"/>
            <w:shd w:val="clear" w:fill="0D1B2A"/>
          </w:tcPr>
          <w:p>
            <w:r/>
            <w:r>
              <w:rPr>
                <w:rFonts w:ascii="Segoe UI" w:hAnsi="Segoe UI"/>
                <w:b/>
                <w:color w:val="FFFFFF"/>
                <w:sz w:val="17"/>
              </w:rPr>
              <w:t>Share</w:t>
            </w:r>
          </w:p>
        </w:tc>
        <w:tc>
          <w:tcPr>
            <w:tcW w:type="dxa" w:w="1872"/>
            <w:shd w:val="clear" w:fill="0D1B2A"/>
          </w:tcPr>
          <w:p>
            <w:r/>
            <w:r>
              <w:rPr>
                <w:rFonts w:ascii="Segoe UI" w:hAnsi="Segoe UI"/>
                <w:b/>
                <w:color w:val="FFFFFF"/>
                <w:sz w:val="17"/>
              </w:rPr>
              <w:t>Disclosed value</w:t>
            </w:r>
          </w:p>
        </w:tc>
        <w:tc>
          <w:tcPr>
            <w:tcW w:type="dxa" w:w="1872"/>
            <w:shd w:val="clear" w:fill="0D1B2A"/>
          </w:tcPr>
          <w:p>
            <w:r/>
            <w:r>
              <w:rPr>
                <w:rFonts w:ascii="Segoe UI" w:hAnsi="Segoe UI"/>
                <w:b/>
                <w:color w:val="FFFFFF"/>
                <w:sz w:val="17"/>
              </w:rPr>
              <w:t>Median deal</w:t>
            </w:r>
          </w:p>
        </w:tc>
      </w:tr>
      <w:tr>
        <w:tc>
          <w:tcPr>
            <w:tcW w:type="dxa" w:w="1872"/>
          </w:tcPr>
          <w:p>
            <w:r/>
            <w:r>
              <w:rPr>
                <w:rFonts w:ascii="Segoe UI" w:hAnsi="Segoe UI"/>
                <w:sz w:val="18"/>
              </w:rPr>
              <w:t>TMT</w:t>
            </w:r>
          </w:p>
        </w:tc>
        <w:tc>
          <w:tcPr>
            <w:tcW w:type="dxa" w:w="1872"/>
          </w:tcPr>
          <w:p>
            <w:pPr>
              <w:jc w:val="right"/>
            </w:pPr>
            <w:r/>
            <w:r>
              <w:rPr>
                <w:rFonts w:ascii="Segoe UI" w:hAnsi="Segoe UI"/>
                <w:sz w:val="18"/>
              </w:rPr>
              <w:t>146</w:t>
            </w:r>
          </w:p>
        </w:tc>
        <w:tc>
          <w:tcPr>
            <w:tcW w:type="dxa" w:w="1872"/>
          </w:tcPr>
          <w:p>
            <w:pPr>
              <w:jc w:val="right"/>
            </w:pPr>
            <w:r/>
            <w:r>
              <w:rPr>
                <w:rFonts w:ascii="Segoe UI" w:hAnsi="Segoe UI"/>
                <w:sz w:val="18"/>
              </w:rPr>
              <w:t>19.8%</w:t>
            </w:r>
          </w:p>
        </w:tc>
        <w:tc>
          <w:tcPr>
            <w:tcW w:type="dxa" w:w="1872"/>
          </w:tcPr>
          <w:p>
            <w:pPr>
              <w:jc w:val="right"/>
            </w:pPr>
            <w:r/>
            <w:r>
              <w:rPr>
                <w:rFonts w:ascii="Segoe UI" w:hAnsi="Segoe UI"/>
                <w:sz w:val="18"/>
              </w:rPr>
              <w:t>$48.3bn</w:t>
            </w:r>
          </w:p>
        </w:tc>
        <w:tc>
          <w:tcPr>
            <w:tcW w:type="dxa" w:w="1872"/>
          </w:tcPr>
          <w:p>
            <w:pPr>
              <w:jc w:val="right"/>
            </w:pPr>
            <w:r/>
            <w:r>
              <w:rPr>
                <w:rFonts w:ascii="Segoe UI" w:hAnsi="Segoe UI"/>
                <w:sz w:val="18"/>
              </w:rPr>
              <w:t>$122m</w:t>
            </w:r>
          </w:p>
        </w:tc>
      </w:tr>
      <w:tr>
        <w:tc>
          <w:tcPr>
            <w:tcW w:type="dxa" w:w="1872"/>
          </w:tcPr>
          <w:p>
            <w:r/>
            <w:r>
              <w:rPr>
                <w:rFonts w:ascii="Segoe UI" w:hAnsi="Segoe UI"/>
                <w:sz w:val="18"/>
              </w:rPr>
              <w:t>Consumer &amp; Retail</w:t>
            </w:r>
          </w:p>
        </w:tc>
        <w:tc>
          <w:tcPr>
            <w:tcW w:type="dxa" w:w="1872"/>
          </w:tcPr>
          <w:p>
            <w:pPr>
              <w:jc w:val="right"/>
            </w:pPr>
            <w:r/>
            <w:r>
              <w:rPr>
                <w:rFonts w:ascii="Segoe UI" w:hAnsi="Segoe UI"/>
                <w:sz w:val="18"/>
              </w:rPr>
              <w:t>108</w:t>
            </w:r>
          </w:p>
        </w:tc>
        <w:tc>
          <w:tcPr>
            <w:tcW w:type="dxa" w:w="1872"/>
          </w:tcPr>
          <w:p>
            <w:pPr>
              <w:jc w:val="right"/>
            </w:pPr>
            <w:r/>
            <w:r>
              <w:rPr>
                <w:rFonts w:ascii="Segoe UI" w:hAnsi="Segoe UI"/>
                <w:sz w:val="18"/>
              </w:rPr>
              <w:t>14.6%</w:t>
            </w:r>
          </w:p>
        </w:tc>
        <w:tc>
          <w:tcPr>
            <w:tcW w:type="dxa" w:w="1872"/>
          </w:tcPr>
          <w:p>
            <w:pPr>
              <w:jc w:val="right"/>
            </w:pPr>
            <w:r/>
            <w:r>
              <w:rPr>
                <w:rFonts w:ascii="Segoe UI" w:hAnsi="Segoe UI"/>
                <w:sz w:val="18"/>
              </w:rPr>
              <w:t>$23.9bn</w:t>
            </w:r>
          </w:p>
        </w:tc>
        <w:tc>
          <w:tcPr>
            <w:tcW w:type="dxa" w:w="1872"/>
          </w:tcPr>
          <w:p>
            <w:pPr>
              <w:jc w:val="right"/>
            </w:pPr>
            <w:r/>
            <w:r>
              <w:rPr>
                <w:rFonts w:ascii="Segoe UI" w:hAnsi="Segoe UI"/>
                <w:sz w:val="18"/>
              </w:rPr>
              <w:t>$190m</w:t>
            </w:r>
          </w:p>
        </w:tc>
      </w:tr>
      <w:tr>
        <w:tc>
          <w:tcPr>
            <w:tcW w:type="dxa" w:w="1872"/>
          </w:tcPr>
          <w:p>
            <w:r/>
            <w:r>
              <w:rPr>
                <w:rFonts w:ascii="Segoe UI" w:hAnsi="Segoe UI"/>
                <w:sz w:val="18"/>
              </w:rPr>
              <w:t>Industrials</w:t>
            </w:r>
          </w:p>
        </w:tc>
        <w:tc>
          <w:tcPr>
            <w:tcW w:type="dxa" w:w="1872"/>
          </w:tcPr>
          <w:p>
            <w:pPr>
              <w:jc w:val="right"/>
            </w:pPr>
            <w:r/>
            <w:r>
              <w:rPr>
                <w:rFonts w:ascii="Segoe UI" w:hAnsi="Segoe UI"/>
                <w:sz w:val="18"/>
              </w:rPr>
              <w:t>106</w:t>
            </w:r>
          </w:p>
        </w:tc>
        <w:tc>
          <w:tcPr>
            <w:tcW w:type="dxa" w:w="1872"/>
          </w:tcPr>
          <w:p>
            <w:pPr>
              <w:jc w:val="right"/>
            </w:pPr>
            <w:r/>
            <w:r>
              <w:rPr>
                <w:rFonts w:ascii="Segoe UI" w:hAnsi="Segoe UI"/>
                <w:sz w:val="18"/>
              </w:rPr>
              <w:t>14.3%</w:t>
            </w:r>
          </w:p>
        </w:tc>
        <w:tc>
          <w:tcPr>
            <w:tcW w:type="dxa" w:w="1872"/>
          </w:tcPr>
          <w:p>
            <w:pPr>
              <w:jc w:val="right"/>
            </w:pPr>
            <w:r/>
            <w:r>
              <w:rPr>
                <w:rFonts w:ascii="Segoe UI" w:hAnsi="Segoe UI"/>
                <w:sz w:val="18"/>
              </w:rPr>
              <w:t>$53.0bn</w:t>
            </w:r>
          </w:p>
        </w:tc>
        <w:tc>
          <w:tcPr>
            <w:tcW w:type="dxa" w:w="1872"/>
          </w:tcPr>
          <w:p>
            <w:pPr>
              <w:jc w:val="right"/>
            </w:pPr>
            <w:r/>
            <w:r>
              <w:rPr>
                <w:rFonts w:ascii="Segoe UI" w:hAnsi="Segoe UI"/>
                <w:b/>
                <w:color w:val="9A7B10"/>
                <w:sz w:val="18"/>
              </w:rPr>
              <w:t>$677m</w:t>
            </w:r>
          </w:p>
        </w:tc>
      </w:tr>
      <w:tr>
        <w:tc>
          <w:tcPr>
            <w:tcW w:type="dxa" w:w="1872"/>
          </w:tcPr>
          <w:p>
            <w:r/>
            <w:r>
              <w:rPr>
                <w:rFonts w:ascii="Segoe UI" w:hAnsi="Segoe UI"/>
                <w:sz w:val="18"/>
              </w:rPr>
              <w:t>Energy &amp; Infrastructure</w:t>
            </w:r>
          </w:p>
        </w:tc>
        <w:tc>
          <w:tcPr>
            <w:tcW w:type="dxa" w:w="1872"/>
          </w:tcPr>
          <w:p>
            <w:pPr>
              <w:jc w:val="right"/>
            </w:pPr>
            <w:r/>
            <w:r>
              <w:rPr>
                <w:rFonts w:ascii="Segoe UI" w:hAnsi="Segoe UI"/>
                <w:sz w:val="18"/>
              </w:rPr>
              <w:t>85</w:t>
            </w:r>
          </w:p>
        </w:tc>
        <w:tc>
          <w:tcPr>
            <w:tcW w:type="dxa" w:w="1872"/>
          </w:tcPr>
          <w:p>
            <w:pPr>
              <w:jc w:val="right"/>
            </w:pPr>
            <w:r/>
            <w:r>
              <w:rPr>
                <w:rFonts w:ascii="Segoe UI" w:hAnsi="Segoe UI"/>
                <w:sz w:val="18"/>
              </w:rPr>
              <w:t>11.5%</w:t>
            </w:r>
          </w:p>
        </w:tc>
        <w:tc>
          <w:tcPr>
            <w:tcW w:type="dxa" w:w="1872"/>
          </w:tcPr>
          <w:p>
            <w:pPr>
              <w:jc w:val="right"/>
            </w:pPr>
            <w:r/>
            <w:r>
              <w:rPr>
                <w:rFonts w:ascii="Segoe UI" w:hAnsi="Segoe UI"/>
                <w:sz w:val="18"/>
              </w:rPr>
              <w:t>$31.4bn</w:t>
            </w:r>
          </w:p>
        </w:tc>
        <w:tc>
          <w:tcPr>
            <w:tcW w:type="dxa" w:w="1872"/>
          </w:tcPr>
          <w:p>
            <w:pPr>
              <w:jc w:val="right"/>
            </w:pPr>
            <w:r/>
            <w:r>
              <w:rPr>
                <w:rFonts w:ascii="Segoe UI" w:hAnsi="Segoe UI"/>
                <w:sz w:val="18"/>
              </w:rPr>
              <w:t>$371m</w:t>
            </w:r>
          </w:p>
        </w:tc>
      </w:tr>
      <w:tr>
        <w:tc>
          <w:tcPr>
            <w:tcW w:type="dxa" w:w="1872"/>
          </w:tcPr>
          <w:p>
            <w:r/>
            <w:r>
              <w:rPr>
                <w:rFonts w:ascii="Segoe UI" w:hAnsi="Segoe UI"/>
                <w:sz w:val="18"/>
              </w:rPr>
              <w:t>Healthcare</w:t>
            </w:r>
          </w:p>
        </w:tc>
        <w:tc>
          <w:tcPr>
            <w:tcW w:type="dxa" w:w="1872"/>
          </w:tcPr>
          <w:p>
            <w:pPr>
              <w:jc w:val="right"/>
            </w:pPr>
            <w:r/>
            <w:r>
              <w:rPr>
                <w:rFonts w:ascii="Segoe UI" w:hAnsi="Segoe UI"/>
                <w:sz w:val="18"/>
              </w:rPr>
              <w:t>70</w:t>
            </w:r>
          </w:p>
        </w:tc>
        <w:tc>
          <w:tcPr>
            <w:tcW w:type="dxa" w:w="1872"/>
          </w:tcPr>
          <w:p>
            <w:pPr>
              <w:jc w:val="right"/>
            </w:pPr>
            <w:r/>
            <w:r>
              <w:rPr>
                <w:rFonts w:ascii="Segoe UI" w:hAnsi="Segoe UI"/>
                <w:sz w:val="18"/>
              </w:rPr>
              <w:t>9.5%</w:t>
            </w:r>
          </w:p>
        </w:tc>
        <w:tc>
          <w:tcPr>
            <w:tcW w:type="dxa" w:w="1872"/>
          </w:tcPr>
          <w:p>
            <w:pPr>
              <w:jc w:val="right"/>
            </w:pPr>
            <w:r/>
            <w:r>
              <w:rPr>
                <w:rFonts w:ascii="Segoe UI" w:hAnsi="Segoe UI"/>
                <w:sz w:val="18"/>
              </w:rPr>
              <w:t>$13.9bn</w:t>
            </w:r>
          </w:p>
        </w:tc>
        <w:tc>
          <w:tcPr>
            <w:tcW w:type="dxa" w:w="1872"/>
          </w:tcPr>
          <w:p>
            <w:pPr>
              <w:jc w:val="right"/>
            </w:pPr>
            <w:r/>
            <w:r>
              <w:rPr>
                <w:rFonts w:ascii="Segoe UI" w:hAnsi="Segoe UI"/>
                <w:sz w:val="18"/>
              </w:rPr>
              <w:t>$275m</w:t>
            </w:r>
          </w:p>
        </w:tc>
      </w:tr>
      <w:tr>
        <w:tc>
          <w:tcPr>
            <w:tcW w:type="dxa" w:w="1872"/>
          </w:tcPr>
          <w:p>
            <w:r/>
            <w:r>
              <w:rPr>
                <w:rFonts w:ascii="Segoe UI" w:hAnsi="Segoe UI"/>
                <w:sz w:val="18"/>
              </w:rPr>
              <w:t>Business Services</w:t>
            </w:r>
          </w:p>
        </w:tc>
        <w:tc>
          <w:tcPr>
            <w:tcW w:type="dxa" w:w="1872"/>
          </w:tcPr>
          <w:p>
            <w:pPr>
              <w:jc w:val="right"/>
            </w:pPr>
            <w:r/>
            <w:r>
              <w:rPr>
                <w:rFonts w:ascii="Segoe UI" w:hAnsi="Segoe UI"/>
                <w:sz w:val="18"/>
              </w:rPr>
              <w:t>65</w:t>
            </w:r>
          </w:p>
        </w:tc>
        <w:tc>
          <w:tcPr>
            <w:tcW w:type="dxa" w:w="1872"/>
          </w:tcPr>
          <w:p>
            <w:pPr>
              <w:jc w:val="right"/>
            </w:pPr>
            <w:r/>
            <w:r>
              <w:rPr>
                <w:rFonts w:ascii="Segoe UI" w:hAnsi="Segoe UI"/>
                <w:sz w:val="18"/>
              </w:rPr>
              <w:t>8.8%</w:t>
            </w:r>
          </w:p>
        </w:tc>
        <w:tc>
          <w:tcPr>
            <w:tcW w:type="dxa" w:w="1872"/>
          </w:tcPr>
          <w:p>
            <w:pPr>
              <w:jc w:val="right"/>
            </w:pPr>
            <w:r/>
            <w:r>
              <w:rPr>
                <w:rFonts w:ascii="Segoe UI" w:hAnsi="Segoe UI"/>
                <w:sz w:val="18"/>
              </w:rPr>
              <w:t>$8.2bn</w:t>
            </w:r>
          </w:p>
        </w:tc>
        <w:tc>
          <w:tcPr>
            <w:tcW w:type="dxa" w:w="1872"/>
          </w:tcPr>
          <w:p>
            <w:pPr>
              <w:jc w:val="right"/>
            </w:pPr>
            <w:r/>
            <w:r>
              <w:rPr>
                <w:rFonts w:ascii="Segoe UI" w:hAnsi="Segoe UI"/>
                <w:sz w:val="18"/>
              </w:rPr>
              <w:t>$218m</w:t>
            </w:r>
          </w:p>
        </w:tc>
      </w:tr>
      <w:tr>
        <w:tc>
          <w:tcPr>
            <w:tcW w:type="dxa" w:w="1872"/>
          </w:tcPr>
          <w:p>
            <w:r/>
            <w:r>
              <w:rPr>
                <w:rFonts w:ascii="Segoe UI" w:hAnsi="Segoe UI"/>
                <w:sz w:val="18"/>
              </w:rPr>
              <w:t>Financial Services</w:t>
            </w:r>
          </w:p>
        </w:tc>
        <w:tc>
          <w:tcPr>
            <w:tcW w:type="dxa" w:w="1872"/>
          </w:tcPr>
          <w:p>
            <w:pPr>
              <w:jc w:val="right"/>
            </w:pPr>
            <w:r/>
            <w:r>
              <w:rPr>
                <w:rFonts w:ascii="Segoe UI" w:hAnsi="Segoe UI"/>
                <w:sz w:val="18"/>
              </w:rPr>
              <w:t>59</w:t>
            </w:r>
          </w:p>
        </w:tc>
        <w:tc>
          <w:tcPr>
            <w:tcW w:type="dxa" w:w="1872"/>
          </w:tcPr>
          <w:p>
            <w:pPr>
              <w:jc w:val="right"/>
            </w:pPr>
            <w:r/>
            <w:r>
              <w:rPr>
                <w:rFonts w:ascii="Segoe UI" w:hAnsi="Segoe UI"/>
                <w:sz w:val="18"/>
              </w:rPr>
              <w:t>8.0%</w:t>
            </w:r>
          </w:p>
        </w:tc>
        <w:tc>
          <w:tcPr>
            <w:tcW w:type="dxa" w:w="1872"/>
          </w:tcPr>
          <w:p>
            <w:pPr>
              <w:jc w:val="right"/>
            </w:pPr>
            <w:r/>
            <w:r>
              <w:rPr>
                <w:rFonts w:ascii="Segoe UI" w:hAnsi="Segoe UI"/>
                <w:sz w:val="18"/>
              </w:rPr>
              <w:t>$46.1bn</w:t>
            </w:r>
          </w:p>
        </w:tc>
        <w:tc>
          <w:tcPr>
            <w:tcW w:type="dxa" w:w="1872"/>
          </w:tcPr>
          <w:p>
            <w:pPr>
              <w:jc w:val="right"/>
            </w:pPr>
            <w:r/>
            <w:r>
              <w:rPr>
                <w:rFonts w:ascii="Segoe UI" w:hAnsi="Segoe UI"/>
                <w:sz w:val="18"/>
              </w:rPr>
              <w:t>$335m</w:t>
            </w:r>
          </w:p>
        </w:tc>
      </w:tr>
      <w:tr>
        <w:tc>
          <w:tcPr>
            <w:tcW w:type="dxa" w:w="1872"/>
          </w:tcPr>
          <w:p>
            <w:r/>
            <w:r>
              <w:rPr>
                <w:rFonts w:ascii="Segoe UI" w:hAnsi="Segoe UI"/>
                <w:sz w:val="18"/>
              </w:rPr>
              <w:t>Real Estate</w:t>
            </w:r>
          </w:p>
        </w:tc>
        <w:tc>
          <w:tcPr>
            <w:tcW w:type="dxa" w:w="1872"/>
          </w:tcPr>
          <w:p>
            <w:pPr>
              <w:jc w:val="right"/>
            </w:pPr>
            <w:r/>
            <w:r>
              <w:rPr>
                <w:rFonts w:ascii="Segoe UI" w:hAnsi="Segoe UI"/>
                <w:sz w:val="18"/>
              </w:rPr>
              <w:t>45</w:t>
            </w:r>
          </w:p>
        </w:tc>
        <w:tc>
          <w:tcPr>
            <w:tcW w:type="dxa" w:w="1872"/>
          </w:tcPr>
          <w:p>
            <w:pPr>
              <w:jc w:val="right"/>
            </w:pPr>
            <w:r/>
            <w:r>
              <w:rPr>
                <w:rFonts w:ascii="Segoe UI" w:hAnsi="Segoe UI"/>
                <w:sz w:val="18"/>
              </w:rPr>
              <w:t>6.1%</w:t>
            </w:r>
          </w:p>
        </w:tc>
        <w:tc>
          <w:tcPr>
            <w:tcW w:type="dxa" w:w="1872"/>
          </w:tcPr>
          <w:p>
            <w:pPr>
              <w:jc w:val="right"/>
            </w:pPr>
            <w:r/>
            <w:r>
              <w:rPr>
                <w:rFonts w:ascii="Segoe UI" w:hAnsi="Segoe UI"/>
                <w:sz w:val="18"/>
              </w:rPr>
              <w:t>$16.5bn</w:t>
            </w:r>
          </w:p>
        </w:tc>
        <w:tc>
          <w:tcPr>
            <w:tcW w:type="dxa" w:w="1872"/>
          </w:tcPr>
          <w:p>
            <w:pPr>
              <w:jc w:val="right"/>
            </w:pPr>
            <w:r/>
            <w:r>
              <w:rPr>
                <w:rFonts w:ascii="Segoe UI" w:hAnsi="Segoe UI"/>
                <w:sz w:val="18"/>
              </w:rPr>
              <w:t>$188m</w:t>
            </w:r>
          </w:p>
        </w:tc>
      </w:tr>
      <w:tr>
        <w:tc>
          <w:tcPr>
            <w:tcW w:type="dxa" w:w="1872"/>
          </w:tcPr>
          <w:p>
            <w:r/>
            <w:r>
              <w:rPr>
                <w:rFonts w:ascii="Segoe UI" w:hAnsi="Segoe UI"/>
                <w:sz w:val="18"/>
              </w:rPr>
              <w:t>Materials &amp; Chemicals</w:t>
            </w:r>
          </w:p>
        </w:tc>
        <w:tc>
          <w:tcPr>
            <w:tcW w:type="dxa" w:w="1872"/>
          </w:tcPr>
          <w:p>
            <w:pPr>
              <w:jc w:val="right"/>
            </w:pPr>
            <w:r/>
            <w:r>
              <w:rPr>
                <w:rFonts w:ascii="Segoe UI" w:hAnsi="Segoe UI"/>
                <w:sz w:val="18"/>
              </w:rPr>
              <w:t>36</w:t>
            </w:r>
          </w:p>
        </w:tc>
        <w:tc>
          <w:tcPr>
            <w:tcW w:type="dxa" w:w="1872"/>
          </w:tcPr>
          <w:p>
            <w:pPr>
              <w:jc w:val="right"/>
            </w:pPr>
            <w:r/>
            <w:r>
              <w:rPr>
                <w:rFonts w:ascii="Segoe UI" w:hAnsi="Segoe UI"/>
                <w:sz w:val="18"/>
              </w:rPr>
              <w:t>4.9%</w:t>
            </w:r>
          </w:p>
        </w:tc>
        <w:tc>
          <w:tcPr>
            <w:tcW w:type="dxa" w:w="1872"/>
          </w:tcPr>
          <w:p>
            <w:pPr>
              <w:jc w:val="right"/>
            </w:pPr>
            <w:r/>
            <w:r>
              <w:rPr>
                <w:rFonts w:ascii="Segoe UI" w:hAnsi="Segoe UI"/>
                <w:sz w:val="18"/>
              </w:rPr>
              <w:t>$6.3bn</w:t>
            </w:r>
          </w:p>
        </w:tc>
        <w:tc>
          <w:tcPr>
            <w:tcW w:type="dxa" w:w="1872"/>
          </w:tcPr>
          <w:p>
            <w:pPr>
              <w:jc w:val="right"/>
            </w:pPr>
            <w:r/>
            <w:r>
              <w:rPr>
                <w:rFonts w:ascii="Segoe UI" w:hAnsi="Segoe UI"/>
                <w:sz w:val="18"/>
              </w:rPr>
              <w:t>$110m</w:t>
            </w:r>
          </w:p>
        </w:tc>
      </w:tr>
      <w:tr>
        <w:tc>
          <w:tcPr>
            <w:tcW w:type="dxa" w:w="1872"/>
          </w:tcPr>
          <w:p>
            <w:r/>
            <w:r>
              <w:rPr>
                <w:rFonts w:ascii="Segoe UI" w:hAnsi="Segoe UI"/>
                <w:sz w:val="18"/>
              </w:rPr>
              <w:t>Aerospace &amp; Defence</w:t>
            </w:r>
          </w:p>
        </w:tc>
        <w:tc>
          <w:tcPr>
            <w:tcW w:type="dxa" w:w="1872"/>
          </w:tcPr>
          <w:p>
            <w:pPr>
              <w:jc w:val="right"/>
            </w:pPr>
            <w:r/>
            <w:r>
              <w:rPr>
                <w:rFonts w:ascii="Segoe UI" w:hAnsi="Segoe UI"/>
                <w:sz w:val="18"/>
              </w:rPr>
              <w:t>19</w:t>
            </w:r>
          </w:p>
        </w:tc>
        <w:tc>
          <w:tcPr>
            <w:tcW w:type="dxa" w:w="1872"/>
          </w:tcPr>
          <w:p>
            <w:pPr>
              <w:jc w:val="right"/>
            </w:pPr>
            <w:r/>
            <w:r>
              <w:rPr>
                <w:rFonts w:ascii="Segoe UI" w:hAnsi="Segoe UI"/>
                <w:sz w:val="18"/>
              </w:rPr>
              <w:t>2.6%</w:t>
            </w:r>
          </w:p>
        </w:tc>
        <w:tc>
          <w:tcPr>
            <w:tcW w:type="dxa" w:w="1872"/>
          </w:tcPr>
          <w:p>
            <w:pPr>
              <w:jc w:val="right"/>
            </w:pPr>
            <w:r/>
            <w:r>
              <w:rPr>
                <w:rFonts w:ascii="Segoe UI" w:hAnsi="Segoe UI"/>
                <w:sz w:val="18"/>
              </w:rPr>
              <w:t>$8.2bn</w:t>
            </w:r>
          </w:p>
        </w:tc>
        <w:tc>
          <w:tcPr>
            <w:tcW w:type="dxa" w:w="1872"/>
          </w:tcPr>
          <w:p>
            <w:pPr>
              <w:jc w:val="right"/>
            </w:pPr>
            <w:r/>
            <w:r>
              <w:rPr>
                <w:rFonts w:ascii="Segoe UI" w:hAnsi="Segoe UI"/>
                <w:b/>
                <w:color w:val="9A7B10"/>
                <w:sz w:val="18"/>
              </w:rPr>
              <w:t>$686m</w:t>
            </w:r>
          </w:p>
        </w:tc>
      </w:tr>
    </w:tbl>
    <w:p/>
    <w:p>
      <w:r>
        <w:t>TMT leads on count and trails badly on size. Its median transaction is $122m, the second lowest in the table, and its volume is made up of small software and services bolt-ons. A team covering TMT will be busy and will not necessarily be working on anything large.</w:t>
      </w:r>
    </w:p>
    <w:p>
      <w:r>
        <w:t>Industrials inverts that. Fewer deals, but a median of $677m, and $53.0bn of disclosed value from only 27 priced transactions. Aerospace and Defence is smaller again by count, nineteen deals, with the highest median in the corpus at $686m.</w:t>
      </w:r>
    </w:p>
    <w:p>
      <w:r>
        <w:t>Financial Services deserves separate attention: 59 deals, 8% of volume, but $46.1bn of value. Fewer, larger, and more likely to carry regulatory and integration complexity that runs for years.</w:t>
      </w:r>
    </w:p>
    <w:p>
      <w:r>
        <w:rPr>
          <w:b/>
        </w:rPr>
        <w:t>The practical read.</w:t>
      </w:r>
      <w:r>
        <w:t xml:space="preserve"> If a practice is measured on mandate count, TMT is where to look. If it is measured on fee value, Industrials, Financial Services and Aerospace and Defence are carrying the weight, and each of those has long post-close work attached.</w:t>
      </w:r>
    </w:p>
    <w:p>
      <w:pPr>
        <w:pBdr>
          <w:bottom w:val="single" w:sz="6" w:color="C9A84C"/>
        </w:pBdr>
      </w:pPr>
    </w:p>
    <w:p>
      <w:pPr>
        <w:spacing w:before="400" w:after="160"/>
      </w:pPr>
      <w:r>
        <w:rPr>
          <w:rFonts w:ascii="Georgia" w:hAnsi="Georgia"/>
          <w:b/>
          <w:color w:val="0D1B2A"/>
          <w:sz w:val="30"/>
        </w:rPr>
        <w:t>Finding 5 · One deal in nine is a carve-out, and carve-outs are the densest work there is</w:t>
      </w:r>
    </w:p>
    <w:p>
      <w:r>
        <w:t>Deal structure across the 739:</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0D1B2A"/>
          </w:tcPr>
          <w:p>
            <w:r/>
            <w:r>
              <w:rPr>
                <w:rFonts w:ascii="Segoe UI" w:hAnsi="Segoe UI"/>
                <w:b/>
                <w:color w:val="FFFFFF"/>
                <w:sz w:val="17"/>
              </w:rPr>
              <w:t>Structure</w:t>
            </w:r>
          </w:p>
        </w:tc>
        <w:tc>
          <w:tcPr>
            <w:tcW w:type="dxa" w:w="2340"/>
            <w:shd w:val="clear" w:fill="0D1B2A"/>
          </w:tcPr>
          <w:p>
            <w:r/>
            <w:r>
              <w:rPr>
                <w:rFonts w:ascii="Segoe UI" w:hAnsi="Segoe UI"/>
                <w:b/>
                <w:color w:val="FFFFFF"/>
                <w:sz w:val="17"/>
              </w:rPr>
              <w:t>Deals</w:t>
            </w:r>
          </w:p>
        </w:tc>
        <w:tc>
          <w:tcPr>
            <w:tcW w:type="dxa" w:w="2340"/>
            <w:shd w:val="clear" w:fill="0D1B2A"/>
          </w:tcPr>
          <w:p>
            <w:r/>
            <w:r>
              <w:rPr>
                <w:rFonts w:ascii="Segoe UI" w:hAnsi="Segoe UI"/>
                <w:b/>
                <w:color w:val="FFFFFF"/>
                <w:sz w:val="17"/>
              </w:rPr>
              <w:t>Share</w:t>
            </w:r>
          </w:p>
        </w:tc>
        <w:tc>
          <w:tcPr>
            <w:tcW w:type="dxa" w:w="2340"/>
            <w:shd w:val="clear" w:fill="0D1B2A"/>
          </w:tcPr>
          <w:p>
            <w:r/>
            <w:r>
              <w:rPr>
                <w:rFonts w:ascii="Segoe UI" w:hAnsi="Segoe UI"/>
                <w:b/>
                <w:color w:val="FFFFFF"/>
                <w:sz w:val="17"/>
              </w:rPr>
              <w:t>Median value</w:t>
            </w:r>
          </w:p>
        </w:tc>
      </w:tr>
      <w:tr>
        <w:tc>
          <w:tcPr>
            <w:tcW w:type="dxa" w:w="2340"/>
          </w:tcPr>
          <w:p>
            <w:r/>
            <w:r>
              <w:rPr>
                <w:rFonts w:ascii="Segoe UI" w:hAnsi="Segoe UI"/>
                <w:sz w:val="18"/>
              </w:rPr>
              <w:t>Acquisition</w:t>
            </w:r>
          </w:p>
        </w:tc>
        <w:tc>
          <w:tcPr>
            <w:tcW w:type="dxa" w:w="2340"/>
          </w:tcPr>
          <w:p>
            <w:pPr>
              <w:jc w:val="right"/>
            </w:pPr>
            <w:r/>
            <w:r>
              <w:rPr>
                <w:rFonts w:ascii="Segoe UI" w:hAnsi="Segoe UI"/>
                <w:sz w:val="18"/>
              </w:rPr>
              <w:t>598</w:t>
            </w:r>
          </w:p>
        </w:tc>
        <w:tc>
          <w:tcPr>
            <w:tcW w:type="dxa" w:w="2340"/>
          </w:tcPr>
          <w:p>
            <w:pPr>
              <w:jc w:val="right"/>
            </w:pPr>
            <w:r/>
            <w:r>
              <w:rPr>
                <w:rFonts w:ascii="Segoe UI" w:hAnsi="Segoe UI"/>
                <w:sz w:val="18"/>
              </w:rPr>
              <w:t>80.9%</w:t>
            </w:r>
          </w:p>
        </w:tc>
        <w:tc>
          <w:tcPr>
            <w:tcW w:type="dxa" w:w="2340"/>
          </w:tcPr>
          <w:p>
            <w:pPr>
              <w:jc w:val="right"/>
            </w:pPr>
            <w:r/>
            <w:r>
              <w:rPr>
                <w:rFonts w:ascii="Segoe UI" w:hAnsi="Segoe UI"/>
                <w:sz w:val="18"/>
              </w:rPr>
              <w:t>$253m</w:t>
            </w:r>
          </w:p>
        </w:tc>
      </w:tr>
      <w:tr>
        <w:tc>
          <w:tcPr>
            <w:tcW w:type="dxa" w:w="2340"/>
          </w:tcPr>
          <w:p>
            <w:r/>
            <w:r>
              <w:rPr>
                <w:rFonts w:ascii="Segoe UI" w:hAnsi="Segoe UI"/>
                <w:b/>
                <w:color w:val="9A7B10"/>
                <w:sz w:val="18"/>
              </w:rPr>
              <w:t>Carve-out</w:t>
            </w:r>
          </w:p>
        </w:tc>
        <w:tc>
          <w:tcPr>
            <w:tcW w:type="dxa" w:w="2340"/>
          </w:tcPr>
          <w:p>
            <w:pPr>
              <w:jc w:val="right"/>
            </w:pPr>
            <w:r/>
            <w:r>
              <w:rPr>
                <w:rFonts w:ascii="Segoe UI" w:hAnsi="Segoe UI"/>
                <w:b/>
                <w:color w:val="9A7B10"/>
                <w:sz w:val="18"/>
              </w:rPr>
              <w:t>79</w:t>
            </w:r>
          </w:p>
        </w:tc>
        <w:tc>
          <w:tcPr>
            <w:tcW w:type="dxa" w:w="2340"/>
          </w:tcPr>
          <w:p>
            <w:pPr>
              <w:jc w:val="right"/>
            </w:pPr>
            <w:r/>
            <w:r>
              <w:rPr>
                <w:rFonts w:ascii="Segoe UI" w:hAnsi="Segoe UI"/>
                <w:b/>
                <w:color w:val="9A7B10"/>
                <w:sz w:val="18"/>
              </w:rPr>
              <w:t>10.7%</w:t>
            </w:r>
          </w:p>
        </w:tc>
        <w:tc>
          <w:tcPr>
            <w:tcW w:type="dxa" w:w="2340"/>
          </w:tcPr>
          <w:p>
            <w:pPr>
              <w:jc w:val="right"/>
            </w:pPr>
            <w:r/>
            <w:r>
              <w:rPr>
                <w:rFonts w:ascii="Segoe UI" w:hAnsi="Segoe UI"/>
                <w:sz w:val="18"/>
              </w:rPr>
              <w:t>$206m</w:t>
            </w:r>
          </w:p>
        </w:tc>
      </w:tr>
      <w:tr>
        <w:tc>
          <w:tcPr>
            <w:tcW w:type="dxa" w:w="2340"/>
          </w:tcPr>
          <w:p>
            <w:r/>
            <w:r>
              <w:rPr>
                <w:rFonts w:ascii="Segoe UI" w:hAnsi="Segoe UI"/>
                <w:sz w:val="18"/>
              </w:rPr>
              <w:t>Minority stake</w:t>
            </w:r>
          </w:p>
        </w:tc>
        <w:tc>
          <w:tcPr>
            <w:tcW w:type="dxa" w:w="2340"/>
          </w:tcPr>
          <w:p>
            <w:pPr>
              <w:jc w:val="right"/>
            </w:pPr>
            <w:r/>
            <w:r>
              <w:rPr>
                <w:rFonts w:ascii="Segoe UI" w:hAnsi="Segoe UI"/>
                <w:sz w:val="18"/>
              </w:rPr>
              <w:t>44</w:t>
            </w:r>
          </w:p>
        </w:tc>
        <w:tc>
          <w:tcPr>
            <w:tcW w:type="dxa" w:w="2340"/>
          </w:tcPr>
          <w:p>
            <w:pPr>
              <w:jc w:val="right"/>
            </w:pPr>
            <w:r/>
            <w:r>
              <w:rPr>
                <w:rFonts w:ascii="Segoe UI" w:hAnsi="Segoe UI"/>
                <w:sz w:val="18"/>
              </w:rPr>
              <w:t>6.0%</w:t>
            </w:r>
          </w:p>
        </w:tc>
        <w:tc>
          <w:tcPr>
            <w:tcW w:type="dxa" w:w="2340"/>
          </w:tcPr>
          <w:p>
            <w:pPr>
              <w:jc w:val="right"/>
            </w:pPr>
            <w:r/>
            <w:r>
              <w:rPr>
                <w:rFonts w:ascii="Segoe UI" w:hAnsi="Segoe UI"/>
                <w:sz w:val="18"/>
              </w:rPr>
              <w:t>$74m</w:t>
            </w:r>
          </w:p>
        </w:tc>
      </w:tr>
      <w:tr>
        <w:tc>
          <w:tcPr>
            <w:tcW w:type="dxa" w:w="2340"/>
          </w:tcPr>
          <w:p>
            <w:r/>
            <w:r>
              <w:rPr>
                <w:rFonts w:ascii="Segoe UI" w:hAnsi="Segoe UI"/>
                <w:sz w:val="18"/>
              </w:rPr>
              <w:t>Merger</w:t>
            </w:r>
          </w:p>
        </w:tc>
        <w:tc>
          <w:tcPr>
            <w:tcW w:type="dxa" w:w="2340"/>
          </w:tcPr>
          <w:p>
            <w:pPr>
              <w:jc w:val="right"/>
            </w:pPr>
            <w:r/>
            <w:r>
              <w:rPr>
                <w:rFonts w:ascii="Segoe UI" w:hAnsi="Segoe UI"/>
                <w:sz w:val="18"/>
              </w:rPr>
              <w:t>10</w:t>
            </w:r>
          </w:p>
        </w:tc>
        <w:tc>
          <w:tcPr>
            <w:tcW w:type="dxa" w:w="2340"/>
          </w:tcPr>
          <w:p>
            <w:pPr>
              <w:jc w:val="right"/>
            </w:pPr>
            <w:r/>
            <w:r>
              <w:rPr>
                <w:rFonts w:ascii="Segoe UI" w:hAnsi="Segoe UI"/>
                <w:sz w:val="18"/>
              </w:rPr>
              <w:t>1.4%</w:t>
            </w:r>
          </w:p>
        </w:tc>
        <w:tc>
          <w:tcPr>
            <w:tcW w:type="dxa" w:w="2340"/>
          </w:tcPr>
          <w:p>
            <w:pPr>
              <w:jc w:val="right"/>
            </w:pPr>
            <w:r/>
            <w:r>
              <w:rPr>
                <w:rFonts w:ascii="Segoe UI" w:hAnsi="Segoe UI"/>
                <w:sz w:val="18"/>
              </w:rPr>
              <w:t>$1,010m</w:t>
            </w:r>
          </w:p>
        </w:tc>
      </w:tr>
      <w:tr>
        <w:tc>
          <w:tcPr>
            <w:tcW w:type="dxa" w:w="2340"/>
          </w:tcPr>
          <w:p>
            <w:r/>
            <w:r>
              <w:rPr>
                <w:rFonts w:ascii="Segoe UI" w:hAnsi="Segoe UI"/>
                <w:sz w:val="18"/>
              </w:rPr>
              <w:t>IPO</w:t>
            </w:r>
          </w:p>
        </w:tc>
        <w:tc>
          <w:tcPr>
            <w:tcW w:type="dxa" w:w="2340"/>
          </w:tcPr>
          <w:p>
            <w:pPr>
              <w:jc w:val="right"/>
            </w:pPr>
            <w:r/>
            <w:r>
              <w:rPr>
                <w:rFonts w:ascii="Segoe UI" w:hAnsi="Segoe UI"/>
                <w:sz w:val="18"/>
              </w:rPr>
              <w:t>6</w:t>
            </w:r>
          </w:p>
        </w:tc>
        <w:tc>
          <w:tcPr>
            <w:tcW w:type="dxa" w:w="2340"/>
          </w:tcPr>
          <w:p>
            <w:pPr>
              <w:jc w:val="right"/>
            </w:pPr>
            <w:r/>
            <w:r>
              <w:rPr>
                <w:rFonts w:ascii="Segoe UI" w:hAnsi="Segoe UI"/>
                <w:sz w:val="18"/>
              </w:rPr>
              <w:t>0.8%</w:t>
            </w:r>
          </w:p>
        </w:tc>
        <w:tc>
          <w:tcPr>
            <w:tcW w:type="dxa" w:w="2340"/>
          </w:tcPr>
          <w:p>
            <w:pPr>
              <w:jc w:val="right"/>
            </w:pPr>
            <w:r/>
            <w:r>
              <w:rPr>
                <w:rFonts w:ascii="Segoe UI" w:hAnsi="Segoe UI"/>
                <w:sz w:val="18"/>
              </w:rPr>
              <w:t>$2,400m</w:t>
            </w:r>
          </w:p>
        </w:tc>
      </w:tr>
      <w:tr>
        <w:tc>
          <w:tcPr>
            <w:tcW w:type="dxa" w:w="2340"/>
          </w:tcPr>
          <w:p>
            <w:r/>
            <w:r>
              <w:rPr>
                <w:rFonts w:ascii="Segoe UI" w:hAnsi="Segoe UI"/>
                <w:sz w:val="18"/>
              </w:rPr>
              <w:t>Joint venture</w:t>
            </w:r>
          </w:p>
        </w:tc>
        <w:tc>
          <w:tcPr>
            <w:tcW w:type="dxa" w:w="2340"/>
          </w:tcPr>
          <w:p>
            <w:pPr>
              <w:jc w:val="right"/>
            </w:pPr>
            <w:r/>
            <w:r>
              <w:rPr>
                <w:rFonts w:ascii="Segoe UI" w:hAnsi="Segoe UI"/>
                <w:sz w:val="18"/>
              </w:rPr>
              <w:t>2</w:t>
            </w:r>
          </w:p>
        </w:tc>
        <w:tc>
          <w:tcPr>
            <w:tcW w:type="dxa" w:w="2340"/>
          </w:tcPr>
          <w:p>
            <w:pPr>
              <w:jc w:val="right"/>
            </w:pPr>
            <w:r/>
            <w:r>
              <w:rPr>
                <w:rFonts w:ascii="Segoe UI" w:hAnsi="Segoe UI"/>
                <w:sz w:val="18"/>
              </w:rPr>
              <w:t>0.3%</w:t>
            </w:r>
          </w:p>
        </w:tc>
        <w:tc>
          <w:tcPr>
            <w:tcW w:type="dxa" w:w="2340"/>
          </w:tcPr>
          <w:p>
            <w:pPr>
              <w:jc w:val="right"/>
            </w:pPr>
            <w:r/>
            <w:r>
              <w:rPr>
                <w:rFonts w:ascii="Segoe UI" w:hAnsi="Segoe UI"/>
                <w:sz w:val="18"/>
              </w:rPr>
              <w:t>not disclosed</w:t>
            </w:r>
          </w:p>
        </w:tc>
      </w:tr>
    </w:tbl>
    <w:p/>
    <w:p>
      <w:r>
        <w:t>Seventy-nine carve-outs in a quarter, at a median of $206m.</w:t>
      </w:r>
    </w:p>
    <w:p>
      <w:r>
        <w:t>Carve-outs matter out of proportion to their share because they generate the most advisory work per pound of transaction value. A straight acquisition transfers a company that already knows how to run itself. A carve-out has to invent a company: separate the financials, stand up the technology, split the contracts, decide what the transition services agreement covers and for how long, and design an operating model that did not exist before the deal.</w:t>
      </w:r>
    </w:p>
    <w:p>
      <w:r>
        <w:t>That work begins before signing and continues twelve months past closing. It is also, by the evidence in Finding 1, almost never captured in the announcement.</w:t>
      </w:r>
    </w:p>
    <w:p>
      <w:pPr>
        <w:pBdr>
          <w:bottom w:val="single" w:sz="6" w:color="C9A84C"/>
        </w:pBdr>
      </w:pPr>
    </w:p>
    <w:p>
      <w:pPr>
        <w:spacing w:before="400" w:after="160"/>
      </w:pPr>
      <w:r>
        <w:rPr>
          <w:rFonts w:ascii="Georgia" w:hAnsi="Georgia"/>
          <w:b/>
          <w:color w:val="0D1B2A"/>
          <w:sz w:val="30"/>
        </w:rPr>
        <w:t>Finding 6 · What companies advertised for while all this was happening</w:t>
      </w:r>
    </w:p>
    <w:p>
      <w:r>
        <w:t>We classified 1,130 role advertisements from 508 employers between 29 April and 5 September by the intent the role implies: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0D1B2A"/>
          </w:tcPr>
          <w:p>
            <w:r/>
            <w:r>
              <w:rPr>
                <w:rFonts w:ascii="Segoe UI" w:hAnsi="Segoe UI"/>
                <w:b/>
                <w:color w:val="FFFFFF"/>
                <w:sz w:val="17"/>
              </w:rPr>
              <w:t>Intent</w:t>
            </w:r>
          </w:p>
        </w:tc>
        <w:tc>
          <w:tcPr>
            <w:tcW w:type="dxa" w:w="2340"/>
            <w:shd w:val="clear" w:fill="0D1B2A"/>
          </w:tcPr>
          <w:p>
            <w:r/>
            <w:r>
              <w:rPr>
                <w:rFonts w:ascii="Segoe UI" w:hAnsi="Segoe UI"/>
                <w:b/>
                <w:color w:val="FFFFFF"/>
                <w:sz w:val="17"/>
              </w:rPr>
              <w:t>Advertisements</w:t>
            </w:r>
          </w:p>
        </w:tc>
        <w:tc>
          <w:tcPr>
            <w:tcW w:type="dxa" w:w="2340"/>
            <w:shd w:val="clear" w:fill="0D1B2A"/>
          </w:tcPr>
          <w:p>
            <w:r/>
            <w:r>
              <w:rPr>
                <w:rFonts w:ascii="Segoe UI" w:hAnsi="Segoe UI"/>
                <w:b/>
                <w:color w:val="FFFFFF"/>
                <w:sz w:val="17"/>
              </w:rPr>
              <w:t>Share</w:t>
            </w:r>
          </w:p>
        </w:tc>
        <w:tc>
          <w:tcPr>
            <w:tcW w:type="dxa" w:w="2340"/>
            <w:shd w:val="clear" w:fill="0D1B2A"/>
          </w:tcPr>
          <w:p>
            <w:r/>
            <w:r>
              <w:rPr>
                <w:rFonts w:ascii="Segoe UI" w:hAnsi="Segoe UI"/>
                <w:b/>
                <w:color w:val="FFFFFF"/>
                <w:sz w:val="17"/>
              </w:rPr>
              <w:t>Employers</w:t>
            </w:r>
          </w:p>
        </w:tc>
      </w:tr>
      <w:tr>
        <w:tc>
          <w:tcPr>
            <w:tcW w:type="dxa" w:w="2340"/>
          </w:tcPr>
          <w:p>
            <w:r/>
            <w:r>
              <w:rPr>
                <w:rFonts w:ascii="Segoe UI" w:hAnsi="Segoe UI"/>
                <w:sz w:val="18"/>
              </w:rPr>
              <w:t>Strategy and transformation</w:t>
            </w:r>
          </w:p>
        </w:tc>
        <w:tc>
          <w:tcPr>
            <w:tcW w:type="dxa" w:w="2340"/>
          </w:tcPr>
          <w:p>
            <w:pPr>
              <w:jc w:val="right"/>
            </w:pPr>
            <w:r/>
            <w:r>
              <w:rPr>
                <w:rFonts w:ascii="Segoe UI" w:hAnsi="Segoe UI"/>
                <w:sz w:val="18"/>
              </w:rPr>
              <w:t>505</w:t>
            </w:r>
          </w:p>
        </w:tc>
        <w:tc>
          <w:tcPr>
            <w:tcW w:type="dxa" w:w="2340"/>
          </w:tcPr>
          <w:p>
            <w:pPr>
              <w:jc w:val="right"/>
            </w:pPr>
            <w:r/>
            <w:r>
              <w:rPr>
                <w:rFonts w:ascii="Segoe UI" w:hAnsi="Segoe UI"/>
                <w:sz w:val="18"/>
              </w:rPr>
              <w:t>44.7%</w:t>
            </w:r>
          </w:p>
        </w:tc>
        <w:tc>
          <w:tcPr>
            <w:tcW w:type="dxa" w:w="2340"/>
          </w:tcPr>
          <w:p>
            <w:pPr>
              <w:jc w:val="right"/>
            </w:pPr>
            <w:r/>
            <w:r>
              <w:rPr>
                <w:rFonts w:ascii="Segoe UI" w:hAnsi="Segoe UI"/>
                <w:sz w:val="18"/>
              </w:rPr>
              <w:t>321</w:t>
            </w:r>
          </w:p>
        </w:tc>
      </w:tr>
      <w:tr>
        <w:tc>
          <w:tcPr>
            <w:tcW w:type="dxa" w:w="2340"/>
          </w:tcPr>
          <w:p>
            <w:r/>
            <w:r>
              <w:rPr>
                <w:rFonts w:ascii="Segoe UI" w:hAnsi="Segoe UI"/>
                <w:sz w:val="18"/>
              </w:rPr>
              <w:t>Post-merger integration</w:t>
            </w:r>
          </w:p>
        </w:tc>
        <w:tc>
          <w:tcPr>
            <w:tcW w:type="dxa" w:w="2340"/>
          </w:tcPr>
          <w:p>
            <w:pPr>
              <w:jc w:val="right"/>
            </w:pPr>
            <w:r/>
            <w:r>
              <w:rPr>
                <w:rFonts w:ascii="Segoe UI" w:hAnsi="Segoe UI"/>
                <w:sz w:val="18"/>
              </w:rPr>
              <w:t>457</w:t>
            </w:r>
          </w:p>
        </w:tc>
        <w:tc>
          <w:tcPr>
            <w:tcW w:type="dxa" w:w="2340"/>
          </w:tcPr>
          <w:p>
            <w:pPr>
              <w:jc w:val="right"/>
            </w:pPr>
            <w:r/>
            <w:r>
              <w:rPr>
                <w:rFonts w:ascii="Segoe UI" w:hAnsi="Segoe UI"/>
                <w:sz w:val="18"/>
              </w:rPr>
              <w:t>40.4%</w:t>
            </w:r>
          </w:p>
        </w:tc>
        <w:tc>
          <w:tcPr>
            <w:tcW w:type="dxa" w:w="2340"/>
          </w:tcPr>
          <w:p>
            <w:pPr>
              <w:jc w:val="right"/>
            </w:pPr>
            <w:r/>
            <w:r>
              <w:rPr>
                <w:rFonts w:ascii="Segoe UI" w:hAnsi="Segoe UI"/>
                <w:sz w:val="18"/>
              </w:rPr>
              <w:t>129</w:t>
            </w:r>
          </w:p>
        </w:tc>
      </w:tr>
      <w:tr>
        <w:tc>
          <w:tcPr>
            <w:tcW w:type="dxa" w:w="2340"/>
          </w:tcPr>
          <w:p>
            <w:r/>
            <w:r>
              <w:rPr>
                <w:rFonts w:ascii="Segoe UI" w:hAnsi="Segoe UI"/>
                <w:sz w:val="18"/>
              </w:rPr>
              <w:t>Corporate development</w:t>
            </w:r>
          </w:p>
        </w:tc>
        <w:tc>
          <w:tcPr>
            <w:tcW w:type="dxa" w:w="2340"/>
          </w:tcPr>
          <w:p>
            <w:pPr>
              <w:jc w:val="right"/>
            </w:pPr>
            <w:r/>
            <w:r>
              <w:rPr>
                <w:rFonts w:ascii="Segoe UI" w:hAnsi="Segoe UI"/>
                <w:sz w:val="18"/>
              </w:rPr>
              <w:t>133</w:t>
            </w:r>
          </w:p>
        </w:tc>
        <w:tc>
          <w:tcPr>
            <w:tcW w:type="dxa" w:w="2340"/>
          </w:tcPr>
          <w:p>
            <w:pPr>
              <w:jc w:val="right"/>
            </w:pPr>
            <w:r/>
            <w:r>
              <w:rPr>
                <w:rFonts w:ascii="Segoe UI" w:hAnsi="Segoe UI"/>
                <w:sz w:val="18"/>
              </w:rPr>
              <w:t>11.8%</w:t>
            </w:r>
          </w:p>
        </w:tc>
        <w:tc>
          <w:tcPr>
            <w:tcW w:type="dxa" w:w="2340"/>
          </w:tcPr>
          <w:p>
            <w:pPr>
              <w:jc w:val="right"/>
            </w:pPr>
            <w:r/>
            <w:r>
              <w:rPr>
                <w:rFonts w:ascii="Segoe UI" w:hAnsi="Segoe UI"/>
                <w:sz w:val="18"/>
              </w:rPr>
              <w:t>57</w:t>
            </w:r>
          </w:p>
        </w:tc>
      </w:tr>
      <w:tr>
        <w:tc>
          <w:tcPr>
            <w:tcW w:type="dxa" w:w="2340"/>
          </w:tcPr>
          <w:p>
            <w:r/>
            <w:r>
              <w:rPr>
                <w:rFonts w:ascii="Segoe UI" w:hAnsi="Segoe UI"/>
                <w:sz w:val="18"/>
              </w:rPr>
              <w:t>Restructuring</w:t>
            </w:r>
          </w:p>
        </w:tc>
        <w:tc>
          <w:tcPr>
            <w:tcW w:type="dxa" w:w="2340"/>
          </w:tcPr>
          <w:p>
            <w:pPr>
              <w:jc w:val="right"/>
            </w:pPr>
            <w:r/>
            <w:r>
              <w:rPr>
                <w:rFonts w:ascii="Segoe UI" w:hAnsi="Segoe UI"/>
                <w:sz w:val="18"/>
              </w:rPr>
              <w:t>33</w:t>
            </w:r>
          </w:p>
        </w:tc>
        <w:tc>
          <w:tcPr>
            <w:tcW w:type="dxa" w:w="2340"/>
          </w:tcPr>
          <w:p>
            <w:pPr>
              <w:jc w:val="right"/>
            </w:pPr>
            <w:r/>
            <w:r>
              <w:rPr>
                <w:rFonts w:ascii="Segoe UI" w:hAnsi="Segoe UI"/>
                <w:sz w:val="18"/>
              </w:rPr>
              <w:t>2.9%</w:t>
            </w:r>
          </w:p>
        </w:tc>
        <w:tc>
          <w:tcPr>
            <w:tcW w:type="dxa" w:w="2340"/>
          </w:tcPr>
          <w:p>
            <w:pPr>
              <w:jc w:val="right"/>
            </w:pPr>
            <w:r/>
            <w:r>
              <w:rPr>
                <w:rFonts w:ascii="Segoe UI" w:hAnsi="Segoe UI"/>
                <w:sz w:val="18"/>
              </w:rPr>
              <w:t>21</w:t>
            </w:r>
          </w:p>
        </w:tc>
      </w:tr>
      <w:tr>
        <w:tc>
          <w:tcPr>
            <w:tcW w:type="dxa" w:w="2340"/>
          </w:tcPr>
          <w:p>
            <w:r/>
            <w:r>
              <w:rPr>
                <w:rFonts w:ascii="Segoe UI" w:hAnsi="Segoe UI"/>
                <w:sz w:val="18"/>
              </w:rPr>
              <w:t>Capital markets readiness</w:t>
            </w:r>
          </w:p>
        </w:tc>
        <w:tc>
          <w:tcPr>
            <w:tcW w:type="dxa" w:w="2340"/>
          </w:tcPr>
          <w:p>
            <w:pPr>
              <w:jc w:val="right"/>
            </w:pPr>
            <w:r/>
            <w:r>
              <w:rPr>
                <w:rFonts w:ascii="Segoe UI" w:hAnsi="Segoe UI"/>
                <w:sz w:val="18"/>
              </w:rPr>
              <w:t>2</w:t>
            </w:r>
          </w:p>
        </w:tc>
        <w:tc>
          <w:tcPr>
            <w:tcW w:type="dxa" w:w="2340"/>
          </w:tcPr>
          <w:p>
            <w:pPr>
              <w:jc w:val="right"/>
            </w:pPr>
            <w:r/>
            <w:r>
              <w:rPr>
                <w:rFonts w:ascii="Segoe UI" w:hAnsi="Segoe UI"/>
                <w:sz w:val="18"/>
              </w:rPr>
              <w:t>0.2%</w:t>
            </w:r>
          </w:p>
        </w:tc>
        <w:tc>
          <w:tcPr>
            <w:tcW w:type="dxa" w:w="2340"/>
          </w:tcPr>
          <w:p>
            <w:pPr>
              <w:jc w:val="right"/>
            </w:pPr>
            <w:r/>
            <w:r>
              <w:rPr>
                <w:rFonts w:ascii="Segoe UI" w:hAnsi="Segoe UI"/>
                <w:sz w:val="18"/>
              </w:rPr>
              <w:t>2</w:t>
            </w:r>
          </w:p>
        </w:tc>
      </w:tr>
    </w:tbl>
    <w:p/>
    <w:p>
      <w:r>
        <w:t>The concentration is the story. Strategy and transformation roles are spread thinly across 321 employers, averaging 1.6 advertisements each. Post-merger integration is the opposite: 457 advertisements from only 129 employers, an average of 3.5 each.</w:t>
      </w:r>
    </w:p>
    <w:p>
      <w:r>
        <w:t>A company posting one transformation role is doing housekeeping. A company posting three or four integration roles inside a quarter is staffing something specific, and it is doing so before the thing it is staffing for becomes public.</w:t>
      </w:r>
    </w:p>
    <w:p>
      <w:r>
        <w:t>That concentration ratio, roughly two to one between PMI and general transformation hiring, is the most useful behavioural marker in this dataset.</w:t>
      </w:r>
    </w:p>
    <w:p>
      <w:pPr>
        <w:pBdr>
          <w:bottom w:val="single" w:sz="6" w:color="C9A84C"/>
        </w:pBdr>
      </w:pPr>
    </w:p>
    <w:p>
      <w:pPr>
        <w:spacing w:before="400" w:after="160"/>
      </w:pPr>
      <w:r>
        <w:rPr>
          <w:rFonts w:ascii="Georgia" w:hAnsi="Georgia"/>
          <w:b/>
          <w:color w:val="0D1B2A"/>
          <w:sz w:val="30"/>
        </w:rPr>
        <w:t>Finding 7 · Where the deals are, and where the jobs are, are not the same map</w:t>
      </w:r>
    </w:p>
    <w:p>
      <w:r>
        <w:t>Deal activity by region across the 739 transactions: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fill="0D1B2A"/>
          </w:tcPr>
          <w:p>
            <w:r/>
            <w:r>
              <w:rPr>
                <w:rFonts w:ascii="Segoe UI" w:hAnsi="Segoe UI"/>
                <w:b/>
                <w:color w:val="FFFFFF"/>
                <w:sz w:val="17"/>
              </w:rPr>
              <w:t>Region</w:t>
            </w:r>
          </w:p>
        </w:tc>
        <w:tc>
          <w:tcPr>
            <w:tcW w:type="dxa" w:w="1872"/>
            <w:shd w:val="clear" w:fill="0D1B2A"/>
          </w:tcPr>
          <w:p>
            <w:r/>
            <w:r>
              <w:rPr>
                <w:rFonts w:ascii="Segoe UI" w:hAnsi="Segoe UI"/>
                <w:b/>
                <w:color w:val="FFFFFF"/>
                <w:sz w:val="17"/>
              </w:rPr>
              <w:t>Deals</w:t>
            </w:r>
          </w:p>
        </w:tc>
        <w:tc>
          <w:tcPr>
            <w:tcW w:type="dxa" w:w="1872"/>
            <w:shd w:val="clear" w:fill="0D1B2A"/>
          </w:tcPr>
          <w:p>
            <w:r/>
            <w:r>
              <w:rPr>
                <w:rFonts w:ascii="Segoe UI" w:hAnsi="Segoe UI"/>
                <w:b/>
                <w:color w:val="FFFFFF"/>
                <w:sz w:val="17"/>
              </w:rPr>
              <w:t>Share</w:t>
            </w:r>
          </w:p>
        </w:tc>
        <w:tc>
          <w:tcPr>
            <w:tcW w:type="dxa" w:w="1872"/>
            <w:shd w:val="clear" w:fill="0D1B2A"/>
          </w:tcPr>
          <w:p>
            <w:r/>
            <w:r>
              <w:rPr>
                <w:rFonts w:ascii="Segoe UI" w:hAnsi="Segoe UI"/>
                <w:b/>
                <w:color w:val="FFFFFF"/>
                <w:sz w:val="17"/>
              </w:rPr>
              <w:t>Disclosed value</w:t>
            </w:r>
          </w:p>
        </w:tc>
        <w:tc>
          <w:tcPr>
            <w:tcW w:type="dxa" w:w="1872"/>
            <w:shd w:val="clear" w:fill="0D1B2A"/>
          </w:tcPr>
          <w:p>
            <w:r/>
            <w:r>
              <w:rPr>
                <w:rFonts w:ascii="Segoe UI" w:hAnsi="Segoe UI"/>
                <w:b/>
                <w:color w:val="FFFFFF"/>
                <w:sz w:val="17"/>
              </w:rPr>
              <w:t>Median deal</w:t>
            </w:r>
          </w:p>
        </w:tc>
      </w:tr>
      <w:tr>
        <w:tc>
          <w:tcPr>
            <w:tcW w:type="dxa" w:w="1872"/>
          </w:tcPr>
          <w:p>
            <w:r/>
            <w:r>
              <w:rPr>
                <w:rFonts w:ascii="Segoe UI" w:hAnsi="Segoe UI"/>
                <w:sz w:val="18"/>
              </w:rPr>
              <w:t>Europe</w:t>
            </w:r>
          </w:p>
        </w:tc>
        <w:tc>
          <w:tcPr>
            <w:tcW w:type="dxa" w:w="1872"/>
          </w:tcPr>
          <w:p>
            <w:pPr>
              <w:jc w:val="right"/>
            </w:pPr>
            <w:r/>
            <w:r>
              <w:rPr>
                <w:rFonts w:ascii="Segoe UI" w:hAnsi="Segoe UI"/>
                <w:sz w:val="18"/>
              </w:rPr>
              <w:t>674</w:t>
            </w:r>
          </w:p>
        </w:tc>
        <w:tc>
          <w:tcPr>
            <w:tcW w:type="dxa" w:w="1872"/>
          </w:tcPr>
          <w:p>
            <w:pPr>
              <w:jc w:val="right"/>
            </w:pPr>
            <w:r/>
            <w:r>
              <w:rPr>
                <w:rFonts w:ascii="Segoe UI" w:hAnsi="Segoe UI"/>
                <w:sz w:val="18"/>
              </w:rPr>
              <w:t>91.2%</w:t>
            </w:r>
          </w:p>
        </w:tc>
        <w:tc>
          <w:tcPr>
            <w:tcW w:type="dxa" w:w="1872"/>
          </w:tcPr>
          <w:p>
            <w:pPr>
              <w:jc w:val="right"/>
            </w:pPr>
            <w:r/>
            <w:r>
              <w:rPr>
                <w:rFonts w:ascii="Segoe UI" w:hAnsi="Segoe UI"/>
                <w:sz w:val="18"/>
              </w:rPr>
              <w:t>$242.4bn</w:t>
            </w:r>
          </w:p>
        </w:tc>
        <w:tc>
          <w:tcPr>
            <w:tcW w:type="dxa" w:w="1872"/>
          </w:tcPr>
          <w:p>
            <w:pPr>
              <w:jc w:val="right"/>
            </w:pPr>
            <w:r/>
            <w:r>
              <w:rPr>
                <w:rFonts w:ascii="Segoe UI" w:hAnsi="Segoe UI"/>
                <w:sz w:val="18"/>
              </w:rPr>
              <w:t>$290m</w:t>
            </w:r>
          </w:p>
        </w:tc>
      </w:tr>
      <w:tr>
        <w:tc>
          <w:tcPr>
            <w:tcW w:type="dxa" w:w="1872"/>
          </w:tcPr>
          <w:p>
            <w:r/>
            <w:r>
              <w:rPr>
                <w:rFonts w:ascii="Segoe UI" w:hAnsi="Segoe UI"/>
                <w:sz w:val="18"/>
              </w:rPr>
              <w:t>Africa</w:t>
            </w:r>
          </w:p>
        </w:tc>
        <w:tc>
          <w:tcPr>
            <w:tcW w:type="dxa" w:w="1872"/>
          </w:tcPr>
          <w:p>
            <w:pPr>
              <w:jc w:val="right"/>
            </w:pPr>
            <w:r/>
            <w:r>
              <w:rPr>
                <w:rFonts w:ascii="Segoe UI" w:hAnsi="Segoe UI"/>
                <w:sz w:val="18"/>
              </w:rPr>
              <w:t>40</w:t>
            </w:r>
          </w:p>
        </w:tc>
        <w:tc>
          <w:tcPr>
            <w:tcW w:type="dxa" w:w="1872"/>
          </w:tcPr>
          <w:p>
            <w:pPr>
              <w:jc w:val="right"/>
            </w:pPr>
            <w:r/>
            <w:r>
              <w:rPr>
                <w:rFonts w:ascii="Segoe UI" w:hAnsi="Segoe UI"/>
                <w:sz w:val="18"/>
              </w:rPr>
              <w:t>5.4%</w:t>
            </w:r>
          </w:p>
        </w:tc>
        <w:tc>
          <w:tcPr>
            <w:tcW w:type="dxa" w:w="1872"/>
          </w:tcPr>
          <w:p>
            <w:pPr>
              <w:jc w:val="right"/>
            </w:pPr>
            <w:r/>
            <w:r>
              <w:rPr>
                <w:rFonts w:ascii="Segoe UI" w:hAnsi="Segoe UI"/>
                <w:sz w:val="18"/>
              </w:rPr>
              <w:t>$5.3bn</w:t>
            </w:r>
          </w:p>
        </w:tc>
        <w:tc>
          <w:tcPr>
            <w:tcW w:type="dxa" w:w="1872"/>
          </w:tcPr>
          <w:p>
            <w:pPr>
              <w:jc w:val="right"/>
            </w:pPr>
            <w:r/>
            <w:r>
              <w:rPr>
                <w:rFonts w:ascii="Segoe UI" w:hAnsi="Segoe UI"/>
                <w:sz w:val="18"/>
              </w:rPr>
              <w:t>$68m</w:t>
            </w:r>
          </w:p>
        </w:tc>
      </w:tr>
      <w:tr>
        <w:tc>
          <w:tcPr>
            <w:tcW w:type="dxa" w:w="1872"/>
          </w:tcPr>
          <w:p>
            <w:r/>
            <w:r>
              <w:rPr>
                <w:rFonts w:ascii="Segoe UI" w:hAnsi="Segoe UI"/>
                <w:sz w:val="18"/>
              </w:rPr>
              <w:t>Middle East</w:t>
            </w:r>
          </w:p>
        </w:tc>
        <w:tc>
          <w:tcPr>
            <w:tcW w:type="dxa" w:w="1872"/>
          </w:tcPr>
          <w:p>
            <w:pPr>
              <w:jc w:val="right"/>
            </w:pPr>
            <w:r/>
            <w:r>
              <w:rPr>
                <w:rFonts w:ascii="Segoe UI" w:hAnsi="Segoe UI"/>
                <w:sz w:val="18"/>
              </w:rPr>
              <w:t>25</w:t>
            </w:r>
          </w:p>
        </w:tc>
        <w:tc>
          <w:tcPr>
            <w:tcW w:type="dxa" w:w="1872"/>
          </w:tcPr>
          <w:p>
            <w:pPr>
              <w:jc w:val="right"/>
            </w:pPr>
            <w:r/>
            <w:r>
              <w:rPr>
                <w:rFonts w:ascii="Segoe UI" w:hAnsi="Segoe UI"/>
                <w:sz w:val="18"/>
              </w:rPr>
              <w:t>3.4%</w:t>
            </w:r>
          </w:p>
        </w:tc>
        <w:tc>
          <w:tcPr>
            <w:tcW w:type="dxa" w:w="1872"/>
          </w:tcPr>
          <w:p>
            <w:pPr>
              <w:jc w:val="right"/>
            </w:pPr>
            <w:r/>
            <w:r>
              <w:rPr>
                <w:rFonts w:ascii="Segoe UI" w:hAnsi="Segoe UI"/>
                <w:sz w:val="18"/>
              </w:rPr>
              <w:t>$8.2bn</w:t>
            </w:r>
          </w:p>
        </w:tc>
        <w:tc>
          <w:tcPr>
            <w:tcW w:type="dxa" w:w="1872"/>
          </w:tcPr>
          <w:p>
            <w:pPr>
              <w:jc w:val="right"/>
            </w:pPr>
            <w:r/>
            <w:r>
              <w:rPr>
                <w:rFonts w:ascii="Segoe UI" w:hAnsi="Segoe UI"/>
                <w:sz w:val="18"/>
              </w:rPr>
              <w:t>$310m</w:t>
            </w:r>
          </w:p>
        </w:tc>
      </w:tr>
    </w:tbl>
    <w:p/>
    <w:p>
      <w:r>
        <w:t>And by country:</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0D1B2A"/>
          </w:tcPr>
          <w:p>
            <w:r/>
            <w:r>
              <w:rPr>
                <w:rFonts w:ascii="Segoe UI" w:hAnsi="Segoe UI"/>
                <w:b/>
                <w:color w:val="FFFFFF"/>
                <w:sz w:val="17"/>
              </w:rPr>
              <w:t>Country</w:t>
            </w:r>
          </w:p>
        </w:tc>
        <w:tc>
          <w:tcPr>
            <w:tcW w:type="dxa" w:w="3120"/>
            <w:shd w:val="clear" w:fill="0D1B2A"/>
          </w:tcPr>
          <w:p>
            <w:r/>
            <w:r>
              <w:rPr>
                <w:rFonts w:ascii="Segoe UI" w:hAnsi="Segoe UI"/>
                <w:b/>
                <w:color w:val="FFFFFF"/>
                <w:sz w:val="17"/>
              </w:rPr>
              <w:t>Deals</w:t>
            </w:r>
          </w:p>
        </w:tc>
        <w:tc>
          <w:tcPr>
            <w:tcW w:type="dxa" w:w="3120"/>
            <w:shd w:val="clear" w:fill="0D1B2A"/>
          </w:tcPr>
          <w:p>
            <w:r/>
            <w:r>
              <w:rPr>
                <w:rFonts w:ascii="Segoe UI" w:hAnsi="Segoe UI"/>
                <w:b/>
                <w:color w:val="FFFFFF"/>
                <w:sz w:val="17"/>
              </w:rPr>
              <w:t>Disclosed value</w:t>
            </w:r>
          </w:p>
        </w:tc>
      </w:tr>
      <w:tr>
        <w:tc>
          <w:tcPr>
            <w:tcW w:type="dxa" w:w="3120"/>
          </w:tcPr>
          <w:p>
            <w:r/>
            <w:r>
              <w:rPr>
                <w:rFonts w:ascii="Segoe UI" w:hAnsi="Segoe UI"/>
                <w:sz w:val="18"/>
              </w:rPr>
              <w:t>United Kingdom</w:t>
            </w:r>
          </w:p>
        </w:tc>
        <w:tc>
          <w:tcPr>
            <w:tcW w:type="dxa" w:w="3120"/>
          </w:tcPr>
          <w:p>
            <w:pPr>
              <w:jc w:val="right"/>
            </w:pPr>
            <w:r/>
            <w:r>
              <w:rPr>
                <w:rFonts w:ascii="Segoe UI" w:hAnsi="Segoe UI"/>
                <w:sz w:val="18"/>
              </w:rPr>
              <w:t>157</w:t>
            </w:r>
          </w:p>
        </w:tc>
        <w:tc>
          <w:tcPr>
            <w:tcW w:type="dxa" w:w="3120"/>
          </w:tcPr>
          <w:p>
            <w:pPr>
              <w:jc w:val="right"/>
            </w:pPr>
            <w:r/>
            <w:r>
              <w:rPr>
                <w:rFonts w:ascii="Segoe UI" w:hAnsi="Segoe UI"/>
                <w:sz w:val="18"/>
              </w:rPr>
              <w:t>$65.8bn</w:t>
            </w:r>
          </w:p>
        </w:tc>
      </w:tr>
      <w:tr>
        <w:tc>
          <w:tcPr>
            <w:tcW w:type="dxa" w:w="3120"/>
          </w:tcPr>
          <w:p>
            <w:r/>
            <w:r>
              <w:rPr>
                <w:rFonts w:ascii="Segoe UI" w:hAnsi="Segoe UI"/>
                <w:sz w:val="18"/>
              </w:rPr>
              <w:t>Germany</w:t>
            </w:r>
          </w:p>
        </w:tc>
        <w:tc>
          <w:tcPr>
            <w:tcW w:type="dxa" w:w="3120"/>
          </w:tcPr>
          <w:p>
            <w:pPr>
              <w:jc w:val="right"/>
            </w:pPr>
            <w:r/>
            <w:r>
              <w:rPr>
                <w:rFonts w:ascii="Segoe UI" w:hAnsi="Segoe UI"/>
                <w:sz w:val="18"/>
              </w:rPr>
              <w:t>136</w:t>
            </w:r>
          </w:p>
        </w:tc>
        <w:tc>
          <w:tcPr>
            <w:tcW w:type="dxa" w:w="3120"/>
          </w:tcPr>
          <w:p>
            <w:pPr>
              <w:jc w:val="right"/>
            </w:pPr>
            <w:r/>
            <w:r>
              <w:rPr>
                <w:rFonts w:ascii="Segoe UI" w:hAnsi="Segoe UI"/>
                <w:sz w:val="18"/>
              </w:rPr>
              <w:t>$54.3bn</w:t>
            </w:r>
          </w:p>
        </w:tc>
      </w:tr>
      <w:tr>
        <w:tc>
          <w:tcPr>
            <w:tcW w:type="dxa" w:w="3120"/>
          </w:tcPr>
          <w:p>
            <w:r/>
            <w:r>
              <w:rPr>
                <w:rFonts w:ascii="Segoe UI" w:hAnsi="Segoe UI"/>
                <w:sz w:val="18"/>
              </w:rPr>
              <w:t>Spain</w:t>
            </w:r>
          </w:p>
        </w:tc>
        <w:tc>
          <w:tcPr>
            <w:tcW w:type="dxa" w:w="3120"/>
          </w:tcPr>
          <w:p>
            <w:pPr>
              <w:jc w:val="right"/>
            </w:pPr>
            <w:r/>
            <w:r>
              <w:rPr>
                <w:rFonts w:ascii="Segoe UI" w:hAnsi="Segoe UI"/>
                <w:sz w:val="18"/>
              </w:rPr>
              <w:t>63</w:t>
            </w:r>
          </w:p>
        </w:tc>
        <w:tc>
          <w:tcPr>
            <w:tcW w:type="dxa" w:w="3120"/>
          </w:tcPr>
          <w:p>
            <w:pPr>
              <w:jc w:val="right"/>
            </w:pPr>
            <w:r/>
            <w:r>
              <w:rPr>
                <w:rFonts w:ascii="Segoe UI" w:hAnsi="Segoe UI"/>
                <w:sz w:val="18"/>
              </w:rPr>
              <w:t>$5.7bn</w:t>
            </w:r>
          </w:p>
        </w:tc>
      </w:tr>
      <w:tr>
        <w:tc>
          <w:tcPr>
            <w:tcW w:type="dxa" w:w="3120"/>
          </w:tcPr>
          <w:p>
            <w:r/>
            <w:r>
              <w:rPr>
                <w:rFonts w:ascii="Segoe UI" w:hAnsi="Segoe UI"/>
                <w:sz w:val="18"/>
              </w:rPr>
              <w:t>Italy</w:t>
            </w:r>
          </w:p>
        </w:tc>
        <w:tc>
          <w:tcPr>
            <w:tcW w:type="dxa" w:w="3120"/>
          </w:tcPr>
          <w:p>
            <w:pPr>
              <w:jc w:val="right"/>
            </w:pPr>
            <w:r/>
            <w:r>
              <w:rPr>
                <w:rFonts w:ascii="Segoe UI" w:hAnsi="Segoe UI"/>
                <w:sz w:val="18"/>
              </w:rPr>
              <w:t>52</w:t>
            </w:r>
          </w:p>
        </w:tc>
        <w:tc>
          <w:tcPr>
            <w:tcW w:type="dxa" w:w="3120"/>
          </w:tcPr>
          <w:p>
            <w:pPr>
              <w:jc w:val="right"/>
            </w:pPr>
            <w:r/>
            <w:r>
              <w:rPr>
                <w:rFonts w:ascii="Segoe UI" w:hAnsi="Segoe UI"/>
                <w:sz w:val="18"/>
              </w:rPr>
              <w:t>$42.4bn</w:t>
            </w:r>
          </w:p>
        </w:tc>
      </w:tr>
      <w:tr>
        <w:tc>
          <w:tcPr>
            <w:tcW w:type="dxa" w:w="3120"/>
          </w:tcPr>
          <w:p>
            <w:r/>
            <w:r>
              <w:rPr>
                <w:rFonts w:ascii="Segoe UI" w:hAnsi="Segoe UI"/>
                <w:sz w:val="18"/>
              </w:rPr>
              <w:t>France</w:t>
            </w:r>
          </w:p>
        </w:tc>
        <w:tc>
          <w:tcPr>
            <w:tcW w:type="dxa" w:w="3120"/>
          </w:tcPr>
          <w:p>
            <w:pPr>
              <w:jc w:val="right"/>
            </w:pPr>
            <w:r/>
            <w:r>
              <w:rPr>
                <w:rFonts w:ascii="Segoe UI" w:hAnsi="Segoe UI"/>
                <w:sz w:val="18"/>
              </w:rPr>
              <w:t>39</w:t>
            </w:r>
          </w:p>
        </w:tc>
        <w:tc>
          <w:tcPr>
            <w:tcW w:type="dxa" w:w="3120"/>
          </w:tcPr>
          <w:p>
            <w:pPr>
              <w:jc w:val="right"/>
            </w:pPr>
            <w:r/>
            <w:r>
              <w:rPr>
                <w:rFonts w:ascii="Segoe UI" w:hAnsi="Segoe UI"/>
                <w:sz w:val="18"/>
              </w:rPr>
              <w:t>$7.7bn</w:t>
            </w:r>
          </w:p>
        </w:tc>
      </w:tr>
      <w:tr>
        <w:tc>
          <w:tcPr>
            <w:tcW w:type="dxa" w:w="3120"/>
          </w:tcPr>
          <w:p>
            <w:r/>
            <w:r>
              <w:rPr>
                <w:rFonts w:ascii="Segoe UI" w:hAnsi="Segoe UI"/>
                <w:sz w:val="18"/>
              </w:rPr>
              <w:t>Netherlands</w:t>
            </w:r>
          </w:p>
        </w:tc>
        <w:tc>
          <w:tcPr>
            <w:tcW w:type="dxa" w:w="3120"/>
          </w:tcPr>
          <w:p>
            <w:pPr>
              <w:jc w:val="right"/>
            </w:pPr>
            <w:r/>
            <w:r>
              <w:rPr>
                <w:rFonts w:ascii="Segoe UI" w:hAnsi="Segoe UI"/>
                <w:sz w:val="18"/>
              </w:rPr>
              <w:t>29</w:t>
            </w:r>
          </w:p>
        </w:tc>
        <w:tc>
          <w:tcPr>
            <w:tcW w:type="dxa" w:w="3120"/>
          </w:tcPr>
          <w:p>
            <w:pPr>
              <w:jc w:val="right"/>
            </w:pPr>
            <w:r/>
            <w:r>
              <w:rPr>
                <w:rFonts w:ascii="Segoe UI" w:hAnsi="Segoe UI"/>
                <w:sz w:val="18"/>
              </w:rPr>
              <w:t>$0.7bn</w:t>
            </w:r>
          </w:p>
        </w:tc>
      </w:tr>
      <w:tr>
        <w:tc>
          <w:tcPr>
            <w:tcW w:type="dxa" w:w="3120"/>
          </w:tcPr>
          <w:p>
            <w:r/>
            <w:r>
              <w:rPr>
                <w:rFonts w:ascii="Segoe UI" w:hAnsi="Segoe UI"/>
                <w:sz w:val="18"/>
              </w:rPr>
              <w:t>Sweden</w:t>
            </w:r>
          </w:p>
        </w:tc>
        <w:tc>
          <w:tcPr>
            <w:tcW w:type="dxa" w:w="3120"/>
          </w:tcPr>
          <w:p>
            <w:pPr>
              <w:jc w:val="right"/>
            </w:pPr>
            <w:r/>
            <w:r>
              <w:rPr>
                <w:rFonts w:ascii="Segoe UI" w:hAnsi="Segoe UI"/>
                <w:sz w:val="18"/>
              </w:rPr>
              <w:t>29</w:t>
            </w:r>
          </w:p>
        </w:tc>
        <w:tc>
          <w:tcPr>
            <w:tcW w:type="dxa" w:w="3120"/>
          </w:tcPr>
          <w:p>
            <w:pPr>
              <w:jc w:val="right"/>
            </w:pPr>
            <w:r/>
            <w:r>
              <w:rPr>
                <w:rFonts w:ascii="Segoe UI" w:hAnsi="Segoe UI"/>
                <w:sz w:val="18"/>
              </w:rPr>
              <w:t>$19.7bn</w:t>
            </w:r>
          </w:p>
        </w:tc>
      </w:tr>
      <w:tr>
        <w:tc>
          <w:tcPr>
            <w:tcW w:type="dxa" w:w="3120"/>
          </w:tcPr>
          <w:p>
            <w:r/>
            <w:r>
              <w:rPr>
                <w:rFonts w:ascii="Segoe UI" w:hAnsi="Segoe UI"/>
                <w:sz w:val="18"/>
              </w:rPr>
              <w:t>Norway</w:t>
            </w:r>
          </w:p>
        </w:tc>
        <w:tc>
          <w:tcPr>
            <w:tcW w:type="dxa" w:w="3120"/>
          </w:tcPr>
          <w:p>
            <w:pPr>
              <w:jc w:val="right"/>
            </w:pPr>
            <w:r/>
            <w:r>
              <w:rPr>
                <w:rFonts w:ascii="Segoe UI" w:hAnsi="Segoe UI"/>
                <w:sz w:val="18"/>
              </w:rPr>
              <w:t>20</w:t>
            </w:r>
          </w:p>
        </w:tc>
        <w:tc>
          <w:tcPr>
            <w:tcW w:type="dxa" w:w="3120"/>
          </w:tcPr>
          <w:p>
            <w:pPr>
              <w:jc w:val="right"/>
            </w:pPr>
            <w:r/>
            <w:r>
              <w:rPr>
                <w:rFonts w:ascii="Segoe UI" w:hAnsi="Segoe UI"/>
                <w:sz w:val="18"/>
              </w:rPr>
              <w:t>$7.0bn</w:t>
            </w:r>
          </w:p>
        </w:tc>
      </w:tr>
      <w:tr>
        <w:tc>
          <w:tcPr>
            <w:tcW w:type="dxa" w:w="3120"/>
          </w:tcPr>
          <w:p>
            <w:r/>
            <w:r>
              <w:rPr>
                <w:rFonts w:ascii="Segoe UI" w:hAnsi="Segoe UI"/>
                <w:sz w:val="18"/>
              </w:rPr>
              <w:t>Finland</w:t>
            </w:r>
          </w:p>
        </w:tc>
        <w:tc>
          <w:tcPr>
            <w:tcW w:type="dxa" w:w="3120"/>
          </w:tcPr>
          <w:p>
            <w:pPr>
              <w:jc w:val="right"/>
            </w:pPr>
            <w:r/>
            <w:r>
              <w:rPr>
                <w:rFonts w:ascii="Segoe UI" w:hAnsi="Segoe UI"/>
                <w:sz w:val="18"/>
              </w:rPr>
              <w:t>19</w:t>
            </w:r>
          </w:p>
        </w:tc>
        <w:tc>
          <w:tcPr>
            <w:tcW w:type="dxa" w:w="3120"/>
          </w:tcPr>
          <w:p>
            <w:pPr>
              <w:jc w:val="right"/>
            </w:pPr>
            <w:r/>
            <w:r>
              <w:rPr>
                <w:rFonts w:ascii="Segoe UI" w:hAnsi="Segoe UI"/>
                <w:sz w:val="18"/>
              </w:rPr>
              <w:t>$3.8bn</w:t>
            </w:r>
          </w:p>
        </w:tc>
      </w:tr>
      <w:tr>
        <w:tc>
          <w:tcPr>
            <w:tcW w:type="dxa" w:w="3120"/>
          </w:tcPr>
          <w:p>
            <w:r/>
            <w:r>
              <w:rPr>
                <w:rFonts w:ascii="Segoe UI" w:hAnsi="Segoe UI"/>
                <w:sz w:val="18"/>
              </w:rPr>
              <w:t>Denmark</w:t>
            </w:r>
          </w:p>
        </w:tc>
        <w:tc>
          <w:tcPr>
            <w:tcW w:type="dxa" w:w="3120"/>
          </w:tcPr>
          <w:p>
            <w:pPr>
              <w:jc w:val="right"/>
            </w:pPr>
            <w:r/>
            <w:r>
              <w:rPr>
                <w:rFonts w:ascii="Segoe UI" w:hAnsi="Segoe UI"/>
                <w:sz w:val="18"/>
              </w:rPr>
              <w:t>19</w:t>
            </w:r>
          </w:p>
        </w:tc>
        <w:tc>
          <w:tcPr>
            <w:tcW w:type="dxa" w:w="3120"/>
          </w:tcPr>
          <w:p>
            <w:pPr>
              <w:jc w:val="right"/>
            </w:pPr>
            <w:r/>
            <w:r>
              <w:rPr>
                <w:rFonts w:ascii="Segoe UI" w:hAnsi="Segoe UI"/>
                <w:sz w:val="18"/>
              </w:rPr>
              <w:t>$0.5bn</w:t>
            </w:r>
          </w:p>
        </w:tc>
      </w:tr>
      <w:tr>
        <w:tc>
          <w:tcPr>
            <w:tcW w:type="dxa" w:w="3120"/>
          </w:tcPr>
          <w:p>
            <w:r/>
            <w:r>
              <w:rPr>
                <w:rFonts w:ascii="Segoe UI" w:hAnsi="Segoe UI"/>
                <w:sz w:val="18"/>
              </w:rPr>
              <w:t>Switzerland</w:t>
            </w:r>
          </w:p>
        </w:tc>
        <w:tc>
          <w:tcPr>
            <w:tcW w:type="dxa" w:w="3120"/>
          </w:tcPr>
          <w:p>
            <w:pPr>
              <w:jc w:val="right"/>
            </w:pPr>
            <w:r/>
            <w:r>
              <w:rPr>
                <w:rFonts w:ascii="Segoe UI" w:hAnsi="Segoe UI"/>
                <w:sz w:val="18"/>
              </w:rPr>
              <w:t>18</w:t>
            </w:r>
          </w:p>
        </w:tc>
        <w:tc>
          <w:tcPr>
            <w:tcW w:type="dxa" w:w="3120"/>
          </w:tcPr>
          <w:p>
            <w:pPr>
              <w:jc w:val="right"/>
            </w:pPr>
            <w:r/>
            <w:r>
              <w:rPr>
                <w:rFonts w:ascii="Segoe UI" w:hAnsi="Segoe UI"/>
                <w:sz w:val="18"/>
              </w:rPr>
              <w:t>$11.0bn</w:t>
            </w:r>
          </w:p>
        </w:tc>
      </w:tr>
      <w:tr>
        <w:tc>
          <w:tcPr>
            <w:tcW w:type="dxa" w:w="3120"/>
          </w:tcPr>
          <w:p>
            <w:r/>
            <w:r>
              <w:rPr>
                <w:rFonts w:ascii="Segoe UI" w:hAnsi="Segoe UI"/>
                <w:sz w:val="18"/>
              </w:rPr>
              <w:t>South Africa</w:t>
            </w:r>
          </w:p>
        </w:tc>
        <w:tc>
          <w:tcPr>
            <w:tcW w:type="dxa" w:w="3120"/>
          </w:tcPr>
          <w:p>
            <w:pPr>
              <w:jc w:val="right"/>
            </w:pPr>
            <w:r/>
            <w:r>
              <w:rPr>
                <w:rFonts w:ascii="Segoe UI" w:hAnsi="Segoe UI"/>
                <w:sz w:val="18"/>
              </w:rPr>
              <w:t>15</w:t>
            </w:r>
          </w:p>
        </w:tc>
        <w:tc>
          <w:tcPr>
            <w:tcW w:type="dxa" w:w="3120"/>
          </w:tcPr>
          <w:p>
            <w:pPr>
              <w:jc w:val="right"/>
            </w:pPr>
            <w:r/>
            <w:r>
              <w:rPr>
                <w:rFonts w:ascii="Segoe UI" w:hAnsi="Segoe UI"/>
                <w:sz w:val="18"/>
              </w:rPr>
              <w:t>$4.2bn</w:t>
            </w:r>
          </w:p>
        </w:tc>
      </w:tr>
    </w:tbl>
    <w:p/>
    <w:p>
      <w:r>
        <w:t>The UK and Germany together account for 40% of transactions. Italy is the outlier worth noting: 52 deals but $42.4bn of disclosed value, driven by a small number of very large transactions rather than by depth.</w:t>
      </w:r>
    </w:p>
    <w:p>
      <w:pPr>
        <w:spacing w:before="200"/>
      </w:pPr>
      <w:r>
        <w:rPr>
          <w:rFonts w:ascii="Georgia" w:hAnsi="Georgia"/>
          <w:i/>
          <w:color w:val="55637A"/>
          <w:sz w:val="26"/>
        </w:rPr>
        <w:t>What is being hired for, and where</w:t>
      </w:r>
    </w:p>
    <w:p>
      <w:r>
        <w:t>Overlaying the 982 geolocated role advertisements on the same countries changes the picture completely.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fill="0D1B2A"/>
          </w:tcPr>
          <w:p>
            <w:r/>
            <w:r>
              <w:rPr>
                <w:rFonts w:ascii="Segoe UI" w:hAnsi="Segoe UI"/>
                <w:b/>
                <w:color w:val="FFFFFF"/>
                <w:sz w:val="17"/>
              </w:rPr>
              <w:t>Country</w:t>
            </w:r>
          </w:p>
        </w:tc>
        <w:tc>
          <w:tcPr>
            <w:tcW w:type="dxa" w:w="1560"/>
            <w:shd w:val="clear" w:fill="0D1B2A"/>
          </w:tcPr>
          <w:p>
            <w:r/>
            <w:r>
              <w:rPr>
                <w:rFonts w:ascii="Segoe UI" w:hAnsi="Segoe UI"/>
                <w:b/>
                <w:color w:val="FFFFFF"/>
                <w:sz w:val="17"/>
              </w:rPr>
              <w:t>Deals</w:t>
            </w:r>
          </w:p>
        </w:tc>
        <w:tc>
          <w:tcPr>
            <w:tcW w:type="dxa" w:w="1560"/>
            <w:shd w:val="clear" w:fill="0D1B2A"/>
          </w:tcPr>
          <w:p>
            <w:r/>
            <w:r>
              <w:rPr>
                <w:rFonts w:ascii="Segoe UI" w:hAnsi="Segoe UI"/>
                <w:b/>
                <w:color w:val="FFFFFF"/>
                <w:sz w:val="17"/>
              </w:rPr>
              <w:t>Role ads</w:t>
            </w:r>
          </w:p>
        </w:tc>
        <w:tc>
          <w:tcPr>
            <w:tcW w:type="dxa" w:w="1560"/>
            <w:shd w:val="clear" w:fill="0D1B2A"/>
          </w:tcPr>
          <w:p>
            <w:r/>
            <w:r>
              <w:rPr>
                <w:rFonts w:ascii="Segoe UI" w:hAnsi="Segoe UI"/>
                <w:b/>
                <w:color w:val="FFFFFF"/>
                <w:sz w:val="17"/>
              </w:rPr>
              <w:t>Ads per deal</w:t>
            </w:r>
          </w:p>
        </w:tc>
        <w:tc>
          <w:tcPr>
            <w:tcW w:type="dxa" w:w="1560"/>
            <w:shd w:val="clear" w:fill="0D1B2A"/>
          </w:tcPr>
          <w:p>
            <w:r/>
            <w:r>
              <w:rPr>
                <w:rFonts w:ascii="Segoe UI" w:hAnsi="Segoe UI"/>
                <w:b/>
                <w:color w:val="FFFFFF"/>
                <w:sz w:val="17"/>
              </w:rPr>
              <w:t>PMI share of ads</w:t>
            </w:r>
          </w:p>
        </w:tc>
        <w:tc>
          <w:tcPr>
            <w:tcW w:type="dxa" w:w="1560"/>
            <w:shd w:val="clear" w:fill="0D1B2A"/>
          </w:tcPr>
          <w:p>
            <w:r/>
            <w:r>
              <w:rPr>
                <w:rFonts w:ascii="Segoe UI" w:hAnsi="Segoe UI"/>
                <w:b/>
                <w:color w:val="FFFFFF"/>
                <w:sz w:val="17"/>
              </w:rPr>
              <w:t>Transformation share</w:t>
            </w:r>
          </w:p>
        </w:tc>
      </w:tr>
      <w:tr>
        <w:tc>
          <w:tcPr>
            <w:tcW w:type="dxa" w:w="1560"/>
          </w:tcPr>
          <w:p>
            <w:r/>
            <w:r>
              <w:rPr>
                <w:rFonts w:ascii="Segoe UI" w:hAnsi="Segoe UI"/>
                <w:sz w:val="18"/>
              </w:rPr>
              <w:t>Germany</w:t>
            </w:r>
          </w:p>
        </w:tc>
        <w:tc>
          <w:tcPr>
            <w:tcW w:type="dxa" w:w="1560"/>
          </w:tcPr>
          <w:p>
            <w:pPr>
              <w:jc w:val="right"/>
            </w:pPr>
            <w:r/>
            <w:r>
              <w:rPr>
                <w:rFonts w:ascii="Segoe UI" w:hAnsi="Segoe UI"/>
                <w:sz w:val="18"/>
              </w:rPr>
              <w:t>136</w:t>
            </w:r>
          </w:p>
        </w:tc>
        <w:tc>
          <w:tcPr>
            <w:tcW w:type="dxa" w:w="1560"/>
          </w:tcPr>
          <w:p>
            <w:pPr>
              <w:jc w:val="right"/>
            </w:pPr>
            <w:r/>
            <w:r>
              <w:rPr>
                <w:rFonts w:ascii="Segoe UI" w:hAnsi="Segoe UI"/>
                <w:sz w:val="18"/>
              </w:rPr>
              <w:t>375</w:t>
            </w:r>
          </w:p>
        </w:tc>
        <w:tc>
          <w:tcPr>
            <w:tcW w:type="dxa" w:w="1560"/>
          </w:tcPr>
          <w:p>
            <w:pPr>
              <w:jc w:val="right"/>
            </w:pPr>
            <w:r/>
            <w:r>
              <w:rPr>
                <w:rFonts w:ascii="Segoe UI" w:hAnsi="Segoe UI"/>
                <w:sz w:val="18"/>
              </w:rPr>
              <w:t>2.76</w:t>
            </w:r>
          </w:p>
        </w:tc>
        <w:tc>
          <w:tcPr>
            <w:tcW w:type="dxa" w:w="1560"/>
          </w:tcPr>
          <w:p>
            <w:pPr>
              <w:jc w:val="right"/>
            </w:pPr>
            <w:r/>
            <w:r>
              <w:rPr>
                <w:rFonts w:ascii="Segoe UI" w:hAnsi="Segoe UI"/>
                <w:b/>
                <w:color w:val="9A7B10"/>
                <w:sz w:val="18"/>
              </w:rPr>
              <w:t>79%</w:t>
            </w:r>
          </w:p>
        </w:tc>
        <w:tc>
          <w:tcPr>
            <w:tcW w:type="dxa" w:w="1560"/>
          </w:tcPr>
          <w:p>
            <w:pPr>
              <w:jc w:val="right"/>
            </w:pPr>
            <w:r/>
            <w:r>
              <w:rPr>
                <w:rFonts w:ascii="Segoe UI" w:hAnsi="Segoe UI"/>
                <w:sz w:val="18"/>
              </w:rPr>
              <w:t>10%</w:t>
            </w:r>
          </w:p>
        </w:tc>
      </w:tr>
      <w:tr>
        <w:tc>
          <w:tcPr>
            <w:tcW w:type="dxa" w:w="1560"/>
          </w:tcPr>
          <w:p>
            <w:r/>
            <w:r>
              <w:rPr>
                <w:rFonts w:ascii="Segoe UI" w:hAnsi="Segoe UI"/>
                <w:sz w:val="18"/>
              </w:rPr>
              <w:t>United Kingdom</w:t>
            </w:r>
          </w:p>
        </w:tc>
        <w:tc>
          <w:tcPr>
            <w:tcW w:type="dxa" w:w="1560"/>
          </w:tcPr>
          <w:p>
            <w:pPr>
              <w:jc w:val="right"/>
            </w:pPr>
            <w:r/>
            <w:r>
              <w:rPr>
                <w:rFonts w:ascii="Segoe UI" w:hAnsi="Segoe UI"/>
                <w:sz w:val="18"/>
              </w:rPr>
              <w:t>157</w:t>
            </w:r>
          </w:p>
        </w:tc>
        <w:tc>
          <w:tcPr>
            <w:tcW w:type="dxa" w:w="1560"/>
          </w:tcPr>
          <w:p>
            <w:pPr>
              <w:jc w:val="right"/>
            </w:pPr>
            <w:r/>
            <w:r>
              <w:rPr>
                <w:rFonts w:ascii="Segoe UI" w:hAnsi="Segoe UI"/>
                <w:sz w:val="18"/>
              </w:rPr>
              <w:t>227</w:t>
            </w:r>
          </w:p>
        </w:tc>
        <w:tc>
          <w:tcPr>
            <w:tcW w:type="dxa" w:w="1560"/>
          </w:tcPr>
          <w:p>
            <w:pPr>
              <w:jc w:val="right"/>
            </w:pPr>
            <w:r/>
            <w:r>
              <w:rPr>
                <w:rFonts w:ascii="Segoe UI" w:hAnsi="Segoe UI"/>
                <w:sz w:val="18"/>
              </w:rPr>
              <w:t>1.45</w:t>
            </w:r>
          </w:p>
        </w:tc>
        <w:tc>
          <w:tcPr>
            <w:tcW w:type="dxa" w:w="1560"/>
          </w:tcPr>
          <w:p>
            <w:pPr>
              <w:jc w:val="right"/>
            </w:pPr>
            <w:r/>
            <w:r>
              <w:rPr>
                <w:rFonts w:ascii="Segoe UI" w:hAnsi="Segoe UI"/>
                <w:sz w:val="18"/>
              </w:rPr>
              <w:t>19%</w:t>
            </w:r>
          </w:p>
        </w:tc>
        <w:tc>
          <w:tcPr>
            <w:tcW w:type="dxa" w:w="1560"/>
          </w:tcPr>
          <w:p>
            <w:pPr>
              <w:jc w:val="right"/>
            </w:pPr>
            <w:r/>
            <w:r>
              <w:rPr>
                <w:rFonts w:ascii="Segoe UI" w:hAnsi="Segoe UI"/>
                <w:b/>
                <w:color w:val="9A7B10"/>
                <w:sz w:val="18"/>
              </w:rPr>
              <w:t>70%</w:t>
            </w:r>
          </w:p>
        </w:tc>
      </w:tr>
      <w:tr>
        <w:tc>
          <w:tcPr>
            <w:tcW w:type="dxa" w:w="1560"/>
          </w:tcPr>
          <w:p>
            <w:r/>
            <w:r>
              <w:rPr>
                <w:rFonts w:ascii="Segoe UI" w:hAnsi="Segoe UI"/>
                <w:sz w:val="18"/>
              </w:rPr>
              <w:t>Spain</w:t>
            </w:r>
          </w:p>
        </w:tc>
        <w:tc>
          <w:tcPr>
            <w:tcW w:type="dxa" w:w="1560"/>
          </w:tcPr>
          <w:p>
            <w:pPr>
              <w:jc w:val="right"/>
            </w:pPr>
            <w:r/>
            <w:r>
              <w:rPr>
                <w:rFonts w:ascii="Segoe UI" w:hAnsi="Segoe UI"/>
                <w:sz w:val="18"/>
              </w:rPr>
              <w:t>63</w:t>
            </w:r>
          </w:p>
        </w:tc>
        <w:tc>
          <w:tcPr>
            <w:tcW w:type="dxa" w:w="1560"/>
          </w:tcPr>
          <w:p>
            <w:pPr>
              <w:jc w:val="right"/>
            </w:pPr>
            <w:r/>
            <w:r>
              <w:rPr>
                <w:rFonts w:ascii="Segoe UI" w:hAnsi="Segoe UI"/>
                <w:sz w:val="18"/>
              </w:rPr>
              <w:t>89</w:t>
            </w:r>
          </w:p>
        </w:tc>
        <w:tc>
          <w:tcPr>
            <w:tcW w:type="dxa" w:w="1560"/>
          </w:tcPr>
          <w:p>
            <w:pPr>
              <w:jc w:val="right"/>
            </w:pPr>
            <w:r/>
            <w:r>
              <w:rPr>
                <w:rFonts w:ascii="Segoe UI" w:hAnsi="Segoe UI"/>
                <w:sz w:val="18"/>
              </w:rPr>
              <w:t>1.41</w:t>
            </w:r>
          </w:p>
        </w:tc>
        <w:tc>
          <w:tcPr>
            <w:tcW w:type="dxa" w:w="1560"/>
          </w:tcPr>
          <w:p>
            <w:pPr>
              <w:jc w:val="right"/>
            </w:pPr>
            <w:r/>
            <w:r>
              <w:rPr>
                <w:rFonts w:ascii="Segoe UI" w:hAnsi="Segoe UI"/>
                <w:sz w:val="18"/>
              </w:rPr>
              <w:t>48%</w:t>
            </w:r>
          </w:p>
        </w:tc>
        <w:tc>
          <w:tcPr>
            <w:tcW w:type="dxa" w:w="1560"/>
          </w:tcPr>
          <w:p>
            <w:pPr>
              <w:jc w:val="right"/>
            </w:pPr>
            <w:r/>
            <w:r>
              <w:rPr>
                <w:rFonts w:ascii="Segoe UI" w:hAnsi="Segoe UI"/>
                <w:sz w:val="18"/>
              </w:rPr>
              <w:t>44%</w:t>
            </w:r>
          </w:p>
        </w:tc>
      </w:tr>
      <w:tr>
        <w:tc>
          <w:tcPr>
            <w:tcW w:type="dxa" w:w="1560"/>
          </w:tcPr>
          <w:p>
            <w:r/>
            <w:r>
              <w:rPr>
                <w:rFonts w:ascii="Segoe UI" w:hAnsi="Segoe UI"/>
                <w:sz w:val="18"/>
              </w:rPr>
              <w:t>Italy</w:t>
            </w:r>
          </w:p>
        </w:tc>
        <w:tc>
          <w:tcPr>
            <w:tcW w:type="dxa" w:w="1560"/>
          </w:tcPr>
          <w:p>
            <w:pPr>
              <w:jc w:val="right"/>
            </w:pPr>
            <w:r/>
            <w:r>
              <w:rPr>
                <w:rFonts w:ascii="Segoe UI" w:hAnsi="Segoe UI"/>
                <w:sz w:val="18"/>
              </w:rPr>
              <w:t>52</w:t>
            </w:r>
          </w:p>
        </w:tc>
        <w:tc>
          <w:tcPr>
            <w:tcW w:type="dxa" w:w="1560"/>
          </w:tcPr>
          <w:p>
            <w:pPr>
              <w:jc w:val="right"/>
            </w:pPr>
            <w:r/>
            <w:r>
              <w:rPr>
                <w:rFonts w:ascii="Segoe UI" w:hAnsi="Segoe UI"/>
                <w:sz w:val="18"/>
              </w:rPr>
              <w:t>66</w:t>
            </w:r>
          </w:p>
        </w:tc>
        <w:tc>
          <w:tcPr>
            <w:tcW w:type="dxa" w:w="1560"/>
          </w:tcPr>
          <w:p>
            <w:pPr>
              <w:jc w:val="right"/>
            </w:pPr>
            <w:r/>
            <w:r>
              <w:rPr>
                <w:rFonts w:ascii="Segoe UI" w:hAnsi="Segoe UI"/>
                <w:sz w:val="18"/>
              </w:rPr>
              <w:t>1.27</w:t>
            </w:r>
          </w:p>
        </w:tc>
        <w:tc>
          <w:tcPr>
            <w:tcW w:type="dxa" w:w="1560"/>
          </w:tcPr>
          <w:p>
            <w:pPr>
              <w:jc w:val="right"/>
            </w:pPr>
            <w:r/>
            <w:r>
              <w:rPr>
                <w:rFonts w:ascii="Segoe UI" w:hAnsi="Segoe UI"/>
                <w:sz w:val="18"/>
              </w:rPr>
              <w:t>30%</w:t>
            </w:r>
          </w:p>
        </w:tc>
        <w:tc>
          <w:tcPr>
            <w:tcW w:type="dxa" w:w="1560"/>
          </w:tcPr>
          <w:p>
            <w:pPr>
              <w:jc w:val="right"/>
            </w:pPr>
            <w:r/>
            <w:r>
              <w:rPr>
                <w:rFonts w:ascii="Segoe UI" w:hAnsi="Segoe UI"/>
                <w:sz w:val="18"/>
              </w:rPr>
              <w:t>55%</w:t>
            </w:r>
          </w:p>
        </w:tc>
      </w:tr>
      <w:tr>
        <w:tc>
          <w:tcPr>
            <w:tcW w:type="dxa" w:w="1560"/>
          </w:tcPr>
          <w:p>
            <w:r/>
            <w:r>
              <w:rPr>
                <w:rFonts w:ascii="Segoe UI" w:hAnsi="Segoe UI"/>
                <w:sz w:val="18"/>
              </w:rPr>
              <w:t>France</w:t>
            </w:r>
          </w:p>
        </w:tc>
        <w:tc>
          <w:tcPr>
            <w:tcW w:type="dxa" w:w="1560"/>
          </w:tcPr>
          <w:p>
            <w:pPr>
              <w:jc w:val="right"/>
            </w:pPr>
            <w:r/>
            <w:r>
              <w:rPr>
                <w:rFonts w:ascii="Segoe UI" w:hAnsi="Segoe UI"/>
                <w:sz w:val="18"/>
              </w:rPr>
              <w:t>39</w:t>
            </w:r>
          </w:p>
        </w:tc>
        <w:tc>
          <w:tcPr>
            <w:tcW w:type="dxa" w:w="1560"/>
          </w:tcPr>
          <w:p>
            <w:pPr>
              <w:jc w:val="right"/>
            </w:pPr>
            <w:r/>
            <w:r>
              <w:rPr>
                <w:rFonts w:ascii="Segoe UI" w:hAnsi="Segoe UI"/>
                <w:sz w:val="18"/>
              </w:rPr>
              <w:t>59</w:t>
            </w:r>
          </w:p>
        </w:tc>
        <w:tc>
          <w:tcPr>
            <w:tcW w:type="dxa" w:w="1560"/>
          </w:tcPr>
          <w:p>
            <w:pPr>
              <w:jc w:val="right"/>
            </w:pPr>
            <w:r/>
            <w:r>
              <w:rPr>
                <w:rFonts w:ascii="Segoe UI" w:hAnsi="Segoe UI"/>
                <w:sz w:val="18"/>
              </w:rPr>
              <w:t>1.51</w:t>
            </w:r>
          </w:p>
        </w:tc>
        <w:tc>
          <w:tcPr>
            <w:tcW w:type="dxa" w:w="1560"/>
          </w:tcPr>
          <w:p>
            <w:pPr>
              <w:jc w:val="right"/>
            </w:pPr>
            <w:r/>
            <w:r>
              <w:rPr>
                <w:rFonts w:ascii="Segoe UI" w:hAnsi="Segoe UI"/>
                <w:sz w:val="18"/>
              </w:rPr>
              <w:t>42%</w:t>
            </w:r>
          </w:p>
        </w:tc>
        <w:tc>
          <w:tcPr>
            <w:tcW w:type="dxa" w:w="1560"/>
          </w:tcPr>
          <w:p>
            <w:pPr>
              <w:jc w:val="right"/>
            </w:pPr>
            <w:r/>
            <w:r>
              <w:rPr>
                <w:rFonts w:ascii="Segoe UI" w:hAnsi="Segoe UI"/>
                <w:sz w:val="18"/>
              </w:rPr>
              <w:t>37%</w:t>
            </w:r>
          </w:p>
        </w:tc>
      </w:tr>
      <w:tr>
        <w:tc>
          <w:tcPr>
            <w:tcW w:type="dxa" w:w="1560"/>
          </w:tcPr>
          <w:p>
            <w:r/>
            <w:r>
              <w:rPr>
                <w:rFonts w:ascii="Segoe UI" w:hAnsi="Segoe UI"/>
                <w:sz w:val="18"/>
              </w:rPr>
              <w:t>Poland</w:t>
            </w:r>
          </w:p>
        </w:tc>
        <w:tc>
          <w:tcPr>
            <w:tcW w:type="dxa" w:w="1560"/>
          </w:tcPr>
          <w:p>
            <w:pPr>
              <w:jc w:val="right"/>
            </w:pPr>
            <w:r/>
            <w:r>
              <w:rPr>
                <w:rFonts w:ascii="Segoe UI" w:hAnsi="Segoe UI"/>
                <w:sz w:val="18"/>
              </w:rPr>
              <w:t>11</w:t>
            </w:r>
          </w:p>
        </w:tc>
        <w:tc>
          <w:tcPr>
            <w:tcW w:type="dxa" w:w="1560"/>
          </w:tcPr>
          <w:p>
            <w:pPr>
              <w:jc w:val="right"/>
            </w:pPr>
            <w:r/>
            <w:r>
              <w:rPr>
                <w:rFonts w:ascii="Segoe UI" w:hAnsi="Segoe UI"/>
                <w:sz w:val="18"/>
              </w:rPr>
              <w:t>66</w:t>
            </w:r>
          </w:p>
        </w:tc>
        <w:tc>
          <w:tcPr>
            <w:tcW w:type="dxa" w:w="1560"/>
          </w:tcPr>
          <w:p>
            <w:pPr>
              <w:jc w:val="right"/>
            </w:pPr>
            <w:r/>
            <w:r>
              <w:rPr>
                <w:rFonts w:ascii="Segoe UI" w:hAnsi="Segoe UI"/>
                <w:b/>
                <w:color w:val="9A7B10"/>
                <w:sz w:val="18"/>
              </w:rPr>
              <w:t>6.00</w:t>
            </w:r>
          </w:p>
        </w:tc>
        <w:tc>
          <w:tcPr>
            <w:tcW w:type="dxa" w:w="1560"/>
          </w:tcPr>
          <w:p>
            <w:pPr>
              <w:jc w:val="right"/>
            </w:pPr>
            <w:r/>
            <w:r>
              <w:rPr>
                <w:rFonts w:ascii="Segoe UI" w:hAnsi="Segoe UI"/>
                <w:sz w:val="18"/>
              </w:rPr>
              <w:t>9%</w:t>
            </w:r>
          </w:p>
        </w:tc>
        <w:tc>
          <w:tcPr>
            <w:tcW w:type="dxa" w:w="1560"/>
          </w:tcPr>
          <w:p>
            <w:pPr>
              <w:jc w:val="right"/>
            </w:pPr>
            <w:r/>
            <w:r>
              <w:rPr>
                <w:rFonts w:ascii="Segoe UI" w:hAnsi="Segoe UI"/>
                <w:sz w:val="18"/>
              </w:rPr>
              <w:t>68%</w:t>
            </w:r>
          </w:p>
        </w:tc>
      </w:tr>
      <w:tr>
        <w:tc>
          <w:tcPr>
            <w:tcW w:type="dxa" w:w="1560"/>
          </w:tcPr>
          <w:p>
            <w:r/>
            <w:r>
              <w:rPr>
                <w:rFonts w:ascii="Segoe UI" w:hAnsi="Segoe UI"/>
                <w:sz w:val="18"/>
              </w:rPr>
              <w:t>South Africa</w:t>
            </w:r>
          </w:p>
        </w:tc>
        <w:tc>
          <w:tcPr>
            <w:tcW w:type="dxa" w:w="1560"/>
          </w:tcPr>
          <w:p>
            <w:pPr>
              <w:jc w:val="right"/>
            </w:pPr>
            <w:r/>
            <w:r>
              <w:rPr>
                <w:rFonts w:ascii="Segoe UI" w:hAnsi="Segoe UI"/>
                <w:sz w:val="18"/>
              </w:rPr>
              <w:t>15</w:t>
            </w:r>
          </w:p>
        </w:tc>
        <w:tc>
          <w:tcPr>
            <w:tcW w:type="dxa" w:w="1560"/>
          </w:tcPr>
          <w:p>
            <w:pPr>
              <w:jc w:val="right"/>
            </w:pPr>
            <w:r/>
            <w:r>
              <w:rPr>
                <w:rFonts w:ascii="Segoe UI" w:hAnsi="Segoe UI"/>
                <w:sz w:val="18"/>
              </w:rPr>
              <w:t>53</w:t>
            </w:r>
          </w:p>
        </w:tc>
        <w:tc>
          <w:tcPr>
            <w:tcW w:type="dxa" w:w="1560"/>
          </w:tcPr>
          <w:p>
            <w:pPr>
              <w:jc w:val="right"/>
            </w:pPr>
            <w:r/>
            <w:r>
              <w:rPr>
                <w:rFonts w:ascii="Segoe UI" w:hAnsi="Segoe UI"/>
                <w:b/>
                <w:color w:val="9A7B10"/>
                <w:sz w:val="18"/>
              </w:rPr>
              <w:t>3.53</w:t>
            </w:r>
          </w:p>
        </w:tc>
        <w:tc>
          <w:tcPr>
            <w:tcW w:type="dxa" w:w="1560"/>
          </w:tcPr>
          <w:p>
            <w:pPr>
              <w:jc w:val="right"/>
            </w:pPr>
            <w:r/>
            <w:r>
              <w:rPr>
                <w:rFonts w:ascii="Segoe UI" w:hAnsi="Segoe UI"/>
                <w:sz w:val="18"/>
              </w:rPr>
              <w:t>4%</w:t>
            </w:r>
          </w:p>
        </w:tc>
        <w:tc>
          <w:tcPr>
            <w:tcW w:type="dxa" w:w="1560"/>
          </w:tcPr>
          <w:p>
            <w:pPr>
              <w:jc w:val="right"/>
            </w:pPr>
            <w:r/>
            <w:r>
              <w:rPr>
                <w:rFonts w:ascii="Segoe UI" w:hAnsi="Segoe UI"/>
                <w:b/>
                <w:color w:val="9A7B10"/>
                <w:sz w:val="18"/>
              </w:rPr>
              <w:t>83%</w:t>
            </w:r>
          </w:p>
        </w:tc>
      </w:tr>
    </w:tbl>
    <w:p/>
    <w:p>
      <w:r>
        <w:t>Three things fall out of this table.</w:t>
      </w:r>
    </w:p>
    <w:p>
      <w:r>
        <w:rPr>
          <w:b/>
        </w:rPr>
        <w:t>Germany is integrating. The UK is transforming.</w:t>
      </w:r>
      <w:r>
        <w:t xml:space="preserve"> Of Germany's 375 advertisements, 295 are post-merger integration roles, 79% of everything it advertised and 65% of all PMI hiring in the corpus. The UK inverts it: 70% transformation, 19% integration. Two of the largest deal markets in Europe are staffing for entirely different work, and a practice covering both with one proposition is mispitching one of them.</w:t>
      </w:r>
    </w:p>
    <w:p>
      <w:r>
        <w:rPr>
          <w:b/>
        </w:rPr>
        <w:t>Poland and South Africa are hiring far ahead of their deal count.</w:t>
      </w:r>
      <w:r>
        <w:t xml:space="preserve"> Poland shows six role advertisements per transaction and South Africa three and a half, against a UK figure of 1.45. Neither is a deal story. Both are capability build-outs: transformation and delivery functions being stood up in lower-cost locations, 68% and 83% transformation-weighted respectively. That is nearshoring and global capability centre activity, and it is a different mandate type to anything in the deal table above.</w:t>
      </w:r>
    </w:p>
    <w:p>
      <w:r>
        <w:rPr>
          <w:b/>
        </w:rPr>
        <w:t>Where the hottest specific roles are.</w:t>
      </w:r>
      <w:r>
        <w:t xml:space="preserve"> Concentrating on employers rather than advertisements, Germany's 295 integration roles come from just 95 employers, an average of 3.1 integration hires each. That density is the single strongest behavioural marker in this dataset. An employer posting three or more integration roles in a quarter is resourcing something specific, and doing it before the thing becomes public.</w:t>
      </w:r>
    </w:p>
    <w:p>
      <w:pPr>
        <w:spacing w:before="200"/>
      </w:pPr>
      <w:r>
        <w:rPr>
          <w:rFonts w:ascii="Georgia" w:hAnsi="Georgia"/>
          <w:i/>
          <w:color w:val="55637A"/>
          <w:sz w:val="26"/>
        </w:rPr>
        <w:t>One caveat on this map</w:t>
      </w:r>
    </w:p>
    <w:p>
      <w:r>
        <w:t xml:space="preserve">Our role-advertisement coverage is not evenly distributed. Sweden, Norway, Denmark, Finland and Ireland together account for 87 transactions in the corpus and </w:t>
      </w:r>
      <w:r>
        <w:rPr>
          <w:b/>
        </w:rPr>
        <w:t>zero</w:t>
      </w:r>
      <w:r>
        <w:t xml:space="preserve"> role advertisements. That is a gap in our collection, not an absence of Nordic hiring, and the Nordics should not be read from this table at all. We are extending coverage there and would rather flag the hole than let a reader infer a market fact from it.</w:t>
      </w:r>
    </w:p>
    <w:p>
      <w:pPr>
        <w:pBdr>
          <w:bottom w:val="single" w:sz="6" w:color="C9A84C"/>
        </w:pBdr>
      </w:pPr>
    </w:p>
    <w:p>
      <w:pPr>
        <w:spacing w:before="400" w:after="160"/>
      </w:pPr>
      <w:r>
        <w:rPr>
          <w:rFonts w:ascii="Georgia" w:hAnsi="Georgia"/>
          <w:b/>
          <w:color w:val="0D1B2A"/>
          <w:sz w:val="30"/>
        </w:rPr>
        <w:t>Finding 8 · Serial acquirers buy on a rhythm, and the rhythm is measurable</w:t>
      </w:r>
    </w:p>
    <w:p>
      <w:r>
        <w:t>Twelve buyers completed four or more transactions in the corpus. Their observed cadence: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fill="0D1B2A"/>
          </w:tcPr>
          <w:p>
            <w:r/>
            <w:r>
              <w:rPr>
                <w:rFonts w:ascii="Segoe UI" w:hAnsi="Segoe UI"/>
                <w:b/>
                <w:color w:val="FFFFFF"/>
                <w:sz w:val="17"/>
              </w:rPr>
              <w:t>Buyer</w:t>
            </w:r>
          </w:p>
        </w:tc>
        <w:tc>
          <w:tcPr>
            <w:tcW w:type="dxa" w:w="1560"/>
            <w:shd w:val="clear" w:fill="0D1B2A"/>
          </w:tcPr>
          <w:p>
            <w:r/>
            <w:r>
              <w:rPr>
                <w:rFonts w:ascii="Segoe UI" w:hAnsi="Segoe UI"/>
                <w:b/>
                <w:color w:val="FFFFFF"/>
                <w:sz w:val="17"/>
              </w:rPr>
              <w:t>Deals</w:t>
            </w:r>
          </w:p>
        </w:tc>
        <w:tc>
          <w:tcPr>
            <w:tcW w:type="dxa" w:w="1560"/>
            <w:shd w:val="clear" w:fill="0D1B2A"/>
          </w:tcPr>
          <w:p>
            <w:r/>
            <w:r>
              <w:rPr>
                <w:rFonts w:ascii="Segoe UI" w:hAnsi="Segoe UI"/>
                <w:b/>
                <w:color w:val="FFFFFF"/>
                <w:sz w:val="17"/>
              </w:rPr>
              <w:t>Average gap</w:t>
            </w:r>
          </w:p>
        </w:tc>
        <w:tc>
          <w:tcPr>
            <w:tcW w:type="dxa" w:w="1560"/>
            <w:shd w:val="clear" w:fill="0D1B2A"/>
          </w:tcPr>
          <w:p>
            <w:r/>
            <w:r>
              <w:rPr>
                <w:rFonts w:ascii="Segoe UI" w:hAnsi="Segoe UI"/>
                <w:b/>
                <w:color w:val="FFFFFF"/>
                <w:sz w:val="17"/>
              </w:rPr>
              <w:t>Days since last</w:t>
            </w:r>
          </w:p>
        </w:tc>
        <w:tc>
          <w:tcPr>
            <w:tcW w:type="dxa" w:w="1560"/>
            <w:shd w:val="clear" w:fill="0D1B2A"/>
          </w:tcPr>
          <w:p>
            <w:r/>
            <w:r>
              <w:rPr>
                <w:rFonts w:ascii="Segoe UI" w:hAnsi="Segoe UI"/>
                <w:b/>
                <w:color w:val="FFFFFF"/>
                <w:sz w:val="17"/>
              </w:rPr>
              <w:t>Countries</w:t>
            </w:r>
          </w:p>
        </w:tc>
        <w:tc>
          <w:tcPr>
            <w:tcW w:type="dxa" w:w="1560"/>
            <w:shd w:val="clear" w:fill="0D1B2A"/>
          </w:tcPr>
          <w:p>
            <w:r/>
            <w:r>
              <w:rPr>
                <w:rFonts w:ascii="Segoe UI" w:hAnsi="Segoe UI"/>
                <w:b/>
                <w:color w:val="FFFFFF"/>
                <w:sz w:val="17"/>
              </w:rPr>
              <w:t>Sectors</w:t>
            </w:r>
          </w:p>
        </w:tc>
      </w:tr>
      <w:tr>
        <w:tc>
          <w:tcPr>
            <w:tcW w:type="dxa" w:w="1560"/>
          </w:tcPr>
          <w:p>
            <w:r/>
            <w:r>
              <w:rPr>
                <w:rFonts w:ascii="Segoe UI" w:hAnsi="Segoe UI"/>
                <w:sz w:val="18"/>
              </w:rPr>
              <w:t>Apollo Global Management</w:t>
            </w:r>
          </w:p>
        </w:tc>
        <w:tc>
          <w:tcPr>
            <w:tcW w:type="dxa" w:w="1560"/>
          </w:tcPr>
          <w:p>
            <w:pPr>
              <w:jc w:val="right"/>
            </w:pPr>
            <w:r/>
            <w:r>
              <w:rPr>
                <w:rFonts w:ascii="Segoe UI" w:hAnsi="Segoe UI"/>
                <w:sz w:val="18"/>
              </w:rPr>
              <w:t>7</w:t>
            </w:r>
          </w:p>
        </w:tc>
        <w:tc>
          <w:tcPr>
            <w:tcW w:type="dxa" w:w="1560"/>
          </w:tcPr>
          <w:p>
            <w:pPr>
              <w:jc w:val="right"/>
            </w:pPr>
            <w:r/>
            <w:r>
              <w:rPr>
                <w:rFonts w:ascii="Segoe UI" w:hAnsi="Segoe UI"/>
                <w:sz w:val="18"/>
              </w:rPr>
              <w:t>42 days</w:t>
            </w:r>
          </w:p>
        </w:tc>
        <w:tc>
          <w:tcPr>
            <w:tcW w:type="dxa" w:w="1560"/>
          </w:tcPr>
          <w:p>
            <w:pPr>
              <w:jc w:val="right"/>
            </w:pPr>
            <w:r/>
            <w:r>
              <w:rPr>
                <w:rFonts w:ascii="Segoe UI" w:hAnsi="Segoe UI"/>
                <w:sz w:val="18"/>
              </w:rPr>
              <w:t>31</w:t>
            </w:r>
          </w:p>
        </w:tc>
        <w:tc>
          <w:tcPr>
            <w:tcW w:type="dxa" w:w="1560"/>
          </w:tcPr>
          <w:p>
            <w:pPr>
              <w:jc w:val="right"/>
            </w:pPr>
            <w:r/>
            <w:r>
              <w:rPr>
                <w:rFonts w:ascii="Segoe UI" w:hAnsi="Segoe UI"/>
                <w:sz w:val="18"/>
              </w:rPr>
              <w:t>4</w:t>
            </w:r>
          </w:p>
        </w:tc>
        <w:tc>
          <w:tcPr>
            <w:tcW w:type="dxa" w:w="1560"/>
          </w:tcPr>
          <w:p>
            <w:pPr>
              <w:jc w:val="right"/>
            </w:pPr>
            <w:r/>
            <w:r>
              <w:rPr>
                <w:rFonts w:ascii="Segoe UI" w:hAnsi="Segoe UI"/>
                <w:sz w:val="18"/>
              </w:rPr>
              <w:t>6</w:t>
            </w:r>
          </w:p>
        </w:tc>
      </w:tr>
      <w:tr>
        <w:tc>
          <w:tcPr>
            <w:tcW w:type="dxa" w:w="1560"/>
          </w:tcPr>
          <w:p>
            <w:r/>
            <w:r>
              <w:rPr>
                <w:rFonts w:ascii="Segoe UI" w:hAnsi="Segoe UI"/>
                <w:sz w:val="18"/>
              </w:rPr>
              <w:t>Blackstone</w:t>
            </w:r>
          </w:p>
        </w:tc>
        <w:tc>
          <w:tcPr>
            <w:tcW w:type="dxa" w:w="1560"/>
          </w:tcPr>
          <w:p>
            <w:pPr>
              <w:jc w:val="right"/>
            </w:pPr>
            <w:r/>
            <w:r>
              <w:rPr>
                <w:rFonts w:ascii="Segoe UI" w:hAnsi="Segoe UI"/>
                <w:sz w:val="18"/>
              </w:rPr>
              <w:t>7</w:t>
            </w:r>
          </w:p>
        </w:tc>
        <w:tc>
          <w:tcPr>
            <w:tcW w:type="dxa" w:w="1560"/>
          </w:tcPr>
          <w:p>
            <w:pPr>
              <w:jc w:val="right"/>
            </w:pPr>
            <w:r/>
            <w:r>
              <w:rPr>
                <w:rFonts w:ascii="Segoe UI" w:hAnsi="Segoe UI"/>
                <w:b/>
                <w:color w:val="9A7B10"/>
                <w:sz w:val="18"/>
              </w:rPr>
              <w:t>20 days</w:t>
            </w:r>
          </w:p>
        </w:tc>
        <w:tc>
          <w:tcPr>
            <w:tcW w:type="dxa" w:w="1560"/>
          </w:tcPr>
          <w:p>
            <w:pPr>
              <w:jc w:val="right"/>
            </w:pPr>
            <w:r/>
            <w:r>
              <w:rPr>
                <w:rFonts w:ascii="Segoe UI" w:hAnsi="Segoe UI"/>
                <w:b/>
                <w:color w:val="9A7B10"/>
                <w:sz w:val="18"/>
              </w:rPr>
              <w:t>118</w:t>
            </w:r>
          </w:p>
        </w:tc>
        <w:tc>
          <w:tcPr>
            <w:tcW w:type="dxa" w:w="1560"/>
          </w:tcPr>
          <w:p>
            <w:pPr>
              <w:jc w:val="right"/>
            </w:pPr>
            <w:r/>
            <w:r>
              <w:rPr>
                <w:rFonts w:ascii="Segoe UI" w:hAnsi="Segoe UI"/>
                <w:sz w:val="18"/>
              </w:rPr>
              <w:t>4</w:t>
            </w:r>
          </w:p>
        </w:tc>
        <w:tc>
          <w:tcPr>
            <w:tcW w:type="dxa" w:w="1560"/>
          </w:tcPr>
          <w:p>
            <w:pPr>
              <w:jc w:val="right"/>
            </w:pPr>
            <w:r/>
            <w:r>
              <w:rPr>
                <w:rFonts w:ascii="Segoe UI" w:hAnsi="Segoe UI"/>
                <w:sz w:val="18"/>
              </w:rPr>
              <w:t>6</w:t>
            </w:r>
          </w:p>
        </w:tc>
      </w:tr>
      <w:tr>
        <w:tc>
          <w:tcPr>
            <w:tcW w:type="dxa" w:w="1560"/>
          </w:tcPr>
          <w:p>
            <w:r/>
            <w:r>
              <w:rPr>
                <w:rFonts w:ascii="Segoe UI" w:hAnsi="Segoe UI"/>
                <w:sz w:val="18"/>
              </w:rPr>
              <w:t>EQT</w:t>
            </w:r>
          </w:p>
        </w:tc>
        <w:tc>
          <w:tcPr>
            <w:tcW w:type="dxa" w:w="1560"/>
          </w:tcPr>
          <w:p>
            <w:pPr>
              <w:jc w:val="right"/>
            </w:pPr>
            <w:r/>
            <w:r>
              <w:rPr>
                <w:rFonts w:ascii="Segoe UI" w:hAnsi="Segoe UI"/>
                <w:sz w:val="18"/>
              </w:rPr>
              <w:t>6</w:t>
            </w:r>
          </w:p>
        </w:tc>
        <w:tc>
          <w:tcPr>
            <w:tcW w:type="dxa" w:w="1560"/>
          </w:tcPr>
          <w:p>
            <w:pPr>
              <w:jc w:val="right"/>
            </w:pPr>
            <w:r/>
            <w:r>
              <w:rPr>
                <w:rFonts w:ascii="Segoe UI" w:hAnsi="Segoe UI"/>
                <w:sz w:val="18"/>
              </w:rPr>
              <w:t>57 days</w:t>
            </w:r>
          </w:p>
        </w:tc>
        <w:tc>
          <w:tcPr>
            <w:tcW w:type="dxa" w:w="1560"/>
          </w:tcPr>
          <w:p>
            <w:pPr>
              <w:jc w:val="right"/>
            </w:pPr>
            <w:r/>
            <w:r>
              <w:rPr>
                <w:rFonts w:ascii="Segoe UI" w:hAnsi="Segoe UI"/>
                <w:sz w:val="18"/>
              </w:rPr>
              <w:t>2</w:t>
            </w:r>
          </w:p>
        </w:tc>
        <w:tc>
          <w:tcPr>
            <w:tcW w:type="dxa" w:w="1560"/>
          </w:tcPr>
          <w:p>
            <w:pPr>
              <w:jc w:val="right"/>
            </w:pPr>
            <w:r/>
            <w:r>
              <w:rPr>
                <w:rFonts w:ascii="Segoe UI" w:hAnsi="Segoe UI"/>
                <w:sz w:val="18"/>
              </w:rPr>
              <w:t>3</w:t>
            </w:r>
          </w:p>
        </w:tc>
        <w:tc>
          <w:tcPr>
            <w:tcW w:type="dxa" w:w="1560"/>
          </w:tcPr>
          <w:p>
            <w:pPr>
              <w:jc w:val="right"/>
            </w:pPr>
            <w:r/>
            <w:r>
              <w:rPr>
                <w:rFonts w:ascii="Segoe UI" w:hAnsi="Segoe UI"/>
                <w:sz w:val="18"/>
              </w:rPr>
              <w:t>5</w:t>
            </w:r>
          </w:p>
        </w:tc>
      </w:tr>
      <w:tr>
        <w:tc>
          <w:tcPr>
            <w:tcW w:type="dxa" w:w="1560"/>
          </w:tcPr>
          <w:p>
            <w:r/>
            <w:r>
              <w:rPr>
                <w:rFonts w:ascii="Segoe UI" w:hAnsi="Segoe UI"/>
                <w:sz w:val="18"/>
              </w:rPr>
              <w:t>Bridgepoint</w:t>
            </w:r>
          </w:p>
        </w:tc>
        <w:tc>
          <w:tcPr>
            <w:tcW w:type="dxa" w:w="1560"/>
          </w:tcPr>
          <w:p>
            <w:pPr>
              <w:jc w:val="right"/>
            </w:pPr>
            <w:r/>
            <w:r>
              <w:rPr>
                <w:rFonts w:ascii="Segoe UI" w:hAnsi="Segoe UI"/>
                <w:sz w:val="18"/>
              </w:rPr>
              <w:t>4</w:t>
            </w:r>
          </w:p>
        </w:tc>
        <w:tc>
          <w:tcPr>
            <w:tcW w:type="dxa" w:w="1560"/>
          </w:tcPr>
          <w:p>
            <w:pPr>
              <w:jc w:val="right"/>
            </w:pPr>
            <w:r/>
            <w:r>
              <w:rPr>
                <w:rFonts w:ascii="Segoe UI" w:hAnsi="Segoe UI"/>
                <w:sz w:val="18"/>
              </w:rPr>
              <w:t>80 days</w:t>
            </w:r>
          </w:p>
        </w:tc>
        <w:tc>
          <w:tcPr>
            <w:tcW w:type="dxa" w:w="1560"/>
          </w:tcPr>
          <w:p>
            <w:pPr>
              <w:jc w:val="right"/>
            </w:pPr>
            <w:r/>
            <w:r>
              <w:rPr>
                <w:rFonts w:ascii="Segoe UI" w:hAnsi="Segoe UI"/>
                <w:sz w:val="18"/>
              </w:rPr>
              <w:t>3</w:t>
            </w:r>
          </w:p>
        </w:tc>
        <w:tc>
          <w:tcPr>
            <w:tcW w:type="dxa" w:w="1560"/>
          </w:tcPr>
          <w:p>
            <w:pPr>
              <w:jc w:val="right"/>
            </w:pPr>
            <w:r/>
            <w:r>
              <w:rPr>
                <w:rFonts w:ascii="Segoe UI" w:hAnsi="Segoe UI"/>
                <w:sz w:val="18"/>
              </w:rPr>
              <w:t>2</w:t>
            </w:r>
          </w:p>
        </w:tc>
        <w:tc>
          <w:tcPr>
            <w:tcW w:type="dxa" w:w="1560"/>
          </w:tcPr>
          <w:p>
            <w:pPr>
              <w:jc w:val="right"/>
            </w:pPr>
            <w:r/>
            <w:r>
              <w:rPr>
                <w:rFonts w:ascii="Segoe UI" w:hAnsi="Segoe UI"/>
                <w:sz w:val="18"/>
              </w:rPr>
              <w:t>3</w:t>
            </w:r>
          </w:p>
        </w:tc>
      </w:tr>
      <w:tr>
        <w:tc>
          <w:tcPr>
            <w:tcW w:type="dxa" w:w="1560"/>
          </w:tcPr>
          <w:p>
            <w:r/>
            <w:r>
              <w:rPr>
                <w:rFonts w:ascii="Segoe UI" w:hAnsi="Segoe UI"/>
                <w:sz w:val="18"/>
              </w:rPr>
              <w:t>Asker Healthcare</w:t>
            </w:r>
          </w:p>
        </w:tc>
        <w:tc>
          <w:tcPr>
            <w:tcW w:type="dxa" w:w="1560"/>
          </w:tcPr>
          <w:p>
            <w:pPr>
              <w:jc w:val="right"/>
            </w:pPr>
            <w:r/>
            <w:r>
              <w:rPr>
                <w:rFonts w:ascii="Segoe UI" w:hAnsi="Segoe UI"/>
                <w:sz w:val="18"/>
              </w:rPr>
              <w:t>4</w:t>
            </w:r>
          </w:p>
        </w:tc>
        <w:tc>
          <w:tcPr>
            <w:tcW w:type="dxa" w:w="1560"/>
          </w:tcPr>
          <w:p>
            <w:pPr>
              <w:jc w:val="right"/>
            </w:pPr>
            <w:r/>
            <w:r>
              <w:rPr>
                <w:rFonts w:ascii="Segoe UI" w:hAnsi="Segoe UI"/>
                <w:b/>
                <w:color w:val="9A7B10"/>
                <w:sz w:val="18"/>
              </w:rPr>
              <w:t>21 days</w:t>
            </w:r>
          </w:p>
        </w:tc>
        <w:tc>
          <w:tcPr>
            <w:tcW w:type="dxa" w:w="1560"/>
          </w:tcPr>
          <w:p>
            <w:pPr>
              <w:jc w:val="right"/>
            </w:pPr>
            <w:r/>
            <w:r>
              <w:rPr>
                <w:rFonts w:ascii="Segoe UI" w:hAnsi="Segoe UI"/>
                <w:sz w:val="18"/>
              </w:rPr>
              <w:t>3</w:t>
            </w:r>
          </w:p>
        </w:tc>
        <w:tc>
          <w:tcPr>
            <w:tcW w:type="dxa" w:w="1560"/>
          </w:tcPr>
          <w:p>
            <w:pPr>
              <w:jc w:val="right"/>
            </w:pPr>
            <w:r/>
            <w:r>
              <w:rPr>
                <w:rFonts w:ascii="Segoe UI" w:hAnsi="Segoe UI"/>
                <w:sz w:val="18"/>
              </w:rPr>
              <w:t>4</w:t>
            </w:r>
          </w:p>
        </w:tc>
        <w:tc>
          <w:tcPr>
            <w:tcW w:type="dxa" w:w="1560"/>
          </w:tcPr>
          <w:p>
            <w:pPr>
              <w:jc w:val="right"/>
            </w:pPr>
            <w:r/>
            <w:r>
              <w:rPr>
                <w:rFonts w:ascii="Segoe UI" w:hAnsi="Segoe UI"/>
                <w:sz w:val="18"/>
              </w:rPr>
              <w:t>1</w:t>
            </w:r>
          </w:p>
        </w:tc>
      </w:tr>
      <w:tr>
        <w:tc>
          <w:tcPr>
            <w:tcW w:type="dxa" w:w="1560"/>
          </w:tcPr>
          <w:p>
            <w:r/>
            <w:r>
              <w:rPr>
                <w:rFonts w:ascii="Segoe UI" w:hAnsi="Segoe UI"/>
                <w:sz w:val="18"/>
              </w:rPr>
              <w:t>Mutares</w:t>
            </w:r>
          </w:p>
        </w:tc>
        <w:tc>
          <w:tcPr>
            <w:tcW w:type="dxa" w:w="1560"/>
          </w:tcPr>
          <w:p>
            <w:pPr>
              <w:jc w:val="right"/>
            </w:pPr>
            <w:r/>
            <w:r>
              <w:rPr>
                <w:rFonts w:ascii="Segoe UI" w:hAnsi="Segoe UI"/>
                <w:sz w:val="18"/>
              </w:rPr>
              <w:t>4</w:t>
            </w:r>
          </w:p>
        </w:tc>
        <w:tc>
          <w:tcPr>
            <w:tcW w:type="dxa" w:w="1560"/>
          </w:tcPr>
          <w:p>
            <w:pPr>
              <w:jc w:val="right"/>
            </w:pPr>
            <w:r/>
            <w:r>
              <w:rPr>
                <w:rFonts w:ascii="Segoe UI" w:hAnsi="Segoe UI"/>
                <w:sz w:val="18"/>
              </w:rPr>
              <w:t>31 days</w:t>
            </w:r>
          </w:p>
        </w:tc>
        <w:tc>
          <w:tcPr>
            <w:tcW w:type="dxa" w:w="1560"/>
          </w:tcPr>
          <w:p>
            <w:pPr>
              <w:jc w:val="right"/>
            </w:pPr>
            <w:r/>
            <w:r>
              <w:rPr>
                <w:rFonts w:ascii="Segoe UI" w:hAnsi="Segoe UI"/>
                <w:sz w:val="18"/>
              </w:rPr>
              <w:t>4</w:t>
            </w:r>
          </w:p>
        </w:tc>
        <w:tc>
          <w:tcPr>
            <w:tcW w:type="dxa" w:w="1560"/>
          </w:tcPr>
          <w:p>
            <w:pPr>
              <w:jc w:val="right"/>
            </w:pPr>
            <w:r/>
            <w:r>
              <w:rPr>
                <w:rFonts w:ascii="Segoe UI" w:hAnsi="Segoe UI"/>
                <w:sz w:val="18"/>
              </w:rPr>
              <w:t>2</w:t>
            </w:r>
          </w:p>
        </w:tc>
        <w:tc>
          <w:tcPr>
            <w:tcW w:type="dxa" w:w="1560"/>
          </w:tcPr>
          <w:p>
            <w:pPr>
              <w:jc w:val="right"/>
            </w:pPr>
            <w:r/>
            <w:r>
              <w:rPr>
                <w:rFonts w:ascii="Segoe UI" w:hAnsi="Segoe UI"/>
                <w:sz w:val="18"/>
              </w:rPr>
              <w:t>3</w:t>
            </w:r>
          </w:p>
        </w:tc>
      </w:tr>
      <w:tr>
        <w:tc>
          <w:tcPr>
            <w:tcW w:type="dxa" w:w="1560"/>
          </w:tcPr>
          <w:p>
            <w:r/>
            <w:r>
              <w:rPr>
                <w:rFonts w:ascii="Segoe UI" w:hAnsi="Segoe UI"/>
                <w:sz w:val="18"/>
              </w:rPr>
              <w:t>Oakley Capital</w:t>
            </w:r>
          </w:p>
        </w:tc>
        <w:tc>
          <w:tcPr>
            <w:tcW w:type="dxa" w:w="1560"/>
          </w:tcPr>
          <w:p>
            <w:pPr>
              <w:jc w:val="right"/>
            </w:pPr>
            <w:r/>
            <w:r>
              <w:rPr>
                <w:rFonts w:ascii="Segoe UI" w:hAnsi="Segoe UI"/>
                <w:sz w:val="18"/>
              </w:rPr>
              <w:t>4</w:t>
            </w:r>
          </w:p>
        </w:tc>
        <w:tc>
          <w:tcPr>
            <w:tcW w:type="dxa" w:w="1560"/>
          </w:tcPr>
          <w:p>
            <w:pPr>
              <w:jc w:val="right"/>
            </w:pPr>
            <w:r/>
            <w:r>
              <w:rPr>
                <w:rFonts w:ascii="Segoe UI" w:hAnsi="Segoe UI"/>
                <w:sz w:val="18"/>
              </w:rPr>
              <w:t>75 days</w:t>
            </w:r>
          </w:p>
        </w:tc>
        <w:tc>
          <w:tcPr>
            <w:tcW w:type="dxa" w:w="1560"/>
          </w:tcPr>
          <w:p>
            <w:pPr>
              <w:jc w:val="right"/>
            </w:pPr>
            <w:r/>
            <w:r>
              <w:rPr>
                <w:rFonts w:ascii="Segoe UI" w:hAnsi="Segoe UI"/>
                <w:sz w:val="18"/>
              </w:rPr>
              <w:t>18</w:t>
            </w:r>
          </w:p>
        </w:tc>
        <w:tc>
          <w:tcPr>
            <w:tcW w:type="dxa" w:w="1560"/>
          </w:tcPr>
          <w:p>
            <w:pPr>
              <w:jc w:val="right"/>
            </w:pPr>
            <w:r/>
            <w:r>
              <w:rPr>
                <w:rFonts w:ascii="Segoe UI" w:hAnsi="Segoe UI"/>
                <w:sz w:val="18"/>
              </w:rPr>
              <w:t>4</w:t>
            </w:r>
          </w:p>
        </w:tc>
        <w:tc>
          <w:tcPr>
            <w:tcW w:type="dxa" w:w="1560"/>
          </w:tcPr>
          <w:p>
            <w:pPr>
              <w:jc w:val="right"/>
            </w:pPr>
            <w:r/>
            <w:r>
              <w:rPr>
                <w:rFonts w:ascii="Segoe UI" w:hAnsi="Segoe UI"/>
                <w:sz w:val="18"/>
              </w:rPr>
              <w:t>2</w:t>
            </w:r>
          </w:p>
        </w:tc>
      </w:tr>
      <w:tr>
        <w:tc>
          <w:tcPr>
            <w:tcW w:type="dxa" w:w="1560"/>
          </w:tcPr>
          <w:p>
            <w:r/>
            <w:r>
              <w:rPr>
                <w:rFonts w:ascii="Segoe UI" w:hAnsi="Segoe UI"/>
                <w:sz w:val="18"/>
              </w:rPr>
              <w:t>Bain Capital</w:t>
            </w:r>
          </w:p>
        </w:tc>
        <w:tc>
          <w:tcPr>
            <w:tcW w:type="dxa" w:w="1560"/>
          </w:tcPr>
          <w:p>
            <w:pPr>
              <w:jc w:val="right"/>
            </w:pPr>
            <w:r/>
            <w:r>
              <w:rPr>
                <w:rFonts w:ascii="Segoe UI" w:hAnsi="Segoe UI"/>
                <w:sz w:val="18"/>
              </w:rPr>
              <w:t>4</w:t>
            </w:r>
          </w:p>
        </w:tc>
        <w:tc>
          <w:tcPr>
            <w:tcW w:type="dxa" w:w="1560"/>
          </w:tcPr>
          <w:p>
            <w:pPr>
              <w:jc w:val="right"/>
            </w:pPr>
            <w:r/>
            <w:r>
              <w:rPr>
                <w:rFonts w:ascii="Segoe UI" w:hAnsi="Segoe UI"/>
                <w:sz w:val="18"/>
              </w:rPr>
              <w:t>70 days</w:t>
            </w:r>
          </w:p>
        </w:tc>
        <w:tc>
          <w:tcPr>
            <w:tcW w:type="dxa" w:w="1560"/>
          </w:tcPr>
          <w:p>
            <w:pPr>
              <w:jc w:val="right"/>
            </w:pPr>
            <w:r/>
            <w:r>
              <w:rPr>
                <w:rFonts w:ascii="Segoe UI" w:hAnsi="Segoe UI"/>
                <w:sz w:val="18"/>
              </w:rPr>
              <w:t>32</w:t>
            </w:r>
          </w:p>
        </w:tc>
        <w:tc>
          <w:tcPr>
            <w:tcW w:type="dxa" w:w="1560"/>
          </w:tcPr>
          <w:p>
            <w:pPr>
              <w:jc w:val="right"/>
            </w:pPr>
            <w:r/>
            <w:r>
              <w:rPr>
                <w:rFonts w:ascii="Segoe UI" w:hAnsi="Segoe UI"/>
                <w:sz w:val="18"/>
              </w:rPr>
              <w:t>3</w:t>
            </w:r>
          </w:p>
        </w:tc>
        <w:tc>
          <w:tcPr>
            <w:tcW w:type="dxa" w:w="1560"/>
          </w:tcPr>
          <w:p>
            <w:pPr>
              <w:jc w:val="right"/>
            </w:pPr>
            <w:r/>
            <w:r>
              <w:rPr>
                <w:rFonts w:ascii="Segoe UI" w:hAnsi="Segoe UI"/>
                <w:sz w:val="18"/>
              </w:rPr>
              <w:t>3</w:t>
            </w:r>
          </w:p>
        </w:tc>
      </w:tr>
      <w:tr>
        <w:tc>
          <w:tcPr>
            <w:tcW w:type="dxa" w:w="1560"/>
          </w:tcPr>
          <w:p>
            <w:r/>
            <w:r>
              <w:rPr>
                <w:rFonts w:ascii="Segoe UI" w:hAnsi="Segoe UI"/>
                <w:sz w:val="18"/>
              </w:rPr>
              <w:t>Verdane</w:t>
            </w:r>
          </w:p>
        </w:tc>
        <w:tc>
          <w:tcPr>
            <w:tcW w:type="dxa" w:w="1560"/>
          </w:tcPr>
          <w:p>
            <w:pPr>
              <w:jc w:val="right"/>
            </w:pPr>
            <w:r/>
            <w:r>
              <w:rPr>
                <w:rFonts w:ascii="Segoe UI" w:hAnsi="Segoe UI"/>
                <w:sz w:val="18"/>
              </w:rPr>
              <w:t>4</w:t>
            </w:r>
          </w:p>
        </w:tc>
        <w:tc>
          <w:tcPr>
            <w:tcW w:type="dxa" w:w="1560"/>
          </w:tcPr>
          <w:p>
            <w:pPr>
              <w:jc w:val="right"/>
            </w:pPr>
            <w:r/>
            <w:r>
              <w:rPr>
                <w:rFonts w:ascii="Segoe UI" w:hAnsi="Segoe UI"/>
                <w:sz w:val="18"/>
              </w:rPr>
              <w:t>62 days</w:t>
            </w:r>
          </w:p>
        </w:tc>
        <w:tc>
          <w:tcPr>
            <w:tcW w:type="dxa" w:w="1560"/>
          </w:tcPr>
          <w:p>
            <w:pPr>
              <w:jc w:val="right"/>
            </w:pPr>
            <w:r/>
            <w:r>
              <w:rPr>
                <w:rFonts w:ascii="Segoe UI" w:hAnsi="Segoe UI"/>
                <w:sz w:val="18"/>
              </w:rPr>
              <w:t>52</w:t>
            </w:r>
          </w:p>
        </w:tc>
        <w:tc>
          <w:tcPr>
            <w:tcW w:type="dxa" w:w="1560"/>
          </w:tcPr>
          <w:p>
            <w:pPr>
              <w:jc w:val="right"/>
            </w:pPr>
            <w:r/>
            <w:r>
              <w:rPr>
                <w:rFonts w:ascii="Segoe UI" w:hAnsi="Segoe UI"/>
                <w:sz w:val="18"/>
              </w:rPr>
              <w:t>2</w:t>
            </w:r>
          </w:p>
        </w:tc>
        <w:tc>
          <w:tcPr>
            <w:tcW w:type="dxa" w:w="1560"/>
          </w:tcPr>
          <w:p>
            <w:pPr>
              <w:jc w:val="right"/>
            </w:pPr>
            <w:r/>
            <w:r>
              <w:rPr>
                <w:rFonts w:ascii="Segoe UI" w:hAnsi="Segoe UI"/>
                <w:sz w:val="18"/>
              </w:rPr>
              <w:t>2</w:t>
            </w:r>
          </w:p>
        </w:tc>
      </w:tr>
      <w:tr>
        <w:tc>
          <w:tcPr>
            <w:tcW w:type="dxa" w:w="1560"/>
          </w:tcPr>
          <w:p>
            <w:r/>
            <w:r>
              <w:rPr>
                <w:rFonts w:ascii="Segoe UI" w:hAnsi="Segoe UI"/>
                <w:sz w:val="18"/>
              </w:rPr>
              <w:t>CVC Capital Partners</w:t>
            </w:r>
          </w:p>
        </w:tc>
        <w:tc>
          <w:tcPr>
            <w:tcW w:type="dxa" w:w="1560"/>
          </w:tcPr>
          <w:p>
            <w:pPr>
              <w:jc w:val="right"/>
            </w:pPr>
            <w:r/>
            <w:r>
              <w:rPr>
                <w:rFonts w:ascii="Segoe UI" w:hAnsi="Segoe UI"/>
                <w:sz w:val="18"/>
              </w:rPr>
              <w:t>4</w:t>
            </w:r>
          </w:p>
        </w:tc>
        <w:tc>
          <w:tcPr>
            <w:tcW w:type="dxa" w:w="1560"/>
          </w:tcPr>
          <w:p>
            <w:pPr>
              <w:jc w:val="right"/>
            </w:pPr>
            <w:r/>
            <w:r>
              <w:rPr>
                <w:rFonts w:ascii="Segoe UI" w:hAnsi="Segoe UI"/>
                <w:sz w:val="18"/>
              </w:rPr>
              <w:t>69 days</w:t>
            </w:r>
          </w:p>
        </w:tc>
        <w:tc>
          <w:tcPr>
            <w:tcW w:type="dxa" w:w="1560"/>
          </w:tcPr>
          <w:p>
            <w:pPr>
              <w:jc w:val="right"/>
            </w:pPr>
            <w:r/>
            <w:r>
              <w:rPr>
                <w:rFonts w:ascii="Segoe UI" w:hAnsi="Segoe UI"/>
                <w:sz w:val="18"/>
              </w:rPr>
              <w:t>69</w:t>
            </w:r>
          </w:p>
        </w:tc>
        <w:tc>
          <w:tcPr>
            <w:tcW w:type="dxa" w:w="1560"/>
          </w:tcPr>
          <w:p>
            <w:pPr>
              <w:jc w:val="right"/>
            </w:pPr>
            <w:r/>
            <w:r>
              <w:rPr>
                <w:rFonts w:ascii="Segoe UI" w:hAnsi="Segoe UI"/>
                <w:sz w:val="18"/>
              </w:rPr>
              <w:t>3</w:t>
            </w:r>
          </w:p>
        </w:tc>
        <w:tc>
          <w:tcPr>
            <w:tcW w:type="dxa" w:w="1560"/>
          </w:tcPr>
          <w:p>
            <w:pPr>
              <w:jc w:val="right"/>
            </w:pPr>
            <w:r/>
            <w:r>
              <w:rPr>
                <w:rFonts w:ascii="Segoe UI" w:hAnsi="Segoe UI"/>
                <w:sz w:val="18"/>
              </w:rPr>
              <w:t>4</w:t>
            </w:r>
          </w:p>
        </w:tc>
      </w:tr>
      <w:tr>
        <w:tc>
          <w:tcPr>
            <w:tcW w:type="dxa" w:w="1560"/>
          </w:tcPr>
          <w:p>
            <w:r/>
            <w:r>
              <w:rPr>
                <w:rFonts w:ascii="Segoe UI" w:hAnsi="Segoe UI"/>
                <w:sz w:val="18"/>
              </w:rPr>
              <w:t>Accenture</w:t>
            </w:r>
          </w:p>
        </w:tc>
        <w:tc>
          <w:tcPr>
            <w:tcW w:type="dxa" w:w="1560"/>
          </w:tcPr>
          <w:p>
            <w:pPr>
              <w:jc w:val="right"/>
            </w:pPr>
            <w:r/>
            <w:r>
              <w:rPr>
                <w:rFonts w:ascii="Segoe UI" w:hAnsi="Segoe UI"/>
                <w:sz w:val="18"/>
              </w:rPr>
              <w:t>4</w:t>
            </w:r>
          </w:p>
        </w:tc>
        <w:tc>
          <w:tcPr>
            <w:tcW w:type="dxa" w:w="1560"/>
          </w:tcPr>
          <w:p>
            <w:pPr>
              <w:jc w:val="right"/>
            </w:pPr>
            <w:r/>
            <w:r>
              <w:rPr>
                <w:rFonts w:ascii="Segoe UI" w:hAnsi="Segoe UI"/>
                <w:sz w:val="18"/>
              </w:rPr>
              <w:t>58 days</w:t>
            </w:r>
          </w:p>
        </w:tc>
        <w:tc>
          <w:tcPr>
            <w:tcW w:type="dxa" w:w="1560"/>
          </w:tcPr>
          <w:p>
            <w:pPr>
              <w:jc w:val="right"/>
            </w:pPr>
            <w:r/>
            <w:r>
              <w:rPr>
                <w:rFonts w:ascii="Segoe UI" w:hAnsi="Segoe UI"/>
                <w:sz w:val="18"/>
              </w:rPr>
              <w:t>76</w:t>
            </w:r>
          </w:p>
        </w:tc>
        <w:tc>
          <w:tcPr>
            <w:tcW w:type="dxa" w:w="1560"/>
          </w:tcPr>
          <w:p>
            <w:pPr>
              <w:jc w:val="right"/>
            </w:pPr>
            <w:r/>
            <w:r>
              <w:rPr>
                <w:rFonts w:ascii="Segoe UI" w:hAnsi="Segoe UI"/>
                <w:sz w:val="18"/>
              </w:rPr>
              <w:t>3</w:t>
            </w:r>
          </w:p>
        </w:tc>
        <w:tc>
          <w:tcPr>
            <w:tcW w:type="dxa" w:w="1560"/>
          </w:tcPr>
          <w:p>
            <w:pPr>
              <w:jc w:val="right"/>
            </w:pPr>
            <w:r/>
            <w:r>
              <w:rPr>
                <w:rFonts w:ascii="Segoe UI" w:hAnsi="Segoe UI"/>
                <w:sz w:val="18"/>
              </w:rPr>
              <w:t>2</w:t>
            </w:r>
          </w:p>
        </w:tc>
      </w:tr>
      <w:tr>
        <w:tc>
          <w:tcPr>
            <w:tcW w:type="dxa" w:w="1560"/>
          </w:tcPr>
          <w:p>
            <w:r/>
            <w:r>
              <w:rPr>
                <w:rFonts w:ascii="Segoe UI" w:hAnsi="Segoe UI"/>
                <w:sz w:val="18"/>
              </w:rPr>
              <w:t>Stonepeak</w:t>
            </w:r>
          </w:p>
        </w:tc>
        <w:tc>
          <w:tcPr>
            <w:tcW w:type="dxa" w:w="1560"/>
          </w:tcPr>
          <w:p>
            <w:pPr>
              <w:jc w:val="right"/>
            </w:pPr>
            <w:r/>
            <w:r>
              <w:rPr>
                <w:rFonts w:ascii="Segoe UI" w:hAnsi="Segoe UI"/>
                <w:sz w:val="18"/>
              </w:rPr>
              <w:t>4</w:t>
            </w:r>
          </w:p>
        </w:tc>
        <w:tc>
          <w:tcPr>
            <w:tcW w:type="dxa" w:w="1560"/>
          </w:tcPr>
          <w:p>
            <w:pPr>
              <w:jc w:val="right"/>
            </w:pPr>
            <w:r/>
            <w:r>
              <w:rPr>
                <w:rFonts w:ascii="Segoe UI" w:hAnsi="Segoe UI"/>
                <w:sz w:val="18"/>
              </w:rPr>
              <w:t>64 days</w:t>
            </w:r>
          </w:p>
        </w:tc>
        <w:tc>
          <w:tcPr>
            <w:tcW w:type="dxa" w:w="1560"/>
          </w:tcPr>
          <w:p>
            <w:pPr>
              <w:jc w:val="right"/>
            </w:pPr>
            <w:r/>
            <w:r>
              <w:rPr>
                <w:rFonts w:ascii="Segoe UI" w:hAnsi="Segoe UI"/>
                <w:sz w:val="18"/>
              </w:rPr>
              <w:t>87</w:t>
            </w:r>
          </w:p>
        </w:tc>
        <w:tc>
          <w:tcPr>
            <w:tcW w:type="dxa" w:w="1560"/>
          </w:tcPr>
          <w:p>
            <w:pPr>
              <w:jc w:val="right"/>
            </w:pPr>
            <w:r/>
            <w:r>
              <w:rPr>
                <w:rFonts w:ascii="Segoe UI" w:hAnsi="Segoe UI"/>
                <w:sz w:val="18"/>
              </w:rPr>
              <w:t>2</w:t>
            </w:r>
          </w:p>
        </w:tc>
        <w:tc>
          <w:tcPr>
            <w:tcW w:type="dxa" w:w="1560"/>
          </w:tcPr>
          <w:p>
            <w:pPr>
              <w:jc w:val="right"/>
            </w:pPr>
            <w:r/>
            <w:r>
              <w:rPr>
                <w:rFonts w:ascii="Segoe UI" w:hAnsi="Segoe UI"/>
                <w:sz w:val="18"/>
              </w:rPr>
              <w:t>1</w:t>
            </w:r>
          </w:p>
        </w:tc>
      </w:tr>
    </w:tbl>
    <w:p/>
    <w:p>
      <w:r>
        <w:t>Asker Healthcare is the clearest programmatic acquirer in the set: four transactions across four countries in a single sector, averaging 21 days apart. That is not opportunism. That is a pipeline with a team behind it.</w:t>
      </w:r>
    </w:p>
    <w:p>
      <w:r>
        <w:t>Blackstone, Accenture and Stonepeak are each now silent for longer than their own average gap. We are not predicting a transaction from that. We are saying that a buyer with an established rhythm that has gone quiet is a better-qualified conversation than a buyer picked from a sector list.</w:t>
      </w:r>
    </w:p>
    <w:p>
      <w:pPr>
        <w:pBdr>
          <w:bottom w:val="single" w:sz="6" w:color="C9A84C"/>
        </w:pBdr>
      </w:pPr>
    </w:p>
    <w:p>
      <w:pPr>
        <w:spacing w:before="400" w:after="160"/>
      </w:pPr>
      <w:r>
        <w:rPr>
          <w:rFonts w:ascii="Georgia" w:hAnsi="Georgia"/>
          <w:b/>
          <w:color w:val="0D1B2A"/>
          <w:sz w:val="30"/>
        </w:rPr>
        <w:t>Finding 9 · How early the signal actually arrives</w:t>
      </w:r>
    </w:p>
    <w:p>
      <w:r>
        <w:t>We publish lead times only where the earlier signal describes the same situation as the announcement. Across seven verified cases this quarter: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0D1B2A"/>
          </w:tcPr>
          <w:p>
            <w:r/>
            <w:r>
              <w:rPr>
                <w:rFonts w:ascii="Segoe UI" w:hAnsi="Segoe UI"/>
                <w:b/>
                <w:color w:val="FFFFFF"/>
                <w:sz w:val="17"/>
              </w:rPr>
              <w:t>Company</w:t>
            </w:r>
          </w:p>
        </w:tc>
        <w:tc>
          <w:tcPr>
            <w:tcW w:type="dxa" w:w="2340"/>
            <w:shd w:val="clear" w:fill="0D1B2A"/>
          </w:tcPr>
          <w:p>
            <w:r/>
            <w:r>
              <w:rPr>
                <w:rFonts w:ascii="Segoe UI" w:hAnsi="Segoe UI"/>
                <w:b/>
                <w:color w:val="FFFFFF"/>
                <w:sz w:val="17"/>
              </w:rPr>
              <w:t>Briefed</w:t>
            </w:r>
          </w:p>
        </w:tc>
        <w:tc>
          <w:tcPr>
            <w:tcW w:type="dxa" w:w="2340"/>
            <w:shd w:val="clear" w:fill="0D1B2A"/>
          </w:tcPr>
          <w:p>
            <w:r/>
            <w:r>
              <w:rPr>
                <w:rFonts w:ascii="Segoe UI" w:hAnsi="Segoe UI"/>
                <w:b/>
                <w:color w:val="FFFFFF"/>
                <w:sz w:val="17"/>
              </w:rPr>
              <w:t>Announced</w:t>
            </w:r>
          </w:p>
        </w:tc>
        <w:tc>
          <w:tcPr>
            <w:tcW w:type="dxa" w:w="2340"/>
            <w:shd w:val="clear" w:fill="0D1B2A"/>
          </w:tcPr>
          <w:p>
            <w:r/>
            <w:r>
              <w:rPr>
                <w:rFonts w:ascii="Segoe UI" w:hAnsi="Segoe UI"/>
                <w:b/>
                <w:color w:val="FFFFFF"/>
                <w:sz w:val="17"/>
              </w:rPr>
              <w:t>Days ahead</w:t>
            </w:r>
          </w:p>
        </w:tc>
      </w:tr>
      <w:tr>
        <w:tc>
          <w:tcPr>
            <w:tcW w:type="dxa" w:w="2340"/>
          </w:tcPr>
          <w:p>
            <w:r/>
            <w:r>
              <w:rPr>
                <w:rFonts w:ascii="Segoe UI" w:hAnsi="Segoe UI"/>
                <w:sz w:val="18"/>
              </w:rPr>
              <w:t>ATG Entertainment</w:t>
            </w:r>
          </w:p>
        </w:tc>
        <w:tc>
          <w:tcPr>
            <w:tcW w:type="dxa" w:w="2340"/>
          </w:tcPr>
          <w:p>
            <w:r/>
            <w:r>
              <w:rPr>
                <w:rFonts w:ascii="Segoe UI" w:hAnsi="Segoe UI"/>
                <w:sz w:val="18"/>
              </w:rPr>
              <w:t>21 May</w:t>
            </w:r>
          </w:p>
        </w:tc>
        <w:tc>
          <w:tcPr>
            <w:tcW w:type="dxa" w:w="2340"/>
          </w:tcPr>
          <w:p>
            <w:r/>
            <w:r>
              <w:rPr>
                <w:rFonts w:ascii="Segoe UI" w:hAnsi="Segoe UI"/>
                <w:sz w:val="18"/>
              </w:rPr>
              <w:t>11 Aug</w:t>
            </w:r>
          </w:p>
        </w:tc>
        <w:tc>
          <w:tcPr>
            <w:tcW w:type="dxa" w:w="2340"/>
          </w:tcPr>
          <w:p>
            <w:pPr>
              <w:jc w:val="right"/>
            </w:pPr>
            <w:r/>
            <w:r>
              <w:rPr>
                <w:rFonts w:ascii="Segoe UI" w:hAnsi="Segoe UI"/>
                <w:sz w:val="18"/>
              </w:rPr>
              <w:t>82</w:t>
            </w:r>
          </w:p>
        </w:tc>
      </w:tr>
      <w:tr>
        <w:tc>
          <w:tcPr>
            <w:tcW w:type="dxa" w:w="2340"/>
          </w:tcPr>
          <w:p>
            <w:r/>
            <w:r>
              <w:rPr>
                <w:rFonts w:ascii="Segoe UI" w:hAnsi="Segoe UI"/>
                <w:sz w:val="18"/>
              </w:rPr>
              <w:t>Gamma Communications</w:t>
            </w:r>
          </w:p>
        </w:tc>
        <w:tc>
          <w:tcPr>
            <w:tcW w:type="dxa" w:w="2340"/>
          </w:tcPr>
          <w:p>
            <w:r/>
            <w:r>
              <w:rPr>
                <w:rFonts w:ascii="Segoe UI" w:hAnsi="Segoe UI"/>
                <w:sz w:val="18"/>
              </w:rPr>
              <w:t>9 Jul</w:t>
            </w:r>
          </w:p>
        </w:tc>
        <w:tc>
          <w:tcPr>
            <w:tcW w:type="dxa" w:w="2340"/>
          </w:tcPr>
          <w:p>
            <w:r/>
            <w:r>
              <w:rPr>
                <w:rFonts w:ascii="Segoe UI" w:hAnsi="Segoe UI"/>
                <w:sz w:val="18"/>
              </w:rPr>
              <w:t>1 Sep</w:t>
            </w:r>
          </w:p>
        </w:tc>
        <w:tc>
          <w:tcPr>
            <w:tcW w:type="dxa" w:w="2340"/>
          </w:tcPr>
          <w:p>
            <w:pPr>
              <w:jc w:val="right"/>
            </w:pPr>
            <w:r/>
            <w:r>
              <w:rPr>
                <w:rFonts w:ascii="Segoe UI" w:hAnsi="Segoe UI"/>
                <w:sz w:val="18"/>
              </w:rPr>
              <w:t>54</w:t>
            </w:r>
          </w:p>
        </w:tc>
      </w:tr>
      <w:tr>
        <w:tc>
          <w:tcPr>
            <w:tcW w:type="dxa" w:w="2340"/>
          </w:tcPr>
          <w:p>
            <w:r/>
            <w:r>
              <w:rPr>
                <w:rFonts w:ascii="Segoe UI" w:hAnsi="Segoe UI"/>
                <w:sz w:val="18"/>
              </w:rPr>
              <w:t>Delivery Hero</w:t>
            </w:r>
          </w:p>
        </w:tc>
        <w:tc>
          <w:tcPr>
            <w:tcW w:type="dxa" w:w="2340"/>
          </w:tcPr>
          <w:p>
            <w:r/>
            <w:r>
              <w:rPr>
                <w:rFonts w:ascii="Segoe UI" w:hAnsi="Segoe UI"/>
                <w:sz w:val="18"/>
              </w:rPr>
              <w:t>2 Jun</w:t>
            </w:r>
          </w:p>
        </w:tc>
        <w:tc>
          <w:tcPr>
            <w:tcW w:type="dxa" w:w="2340"/>
          </w:tcPr>
          <w:p>
            <w:r/>
            <w:r>
              <w:rPr>
                <w:rFonts w:ascii="Segoe UI" w:hAnsi="Segoe UI"/>
                <w:sz w:val="18"/>
              </w:rPr>
              <w:t>15 Jul</w:t>
            </w:r>
          </w:p>
        </w:tc>
        <w:tc>
          <w:tcPr>
            <w:tcW w:type="dxa" w:w="2340"/>
          </w:tcPr>
          <w:p>
            <w:pPr>
              <w:jc w:val="right"/>
            </w:pPr>
            <w:r/>
            <w:r>
              <w:rPr>
                <w:rFonts w:ascii="Segoe UI" w:hAnsi="Segoe UI"/>
                <w:sz w:val="18"/>
              </w:rPr>
              <w:t>43</w:t>
            </w:r>
          </w:p>
        </w:tc>
      </w:tr>
      <w:tr>
        <w:tc>
          <w:tcPr>
            <w:tcW w:type="dxa" w:w="2340"/>
          </w:tcPr>
          <w:p>
            <w:r/>
            <w:r>
              <w:rPr>
                <w:rFonts w:ascii="Segoe UI" w:hAnsi="Segoe UI"/>
                <w:sz w:val="18"/>
              </w:rPr>
              <w:t>Commerzbank</w:t>
            </w:r>
          </w:p>
        </w:tc>
        <w:tc>
          <w:tcPr>
            <w:tcW w:type="dxa" w:w="2340"/>
          </w:tcPr>
          <w:p>
            <w:r/>
            <w:r>
              <w:rPr>
                <w:rFonts w:ascii="Segoe UI" w:hAnsi="Segoe UI"/>
                <w:sz w:val="18"/>
              </w:rPr>
              <w:t>2 Jun</w:t>
            </w:r>
          </w:p>
        </w:tc>
        <w:tc>
          <w:tcPr>
            <w:tcW w:type="dxa" w:w="2340"/>
          </w:tcPr>
          <w:p>
            <w:r/>
            <w:r>
              <w:rPr>
                <w:rFonts w:ascii="Segoe UI" w:hAnsi="Segoe UI"/>
                <w:sz w:val="18"/>
              </w:rPr>
              <w:t>8 Jul</w:t>
            </w:r>
          </w:p>
        </w:tc>
        <w:tc>
          <w:tcPr>
            <w:tcW w:type="dxa" w:w="2340"/>
          </w:tcPr>
          <w:p>
            <w:pPr>
              <w:jc w:val="right"/>
            </w:pPr>
            <w:r/>
            <w:r>
              <w:rPr>
                <w:rFonts w:ascii="Segoe UI" w:hAnsi="Segoe UI"/>
                <w:sz w:val="18"/>
              </w:rPr>
              <w:t>38</w:t>
            </w:r>
          </w:p>
        </w:tc>
      </w:tr>
      <w:tr>
        <w:tc>
          <w:tcPr>
            <w:tcW w:type="dxa" w:w="2340"/>
          </w:tcPr>
          <w:p>
            <w:r/>
            <w:r>
              <w:rPr>
                <w:rFonts w:ascii="Segoe UI" w:hAnsi="Segoe UI"/>
                <w:sz w:val="18"/>
              </w:rPr>
              <w:t>easyJet</w:t>
            </w:r>
          </w:p>
        </w:tc>
        <w:tc>
          <w:tcPr>
            <w:tcW w:type="dxa" w:w="2340"/>
          </w:tcPr>
          <w:p>
            <w:r/>
            <w:r>
              <w:rPr>
                <w:rFonts w:ascii="Segoe UI" w:hAnsi="Segoe UI"/>
                <w:sz w:val="18"/>
              </w:rPr>
              <w:t>31 May</w:t>
            </w:r>
          </w:p>
        </w:tc>
        <w:tc>
          <w:tcPr>
            <w:tcW w:type="dxa" w:w="2340"/>
          </w:tcPr>
          <w:p>
            <w:r/>
            <w:r>
              <w:rPr>
                <w:rFonts w:ascii="Segoe UI" w:hAnsi="Segoe UI"/>
                <w:sz w:val="18"/>
              </w:rPr>
              <w:t>6 Jul</w:t>
            </w:r>
          </w:p>
        </w:tc>
        <w:tc>
          <w:tcPr>
            <w:tcW w:type="dxa" w:w="2340"/>
          </w:tcPr>
          <w:p>
            <w:pPr>
              <w:jc w:val="right"/>
            </w:pPr>
            <w:r/>
            <w:r>
              <w:rPr>
                <w:rFonts w:ascii="Segoe UI" w:hAnsi="Segoe UI"/>
                <w:sz w:val="18"/>
              </w:rPr>
              <w:t>36</w:t>
            </w:r>
          </w:p>
        </w:tc>
      </w:tr>
      <w:tr>
        <w:tc>
          <w:tcPr>
            <w:tcW w:type="dxa" w:w="2340"/>
          </w:tcPr>
          <w:p>
            <w:r/>
            <w:r>
              <w:rPr>
                <w:rFonts w:ascii="Segoe UI" w:hAnsi="Segoe UI"/>
                <w:sz w:val="18"/>
              </w:rPr>
              <w:t>Bodycote</w:t>
            </w:r>
          </w:p>
        </w:tc>
        <w:tc>
          <w:tcPr>
            <w:tcW w:type="dxa" w:w="2340"/>
          </w:tcPr>
          <w:p>
            <w:r/>
            <w:r>
              <w:rPr>
                <w:rFonts w:ascii="Segoe UI" w:hAnsi="Segoe UI"/>
                <w:sz w:val="18"/>
              </w:rPr>
              <w:t>28 Jul</w:t>
            </w:r>
          </w:p>
        </w:tc>
        <w:tc>
          <w:tcPr>
            <w:tcW w:type="dxa" w:w="2340"/>
          </w:tcPr>
          <w:p>
            <w:r/>
            <w:r>
              <w:rPr>
                <w:rFonts w:ascii="Segoe UI" w:hAnsi="Segoe UI"/>
                <w:sz w:val="18"/>
              </w:rPr>
              <w:t>1 Sep</w:t>
            </w:r>
          </w:p>
        </w:tc>
        <w:tc>
          <w:tcPr>
            <w:tcW w:type="dxa" w:w="2340"/>
          </w:tcPr>
          <w:p>
            <w:pPr>
              <w:jc w:val="right"/>
            </w:pPr>
            <w:r/>
            <w:r>
              <w:rPr>
                <w:rFonts w:ascii="Segoe UI" w:hAnsi="Segoe UI"/>
                <w:sz w:val="18"/>
              </w:rPr>
              <w:t>35</w:t>
            </w:r>
          </w:p>
        </w:tc>
      </w:tr>
      <w:tr>
        <w:tc>
          <w:tcPr>
            <w:tcW w:type="dxa" w:w="2340"/>
          </w:tcPr>
          <w:p>
            <w:r/>
            <w:r>
              <w:rPr>
                <w:rFonts w:ascii="Segoe UI" w:hAnsi="Segoe UI"/>
                <w:sz w:val="18"/>
              </w:rPr>
              <w:t>Pinewood Technologies</w:t>
            </w:r>
          </w:p>
        </w:tc>
        <w:tc>
          <w:tcPr>
            <w:tcW w:type="dxa" w:w="2340"/>
          </w:tcPr>
          <w:p>
            <w:r/>
            <w:r>
              <w:rPr>
                <w:rFonts w:ascii="Segoe UI" w:hAnsi="Segoe UI"/>
                <w:sz w:val="18"/>
              </w:rPr>
              <w:t>27 Jul</w:t>
            </w:r>
          </w:p>
        </w:tc>
        <w:tc>
          <w:tcPr>
            <w:tcW w:type="dxa" w:w="2340"/>
          </w:tcPr>
          <w:p>
            <w:r/>
            <w:r>
              <w:rPr>
                <w:rFonts w:ascii="Segoe UI" w:hAnsi="Segoe UI"/>
                <w:sz w:val="18"/>
              </w:rPr>
              <w:t>19 Aug</w:t>
            </w:r>
          </w:p>
        </w:tc>
        <w:tc>
          <w:tcPr>
            <w:tcW w:type="dxa" w:w="2340"/>
          </w:tcPr>
          <w:p>
            <w:pPr>
              <w:jc w:val="right"/>
            </w:pPr>
            <w:r/>
            <w:r>
              <w:rPr>
                <w:rFonts w:ascii="Segoe UI" w:hAnsi="Segoe UI"/>
                <w:sz w:val="18"/>
              </w:rPr>
              <w:t>23</w:t>
            </w:r>
          </w:p>
        </w:tc>
      </w:tr>
    </w:tbl>
    <w:p/>
    <w:p>
      <w:r>
        <w:t>Median 38 days. Mean 44. Longest 82.</w:t>
      </w:r>
    </w:p>
    <w:p>
      <w:r>
        <w:t>Twelve further candidates were rejected during screening. In each case the earlier signal turned out to describe a different event, a different company, or in one instance our own output read back as an external source. Two examples of what did not survive: a takeover matched to a job advertisement for an engineering apprentice, and a £3.8bn take-private matched to a regional sales director vacancy. Neither is evidence of anything.</w:t>
      </w:r>
    </w:p>
    <w:p>
      <w:r>
        <w:t>We mention the rejections because a lead-time statistic is only worth reading if you know what was thrown away to produce it.</w:t>
      </w:r>
    </w:p>
    <w:p>
      <w:pPr>
        <w:pBdr>
          <w:bottom w:val="single" w:sz="6" w:color="C9A84C"/>
        </w:pBdr>
      </w:pPr>
    </w:p>
    <w:p>
      <w:pPr>
        <w:spacing w:before="400" w:after="160"/>
      </w:pPr>
      <w:r>
        <w:rPr>
          <w:rFonts w:ascii="Georgia" w:hAnsi="Georgia"/>
          <w:b/>
          <w:color w:val="0D1B2A"/>
          <w:sz w:val="30"/>
        </w:rPr>
        <w:t>What we cannot yet claim</w:t>
      </w:r>
    </w:p>
    <w:p>
      <w:r>
        <w:t>Two things this dataset does not support, which we would rather state than have inferred.</w:t>
      </w:r>
    </w:p>
    <w:p>
      <w:r>
        <w:rPr>
          <w:b/>
        </w:rPr>
        <w:t>We cannot publish a hiring-to-deal lead time.</w:t>
      </w:r>
      <w:r>
        <w:t xml:space="preserve"> The behavioural thesis is that a company staffing an integration function is telling you a transaction is coming. Testing that across 1,130 advertisements and 1,838 transactions produces exactly one clean match: TK Elevator advertised a transformation role on 26 May and announced an acquisition 51 days later. One observation is an anecdote. The obstacle is coverage, not method: our hiring corpus began on 29 April and spans 508 employers against a deal universe many times larger. We expect this to become publishable, and we will not publish it until it is.</w:t>
      </w:r>
    </w:p>
    <w:p>
      <w:r>
        <w:rPr>
          <w:b/>
        </w:rPr>
        <w:t>We cannot read the Nordics from our hiring data.</w:t>
      </w:r>
      <w:r>
        <w:t xml:space="preserve"> Sweden, Norway, Denmark, Finland and Ireland contributed 87 transactions and zero role advertisements. That is a collection gap. Any regional hiring conclusion in this paper excludes them by necessity.</w:t>
      </w:r>
    </w:p>
    <w:p>
      <w:r>
        <w:rPr>
          <w:b/>
        </w:rPr>
        <w:t>Our headcount time series is not yet a time series.</w:t>
      </w:r>
      <w:r>
        <w:t xml:space="preserve"> We audited it while preparing this paper and found the collector was rewriting cached values rather than observing change: 2,927 of 2,928 consecutive weekly comparisons were identical. It has been fixed, and refresh cadence for companies with live signals has moved from 90 days to 14. But no genuine week-over-week movement has been recorded yet, so nothing in this paper rests on it.</w:t>
      </w:r>
    </w:p>
    <w:p>
      <w:pPr>
        <w:pBdr>
          <w:bottom w:val="single" w:sz="6" w:color="C9A84C"/>
        </w:pBdr>
      </w:pPr>
    </w:p>
    <w:p>
      <w:pPr>
        <w:spacing w:before="400" w:after="160"/>
      </w:pPr>
      <w:r>
        <w:rPr>
          <w:rFonts w:ascii="Georgia" w:hAnsi="Georgia"/>
          <w:b/>
          <w:color w:val="0D1B2A"/>
          <w:sz w:val="30"/>
        </w:rPr>
        <w:t>What we expect in Q4</w:t>
      </w:r>
    </w:p>
    <w:p>
      <w:r>
        <w:t>Four expectations, each tied to something in the data above rather than to sentiment.</w:t>
      </w:r>
    </w:p>
    <w:p>
      <w:r>
        <w:rPr>
          <w:b/>
        </w:rPr>
        <w:t>1 · Carve-out volume holds or rises, and the work lands late.</w:t>
      </w:r>
      <w:r>
        <w:t xml:space="preserve"> Seventy-nine carve-outs at 10.7% of structure, combined with 457 integration advertisements concentrated in 129 employers, describes a market mid-separation. Carve-out advisory demand peaks six to twelve months after signing, which places the bulk of Q3's carve-outs into a Q4 and Q1 delivery window.</w:t>
      </w:r>
    </w:p>
    <w:p>
      <w:r>
        <w:rPr>
          <w:b/>
        </w:rPr>
        <w:t>2 · Industrials and Aerospace &amp; Defence carry the fee value.</w:t>
      </w:r>
      <w:r>
        <w:t xml:space="preserve"> Medians of $677m and $686m, against a corpus median of $212m. Fewer conversations, larger mandates, longer post-close tails.</w:t>
      </w:r>
    </w:p>
    <w:p>
      <w:r>
        <w:rPr>
          <w:b/>
        </w:rPr>
        <w:t>3 · The sub-$100m band keeps growing and stays invisible.</w:t>
      </w:r>
      <w:r>
        <w:t xml:space="preserve"> Thirty-seven percent of disclosed deals and a disclosure rate well below the corpus average. Serial acquirers at 20 to 30 day cadences operate almost entirely in this band. It will not appear in league tables and it is where programmatic advisory relationships are actually built.</w:t>
      </w:r>
    </w:p>
    <w:p>
      <w:r>
        <w:rPr>
          <w:b/>
        </w:rPr>
        <w:t>4 · Africa and the Middle East stay small in count and interesting in mix.</w:t>
      </w:r>
      <w:r>
        <w:t xml:space="preserve"> Africa recorded 40 transactions at a $68m median; the Middle East 25 at $310m. Middle East median deal size is above the European figure of $290m on a fraction of the volume, which is a different kind of opportunity to a growth market and should be resourced as one.</w:t>
      </w:r>
    </w:p>
    <w:p>
      <w:pPr>
        <w:pBdr>
          <w:bottom w:val="single" w:sz="6" w:color="C9A84C"/>
        </w:pBdr>
      </w:pPr>
    </w:p>
    <w:p>
      <w:pPr>
        <w:spacing w:before="400" w:after="160"/>
      </w:pPr>
      <w:r>
        <w:rPr>
          <w:rFonts w:ascii="Georgia" w:hAnsi="Georgia"/>
          <w:b/>
          <w:color w:val="0D1B2A"/>
          <w:sz w:val="30"/>
        </w:rPr>
        <w:t>The conclusion we would draw</w:t>
      </w:r>
    </w:p>
    <w:p>
      <w:r>
        <w:t>The single most useful number in this paper is 1.1%.</w:t>
      </w:r>
    </w:p>
    <w:p>
      <w:r>
        <w:t>Strategy firms appear on roughly one in ninety named adviser appointments, not because they do one in ninety of the deals, but because the announcement is the wrong document to look for them in. The mandate that matters to a consulting partner is formed before the transaction is public and delivered after it, in a window the deal record never covers.</w:t>
      </w:r>
    </w:p>
    <w:p>
      <w:r>
        <w:t>Which means origination cannot be a reading exercise. It has to be a sequencing one: the hire, the filing, the withdrawn bid, the buyback during an offer period, held together against the behaviour that usually follows, and put in front of a partner while there is still time to act.</w:t>
      </w:r>
    </w:p>
    <w:p>
      <w:r>
        <w:t>Median 38 days, in our case. That is not a long time. It is the difference between a conversation and a competitive process.</w:t>
      </w:r>
    </w:p>
    <w:p>
      <w:pPr>
        <w:pBdr>
          <w:bottom w:val="single" w:sz="6" w:color="C9A84C"/>
        </w:pBdr>
      </w:pPr>
    </w:p>
    <w:p>
      <w:r>
        <w:rPr>
          <w:i/>
        </w:rPr>
        <w:t>StrategyAI tracks deal formation across Europe, the Middle East and Africa. Figures in this paper are drawn from our own corpus for 1 June to 4 September 2026 and are auditable to source. Composition figures exclude debt and equity capital markets issuance.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