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AD84F" w14:textId="77777777" w:rsidR="00FA1543" w:rsidRDefault="00FA1543" w:rsidP="00FA1543">
      <w:pPr>
        <w:pStyle w:val="Title"/>
        <w:jc w:val="center"/>
        <w:rPr>
          <w:rFonts w:ascii="Segoe UI" w:hAnsi="Segoe UI" w:cs="Segoe UI"/>
          <w:color w:val="333333"/>
          <w:shd w:val="clear" w:color="auto" w:fill="FFFFFF"/>
        </w:rPr>
      </w:pPr>
    </w:p>
    <w:p w14:paraId="4B616B3D" w14:textId="77777777" w:rsidR="00FA1543" w:rsidRDefault="00FA1543" w:rsidP="00FA1543">
      <w:pPr>
        <w:pStyle w:val="Title"/>
        <w:jc w:val="center"/>
        <w:rPr>
          <w:rFonts w:ascii="Segoe UI" w:hAnsi="Segoe UI" w:cs="Segoe UI"/>
          <w:color w:val="333333"/>
          <w:shd w:val="clear" w:color="auto" w:fill="FFFFFF"/>
        </w:rPr>
      </w:pPr>
    </w:p>
    <w:p w14:paraId="4B6B5AE6" w14:textId="43591402"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MGMT220</w:t>
      </w:r>
    </w:p>
    <w:p w14:paraId="035ABF59" w14:textId="2235F289"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Fundamentals of Business Analytics</w:t>
      </w:r>
    </w:p>
    <w:p w14:paraId="0AA63356" w14:textId="28A6FEBD" w:rsidR="00FA1543" w:rsidRDefault="00FA1543" w:rsidP="00FA1543"/>
    <w:p w14:paraId="29876A69" w14:textId="4B09F824" w:rsidR="00FA1543" w:rsidRDefault="00FA1543" w:rsidP="00FA1543"/>
    <w:p w14:paraId="1B34F517" w14:textId="77777777"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Assignment #3</w:t>
      </w:r>
    </w:p>
    <w:p w14:paraId="5881472E" w14:textId="59AB38E3"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Data Tables/ Scenarios &amp; Optimisation</w:t>
      </w:r>
    </w:p>
    <w:p w14:paraId="18B24BE3" w14:textId="0B15FAC4" w:rsidR="00FA1543" w:rsidRDefault="00FA1543" w:rsidP="00FA1543"/>
    <w:p w14:paraId="6541E6A0" w14:textId="77777777" w:rsidR="00FA1543" w:rsidRPr="00FA1543" w:rsidRDefault="00FA1543" w:rsidP="00FA1543">
      <w:bookmarkStart w:id="0" w:name="_GoBack"/>
      <w:bookmarkEnd w:id="0"/>
    </w:p>
    <w:p w14:paraId="0753E73D" w14:textId="6B7D13F3"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45183228</w:t>
      </w:r>
    </w:p>
    <w:p w14:paraId="38733981" w14:textId="77777777" w:rsidR="00FA1543" w:rsidRPr="00FA1543" w:rsidRDefault="00FA1543" w:rsidP="00FA1543"/>
    <w:p w14:paraId="1DD49176" w14:textId="250C1B3F" w:rsidR="0029146B" w:rsidRDefault="00FA1543" w:rsidP="00FA1543">
      <w:pPr>
        <w:pStyle w:val="Title"/>
        <w:jc w:val="center"/>
      </w:pPr>
      <w:r>
        <w:t>Christopher James Howden</w:t>
      </w:r>
      <w:r w:rsidR="0029146B">
        <w:br w:type="page"/>
      </w:r>
    </w:p>
    <w:p w14:paraId="00B384AA" w14:textId="74C0A706" w:rsidR="005813C6" w:rsidRDefault="005813C6" w:rsidP="003C445B">
      <w:pPr>
        <w:pStyle w:val="Title"/>
        <w:jc w:val="center"/>
      </w:pPr>
      <w:r w:rsidRPr="005813C6">
        <w:lastRenderedPageBreak/>
        <w:t>Task 1</w:t>
      </w:r>
      <w:r>
        <w:t xml:space="preserve"> – Randwick vs Inner Ring Suburbs</w:t>
      </w:r>
    </w:p>
    <w:p w14:paraId="4514DB14" w14:textId="0A83F160" w:rsidR="00F448F3" w:rsidRDefault="00F448F3" w:rsidP="00135C6D">
      <w:pPr>
        <w:spacing w:before="240"/>
      </w:pPr>
      <w:r>
        <w:t xml:space="preserve">With current market conditions showing further drops in Strata prices likely, our analysis is based off a further 20% fall. Construct percentage costs for </w:t>
      </w:r>
      <w:r w:rsidR="00B75CAF">
        <w:t>comparisons</w:t>
      </w:r>
      <w:r>
        <w:t xml:space="preserve"> between Inner Ring suburbs are assumed at 40% strata</w:t>
      </w:r>
      <w:r w:rsidR="00B75CAF">
        <w:t>.</w:t>
      </w:r>
    </w:p>
    <w:p w14:paraId="14F8BC7A" w14:textId="77777777" w:rsidR="00223DF7" w:rsidRDefault="00223DF7" w:rsidP="00223DF7">
      <w:pPr>
        <w:pStyle w:val="Heading1"/>
      </w:pPr>
      <w:r>
        <w:t>Negative Net Profit in Randwick for more than 50% of scenarios</w:t>
      </w:r>
    </w:p>
    <w:p w14:paraId="53D3FE10" w14:textId="734C541E" w:rsidR="00B75CAF" w:rsidRDefault="00B75CAF" w:rsidP="00E02992">
      <w:r>
        <w:t>Analysing Randwick, we see that we need to be building at least 6 apartments to return any form of profit at reasonable construct costs, that is up to 40% of estimated current selling prices.</w:t>
      </w:r>
    </w:p>
    <w:p w14:paraId="7E4FECBA" w14:textId="4220C457" w:rsidR="00B75CAF" w:rsidRDefault="00030473" w:rsidP="00C90EA2">
      <w:pPr>
        <w:jc w:val="center"/>
      </w:pPr>
      <w:r>
        <w:object w:dxaOrig="12342" w:dyaOrig="3546" w14:anchorId="40BA5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440pt;height:126.35pt" o:ole="">
            <v:imagedata r:id="rId6" o:title=""/>
          </v:shape>
          <o:OLEObject Type="Embed" ProgID="Excel.Sheet.12" ShapeID="_x0000_i1137" DrawAspect="Content" ObjectID="_1602095269" r:id="rId7"/>
        </w:object>
      </w:r>
    </w:p>
    <w:p w14:paraId="6C32E09D" w14:textId="6EE1184C" w:rsidR="003C445B" w:rsidRDefault="00693EF5" w:rsidP="003C445B">
      <w:pPr>
        <w:pStyle w:val="Heading1"/>
      </w:pPr>
      <w:r>
        <w:t>For</w:t>
      </w:r>
      <w:r w:rsidR="003C445B">
        <w:t xml:space="preserve"> a</w:t>
      </w:r>
      <w:r w:rsidR="00566E90">
        <w:t xml:space="preserve"> minimum</w:t>
      </w:r>
      <w:r w:rsidR="003C445B">
        <w:t xml:space="preserve"> ROI</w:t>
      </w:r>
      <w:r w:rsidR="00566E90">
        <w:t xml:space="preserve"> of</w:t>
      </w:r>
      <w:r w:rsidR="003C445B">
        <w:t xml:space="preserve"> &gt;</w:t>
      </w:r>
      <w:r w:rsidR="00566E90">
        <w:t>=</w:t>
      </w:r>
      <w:r w:rsidR="003C445B">
        <w:t>10%, situation becomes more bleak</w:t>
      </w:r>
    </w:p>
    <w:p w14:paraId="3B123688" w14:textId="6D7F24A3" w:rsidR="00B75CAF" w:rsidRDefault="00B75CAF" w:rsidP="00E02992">
      <w:r>
        <w:t>When looking at ROI (where &gt;</w:t>
      </w:r>
      <w:r w:rsidR="009C49EE">
        <w:t>=</w:t>
      </w:r>
      <w:r>
        <w:t>10% is consider a minimum return that we need), this confirms our analysis above. That is we need to build at least 6 apartments and hold construction costs to 30% – 40%.</w:t>
      </w:r>
    </w:p>
    <w:p w14:paraId="7C6D06CE" w14:textId="18F2B074" w:rsidR="00B75CAF" w:rsidRDefault="004B1C6F" w:rsidP="00C90EA2">
      <w:pPr>
        <w:jc w:val="center"/>
      </w:pPr>
      <w:r>
        <w:object w:dxaOrig="12342" w:dyaOrig="3546" w14:anchorId="529DE682">
          <v:shape id="_x0000_i1141" type="#_x0000_t75" style="width:440pt;height:126.35pt" o:ole="">
            <v:imagedata r:id="rId8" o:title=""/>
          </v:shape>
          <o:OLEObject Type="Embed" ProgID="Excel.Sheet.12" ShapeID="_x0000_i1141" DrawAspect="Content" ObjectID="_1602095270" r:id="rId9"/>
        </w:object>
      </w:r>
    </w:p>
    <w:p w14:paraId="5961107C" w14:textId="5039E75E" w:rsidR="00C00423" w:rsidRDefault="00C00423" w:rsidP="00C00423">
      <w:pPr>
        <w:pStyle w:val="Heading1"/>
      </w:pPr>
      <w:r>
        <w:t xml:space="preserve">Botany Bay, Sydney and Marrickville </w:t>
      </w:r>
      <w:r w:rsidR="00D647D4">
        <w:t>are shown to be safe</w:t>
      </w:r>
      <w:r w:rsidR="00E25C08">
        <w:t>r</w:t>
      </w:r>
      <w:r w:rsidR="00D647D4">
        <w:t xml:space="preserve"> investment areas</w:t>
      </w:r>
    </w:p>
    <w:p w14:paraId="15AB577E" w14:textId="3CCC243A" w:rsidR="005813C6" w:rsidRDefault="00B75CAF" w:rsidP="00B75CAF">
      <w:r>
        <w:t>When comparing Randwick to other Inner Ring suburbs, it does not stack up as a sensible investment proposition</w:t>
      </w:r>
      <w:r w:rsidR="00E31E41">
        <w:t>, when compared to suburbs such as Botany Bay, Marrickville and Sydney. With these 3 suburbs we have a higher margin of safety to allow for selling prices falling and construction costs rising. Our required ROI of at least 10% is met by building at least 6 strata units.</w:t>
      </w:r>
    </w:p>
    <w:p w14:paraId="243BBA96" w14:textId="4705FA9E" w:rsidR="00B75CAF" w:rsidRDefault="004B1C6F" w:rsidP="00C90EA2">
      <w:pPr>
        <w:jc w:val="center"/>
      </w:pPr>
      <w:r>
        <w:object w:dxaOrig="12342" w:dyaOrig="4122" w14:anchorId="65FB7A1B">
          <v:shape id="_x0000_i1146" type="#_x0000_t75" style="width:433.95pt;height:144.85pt" o:ole="">
            <v:imagedata r:id="rId10" o:title=""/>
          </v:shape>
          <o:OLEObject Type="Embed" ProgID="Excel.Sheet.12" ShapeID="_x0000_i1146" DrawAspect="Content" ObjectID="_1602095271" r:id="rId11"/>
        </w:object>
      </w:r>
    </w:p>
    <w:p w14:paraId="53F79335" w14:textId="77777777" w:rsidR="00D647D4" w:rsidRDefault="00D647D4">
      <w:r>
        <w:br w:type="page"/>
      </w:r>
    </w:p>
    <w:p w14:paraId="6C4A3620" w14:textId="711F3896" w:rsidR="00D647D4" w:rsidRDefault="00904294" w:rsidP="00D647D4">
      <w:pPr>
        <w:pStyle w:val="Heading1"/>
      </w:pPr>
      <w:r>
        <w:lastRenderedPageBreak/>
        <w:t>For</w:t>
      </w:r>
      <w:r w:rsidR="00D647D4">
        <w:t xml:space="preserve"> worse case scenario, only Sydney and Botany Bay meet the &gt;=10% ROI</w:t>
      </w:r>
    </w:p>
    <w:p w14:paraId="12637967" w14:textId="257E8738" w:rsidR="00E31E41" w:rsidRDefault="004D0F5E" w:rsidP="00B75CAF">
      <w:r>
        <w:t>Let’s</w:t>
      </w:r>
      <w:r w:rsidR="00E31E41">
        <w:t xml:space="preserve"> now assume a worse case scenario, where selling prices are off by 20% from current levels, and construction costs increase from 40% to 50%</w:t>
      </w:r>
      <w:r w:rsidR="00160D34">
        <w:t xml:space="preserve"> (due to</w:t>
      </w:r>
      <w:r w:rsidR="00E31E41">
        <w:t xml:space="preserve"> an oversupply of Strata units and a shortage of skilled tradesmen</w:t>
      </w:r>
      <w:r w:rsidR="00160D34">
        <w:t>)</w:t>
      </w:r>
      <w:r w:rsidR="00E31E41">
        <w:t>.</w:t>
      </w:r>
    </w:p>
    <w:p w14:paraId="1B86277D" w14:textId="3B5D586D" w:rsidR="00E31E41" w:rsidRDefault="00E31E41" w:rsidP="00B75CAF">
      <w:r>
        <w:t>The chance of making our 10% ROI is very slim given this situation, and we can see that we would need to build at least 8 apartments to make a 10% ROI (only at Botany Bay and Sydney). Everywhere else we will be losing money or making a very small profit.</w:t>
      </w:r>
    </w:p>
    <w:p w14:paraId="07163035" w14:textId="1826AF78" w:rsidR="00C90EA2" w:rsidRDefault="00216340" w:rsidP="00C90EA2">
      <w:pPr>
        <w:jc w:val="center"/>
      </w:pPr>
      <w:r>
        <w:object w:dxaOrig="12342" w:dyaOrig="4122" w14:anchorId="6B921604">
          <v:shape id="_x0000_i1149" type="#_x0000_t75" style="width:443.05pt;height:147.85pt" o:ole="">
            <v:imagedata r:id="rId12" o:title=""/>
          </v:shape>
          <o:OLEObject Type="Embed" ProgID="Excel.Sheet.12" ShapeID="_x0000_i1149" DrawAspect="Content" ObjectID="_1602095272" r:id="rId13"/>
        </w:object>
      </w:r>
    </w:p>
    <w:p w14:paraId="0FF614EF" w14:textId="0810AF5C" w:rsidR="002158D5" w:rsidRDefault="002158D5" w:rsidP="002158D5">
      <w:pPr>
        <w:pStyle w:val="Heading1"/>
      </w:pPr>
      <w:r>
        <w:t>There are better and safer places than Randwick in Inner Ring</w:t>
      </w:r>
    </w:p>
    <w:p w14:paraId="29670E42" w14:textId="4AB1DB8D" w:rsidR="00D647D4" w:rsidRPr="002158D5" w:rsidRDefault="002158D5" w:rsidP="002158D5">
      <w:pPr>
        <w:rPr>
          <w:sz w:val="32"/>
          <w:szCs w:val="32"/>
        </w:rPr>
      </w:pPr>
      <w:r>
        <w:t xml:space="preserve">Based on the above analysis, we can see that there are safer places than Randwick in the Inner Ring (e.g. Botany Bay, Sydney and </w:t>
      </w:r>
      <w:r w:rsidR="00672A16">
        <w:t>Marrickville</w:t>
      </w:r>
      <w:r>
        <w:t>).</w:t>
      </w:r>
      <w:r w:rsidR="00D647D4">
        <w:br w:type="page"/>
      </w:r>
    </w:p>
    <w:p w14:paraId="25592B52" w14:textId="1C70011D" w:rsidR="00E31E41" w:rsidRDefault="003C445B" w:rsidP="003C445B">
      <w:pPr>
        <w:pStyle w:val="Title"/>
        <w:jc w:val="center"/>
      </w:pPr>
      <w:r>
        <w:lastRenderedPageBreak/>
        <w:t>Task 2 – Randwick vs Sydney vs Botany Bay</w:t>
      </w:r>
    </w:p>
    <w:p w14:paraId="0FE7851D" w14:textId="513974C5" w:rsidR="000C683C" w:rsidRDefault="000C683C" w:rsidP="00737150">
      <w:pPr>
        <w:spacing w:before="240"/>
      </w:pPr>
      <w:r>
        <w:t>Given the scenario of purchasing 12</w:t>
      </w:r>
      <w:r w:rsidR="00C4551F">
        <w:t xml:space="preserve"> </w:t>
      </w:r>
      <w:r w:rsidR="00C4551F">
        <w:t>adjacent</w:t>
      </w:r>
      <w:r>
        <w:t xml:space="preserve"> non-strata</w:t>
      </w:r>
      <w:r w:rsidR="00C4551F">
        <w:t xml:space="preserve"> houses, we need to calculate what combination of apartments and floors provides</w:t>
      </w:r>
      <w:r w:rsidR="00EE6DA3">
        <w:t xml:space="preserve"> the greatest Net Profit</w:t>
      </w:r>
      <w:r w:rsidR="009A1E7E">
        <w:t xml:space="preserve"> and ROI</w:t>
      </w:r>
      <w:r w:rsidR="00C4551F">
        <w:t xml:space="preserve">. We shall initially assume that costs will be at the lowest predicted </w:t>
      </w:r>
      <w:r w:rsidR="009A1E7E">
        <w:t xml:space="preserve">level </w:t>
      </w:r>
      <w:r w:rsidR="00C4551F">
        <w:t>to give us the best chance to produce profit.</w:t>
      </w:r>
      <w:r w:rsidR="00CB41C1">
        <w:t xml:space="preserve"> Additionally we will compare Randwick to the best 2 performing suburbs from Task 1 report to see if we are better investing </w:t>
      </w:r>
      <w:r w:rsidR="000C7B47">
        <w:t>there under this scenario</w:t>
      </w:r>
      <w:r w:rsidR="00CB41C1">
        <w:t>.</w:t>
      </w:r>
    </w:p>
    <w:p w14:paraId="244198C3" w14:textId="5AABC012" w:rsidR="00D54E29" w:rsidRPr="000C683C" w:rsidRDefault="00D54E29" w:rsidP="00E505C4">
      <w:pPr>
        <w:spacing w:before="240"/>
      </w:pPr>
      <w:r>
        <w:t>To optimise the ROI and Net Profit, we have used an Evolutionary model with input parameters of number apartments and number of floors. This finds the optimum combination by comparing the best output to other scenarios as the parameters are changed.</w:t>
      </w:r>
    </w:p>
    <w:p w14:paraId="76B935C0" w14:textId="10DF7B17" w:rsidR="008324EC" w:rsidRDefault="003D6301" w:rsidP="003D6301">
      <w:pPr>
        <w:pStyle w:val="Heading1"/>
      </w:pPr>
      <w:r>
        <w:t xml:space="preserve">At lowest </w:t>
      </w:r>
      <w:r w:rsidR="000C683C">
        <w:t xml:space="preserve">percentage costs, Randwick </w:t>
      </w:r>
      <w:r w:rsidR="00AF0126">
        <w:t>is a money sinkhole</w:t>
      </w:r>
    </w:p>
    <w:p w14:paraId="41EFB4BC" w14:textId="33AA16D4" w:rsidR="000C683C" w:rsidRPr="000C683C" w:rsidRDefault="000C683C" w:rsidP="00E505C4">
      <w:r>
        <w:t>Based on th</w:t>
      </w:r>
      <w:r w:rsidR="00C4551F">
        <w:t>is</w:t>
      </w:r>
      <w:r>
        <w:t xml:space="preserve"> given scenario</w:t>
      </w:r>
      <w:r w:rsidR="00C4551F">
        <w:t>, we can see Randwick</w:t>
      </w:r>
      <w:r w:rsidR="00AF0126">
        <w:t xml:space="preserve"> underperforms given the best case scenario. This suggests that we should not investigate Randwick any further, as if it can’t produce a profit in the best </w:t>
      </w:r>
      <w:r w:rsidR="00EC0FC0">
        <w:t>case scenario</w:t>
      </w:r>
      <w:r w:rsidR="00AF0126">
        <w:t>,</w:t>
      </w:r>
      <w:r w:rsidR="00EC0FC0">
        <w:t xml:space="preserve"> it would be highly unlikely to produce a profit a profit under a worst case scenario. A</w:t>
      </w:r>
      <w:r w:rsidR="00AF0126">
        <w:t>ll we would be doing is throwing money away.</w:t>
      </w:r>
    </w:p>
    <w:p w14:paraId="367C35DF" w14:textId="513B1657" w:rsidR="000C683C" w:rsidRDefault="00837CD9" w:rsidP="000C683C">
      <w:pPr>
        <w:jc w:val="center"/>
      </w:pPr>
      <w:r>
        <w:object w:dxaOrig="5994" w:dyaOrig="9221" w14:anchorId="45BDA958">
          <v:shape id="_x0000_i1158" type="#_x0000_t75" style="width:159.15pt;height:244.4pt" o:ole="">
            <v:imagedata r:id="rId14" o:title=""/>
          </v:shape>
          <o:OLEObject Type="Embed" ProgID="Excel.Sheet.12" ShapeID="_x0000_i1158" DrawAspect="Content" ObjectID="_1602095273" r:id="rId15"/>
        </w:object>
      </w:r>
      <w:r>
        <w:object w:dxaOrig="5994" w:dyaOrig="9221" w14:anchorId="493E688E">
          <v:shape id="_x0000_i1161" type="#_x0000_t75" style="width:158.05pt;height:244.4pt" o:ole="">
            <v:imagedata r:id="rId16" o:title=""/>
          </v:shape>
          <o:OLEObject Type="Embed" ProgID="Excel.Sheet.12" ShapeID="_x0000_i1161" DrawAspect="Content" ObjectID="_1602095274" r:id="rId17"/>
        </w:object>
      </w:r>
      <w:r>
        <w:object w:dxaOrig="5994" w:dyaOrig="9221" w14:anchorId="73EE57AB">
          <v:shape id="_x0000_i1166" type="#_x0000_t75" style="width:159.15pt;height:244.4pt" o:ole="">
            <v:imagedata r:id="rId18" o:title=""/>
          </v:shape>
          <o:OLEObject Type="Embed" ProgID="Excel.Sheet.12" ShapeID="_x0000_i1166" DrawAspect="Content" ObjectID="_1602095275" r:id="rId19"/>
        </w:object>
      </w:r>
    </w:p>
    <w:p w14:paraId="17343C65" w14:textId="77777777" w:rsidR="00BE2B69" w:rsidRDefault="00BE2B69">
      <w:pPr>
        <w:rPr>
          <w:rFonts w:asciiTheme="majorHAnsi" w:eastAsiaTheme="majorEastAsia" w:hAnsiTheme="majorHAnsi" w:cstheme="majorBidi"/>
          <w:color w:val="2F5496" w:themeColor="accent1" w:themeShade="BF"/>
          <w:sz w:val="32"/>
          <w:szCs w:val="32"/>
        </w:rPr>
      </w:pPr>
      <w:r>
        <w:br w:type="page"/>
      </w:r>
    </w:p>
    <w:p w14:paraId="7473A041" w14:textId="34576115" w:rsidR="00AF0126" w:rsidRDefault="0041373C" w:rsidP="00A33223">
      <w:pPr>
        <w:pStyle w:val="Heading1"/>
      </w:pPr>
      <w:r>
        <w:lastRenderedPageBreak/>
        <w:t>Based on expected 10% drop in Strata prices, ROI falls below preferred 10% cap</w:t>
      </w:r>
    </w:p>
    <w:p w14:paraId="31A86171" w14:textId="07C942AE" w:rsidR="000D7DD7" w:rsidRPr="000D7DD7" w:rsidRDefault="00C02D8F" w:rsidP="000D7DD7">
      <w:r>
        <w:t xml:space="preserve">As the economic situation deteriorates, the chance of making a decent ROI decreases significantly. </w:t>
      </w:r>
      <w:r w:rsidR="00075A3F">
        <w:t>While we can still make money, any additional costs or reduction in selling prices will put our investment at risk.</w:t>
      </w:r>
    </w:p>
    <w:p w14:paraId="134351AA" w14:textId="1C83262E" w:rsidR="0041373C" w:rsidRDefault="0087721D" w:rsidP="00692461">
      <w:pPr>
        <w:jc w:val="center"/>
      </w:pPr>
      <w:r>
        <w:object w:dxaOrig="5994" w:dyaOrig="9221" w14:anchorId="6B7BB5A6">
          <v:shape id="_x0000_i1173" type="#_x0000_t75" style="width:151.45pt;height:232pt" o:ole="">
            <v:imagedata r:id="rId20" o:title=""/>
          </v:shape>
          <o:OLEObject Type="Embed" ProgID="Excel.Sheet.12" ShapeID="_x0000_i1173" DrawAspect="Content" ObjectID="_1602095276" r:id="rId21"/>
        </w:object>
      </w:r>
      <w:r>
        <w:object w:dxaOrig="5994" w:dyaOrig="9221" w14:anchorId="5B49726D">
          <v:shape id="_x0000_i1179" type="#_x0000_t75" style="width:150.05pt;height:230.9pt" o:ole="">
            <v:imagedata r:id="rId22" o:title=""/>
          </v:shape>
          <o:OLEObject Type="Embed" ProgID="Excel.Sheet.12" ShapeID="_x0000_i1179" DrawAspect="Content" ObjectID="_1602095277" r:id="rId23"/>
        </w:object>
      </w:r>
    </w:p>
    <w:p w14:paraId="1C828406" w14:textId="1C00313F" w:rsidR="000D7DD7" w:rsidRDefault="00AD4782" w:rsidP="00692461">
      <w:pPr>
        <w:pStyle w:val="Heading1"/>
      </w:pPr>
      <w:r>
        <w:t>When</w:t>
      </w:r>
      <w:r w:rsidR="00692461">
        <w:t xml:space="preserve"> the</w:t>
      </w:r>
      <w:r>
        <w:t xml:space="preserve"> economic situation deteriorates</w:t>
      </w:r>
      <w:r w:rsidR="00692461">
        <w:t xml:space="preserve"> investment opportunity</w:t>
      </w:r>
      <w:r>
        <w:t xml:space="preserve"> not profitable</w:t>
      </w:r>
    </w:p>
    <w:p w14:paraId="4E6DF46F" w14:textId="15B22080" w:rsidR="00A4623C" w:rsidRPr="00A4623C" w:rsidRDefault="00A4623C" w:rsidP="00A4623C">
      <w:r>
        <w:t>By only increasing strata construction costs by an additional 10%, we go from making a profit to being in the red. Any other unforeseen additional costs would cause us to lose money.</w:t>
      </w:r>
    </w:p>
    <w:p w14:paraId="67624C6D" w14:textId="2A5F4D0C" w:rsidR="00AB42BA" w:rsidRDefault="0087721D" w:rsidP="00CA6D16">
      <w:pPr>
        <w:jc w:val="center"/>
      </w:pPr>
      <w:r>
        <w:object w:dxaOrig="5994" w:dyaOrig="9221" w14:anchorId="62EAB7EF">
          <v:shape id="_x0000_i1197" type="#_x0000_t75" style="width:158.35pt;height:243.3pt" o:ole="">
            <v:imagedata r:id="rId24" o:title=""/>
          </v:shape>
          <o:OLEObject Type="Embed" ProgID="Excel.Sheet.12" ShapeID="_x0000_i1197" DrawAspect="Content" ObjectID="_1602095278" r:id="rId25"/>
        </w:object>
      </w:r>
      <w:r>
        <w:object w:dxaOrig="5994" w:dyaOrig="9221" w14:anchorId="72E04234">
          <v:shape id="_x0000_i1189" type="#_x0000_t75" style="width:158.35pt;height:243.3pt" o:ole="">
            <v:imagedata r:id="rId26" o:title=""/>
          </v:shape>
          <o:OLEObject Type="Embed" ProgID="Excel.Sheet.12" ShapeID="_x0000_i1189" DrawAspect="Content" ObjectID="_1602095279" r:id="rId27"/>
        </w:object>
      </w:r>
    </w:p>
    <w:p w14:paraId="0AA7CE72" w14:textId="62A7AED9" w:rsidR="00A4623C" w:rsidRDefault="00A4623C" w:rsidP="00CA6D16">
      <w:pPr>
        <w:jc w:val="center"/>
      </w:pPr>
    </w:p>
    <w:p w14:paraId="28286DF7" w14:textId="3880D4A4" w:rsidR="00E12A6E" w:rsidRDefault="00E12A6E" w:rsidP="00E12A6E">
      <w:pPr>
        <w:pStyle w:val="Heading1"/>
      </w:pPr>
      <w:r>
        <w:t>Stick to what we do best, it’s not worth the risk!</w:t>
      </w:r>
    </w:p>
    <w:p w14:paraId="4C70BC9A" w14:textId="4159E3B5" w:rsidR="00A4623C" w:rsidRDefault="00E12A6E" w:rsidP="00A4623C">
      <w:r>
        <w:t>Our b</w:t>
      </w:r>
      <w:r w:rsidR="00A4623C">
        <w:t>est advice is to continue developing on 1 or 2 non strata then tackling a large scaled development.</w:t>
      </w:r>
      <w:r>
        <w:t xml:space="preserve"> Instead of putting all our eggs into one development, we would suggest multiple smaller developments to spread the risk.</w:t>
      </w:r>
    </w:p>
    <w:p w14:paraId="55EBA6F4" w14:textId="77777777" w:rsidR="00A4623C" w:rsidRPr="00AA34B6" w:rsidRDefault="00A4623C" w:rsidP="00CA6D16">
      <w:pPr>
        <w:jc w:val="center"/>
      </w:pPr>
    </w:p>
    <w:sectPr w:rsidR="00A4623C" w:rsidRPr="00AA34B6" w:rsidSect="000F4E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153C8"/>
    <w:multiLevelType w:val="hybridMultilevel"/>
    <w:tmpl w:val="DA92A1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69C2AF8"/>
    <w:multiLevelType w:val="hybridMultilevel"/>
    <w:tmpl w:val="3C0E42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E07"/>
    <w:rsid w:val="00030473"/>
    <w:rsid w:val="000419A4"/>
    <w:rsid w:val="00075A3F"/>
    <w:rsid w:val="000C683C"/>
    <w:rsid w:val="000C7B47"/>
    <w:rsid w:val="000D7DD7"/>
    <w:rsid w:val="000F4EEC"/>
    <w:rsid w:val="001057DC"/>
    <w:rsid w:val="00135C6D"/>
    <w:rsid w:val="00160D34"/>
    <w:rsid w:val="001B5E48"/>
    <w:rsid w:val="002158D5"/>
    <w:rsid w:val="00216340"/>
    <w:rsid w:val="00223DF7"/>
    <w:rsid w:val="00263640"/>
    <w:rsid w:val="0029146B"/>
    <w:rsid w:val="003C445B"/>
    <w:rsid w:val="003D6301"/>
    <w:rsid w:val="0041373C"/>
    <w:rsid w:val="004B1C6F"/>
    <w:rsid w:val="004D0F5E"/>
    <w:rsid w:val="005172A1"/>
    <w:rsid w:val="00566E90"/>
    <w:rsid w:val="005813C6"/>
    <w:rsid w:val="005D2E9C"/>
    <w:rsid w:val="00617FE7"/>
    <w:rsid w:val="006354B1"/>
    <w:rsid w:val="00667C13"/>
    <w:rsid w:val="00672A16"/>
    <w:rsid w:val="00692461"/>
    <w:rsid w:val="00693EF5"/>
    <w:rsid w:val="006A458E"/>
    <w:rsid w:val="006D406F"/>
    <w:rsid w:val="00737150"/>
    <w:rsid w:val="00752E61"/>
    <w:rsid w:val="007D05ED"/>
    <w:rsid w:val="007E17E9"/>
    <w:rsid w:val="007F3012"/>
    <w:rsid w:val="008324EC"/>
    <w:rsid w:val="00837CD9"/>
    <w:rsid w:val="008667C2"/>
    <w:rsid w:val="00867518"/>
    <w:rsid w:val="0087721D"/>
    <w:rsid w:val="008E0697"/>
    <w:rsid w:val="00904294"/>
    <w:rsid w:val="00947520"/>
    <w:rsid w:val="00957F9A"/>
    <w:rsid w:val="009A1E7E"/>
    <w:rsid w:val="009A41BB"/>
    <w:rsid w:val="009C49EE"/>
    <w:rsid w:val="00A33223"/>
    <w:rsid w:val="00A4623C"/>
    <w:rsid w:val="00AA34B6"/>
    <w:rsid w:val="00AB42BA"/>
    <w:rsid w:val="00AD4782"/>
    <w:rsid w:val="00AF0126"/>
    <w:rsid w:val="00B75CAF"/>
    <w:rsid w:val="00BE2B69"/>
    <w:rsid w:val="00C00423"/>
    <w:rsid w:val="00C02D8F"/>
    <w:rsid w:val="00C4551F"/>
    <w:rsid w:val="00C90EA2"/>
    <w:rsid w:val="00CA6D16"/>
    <w:rsid w:val="00CB41C1"/>
    <w:rsid w:val="00CC5D03"/>
    <w:rsid w:val="00D54E29"/>
    <w:rsid w:val="00D647D4"/>
    <w:rsid w:val="00DC078D"/>
    <w:rsid w:val="00DF31EC"/>
    <w:rsid w:val="00E02992"/>
    <w:rsid w:val="00E12A6E"/>
    <w:rsid w:val="00E15BFD"/>
    <w:rsid w:val="00E25C08"/>
    <w:rsid w:val="00E31E41"/>
    <w:rsid w:val="00E505C4"/>
    <w:rsid w:val="00EA62C2"/>
    <w:rsid w:val="00EC0FC0"/>
    <w:rsid w:val="00EE6DA3"/>
    <w:rsid w:val="00F448F3"/>
    <w:rsid w:val="00F44E07"/>
    <w:rsid w:val="00F94F7A"/>
    <w:rsid w:val="00FA15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7253"/>
  <w15:chartTrackingRefBased/>
  <w15:docId w15:val="{B047FCB3-9F26-4CD4-AE7A-74B227DF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4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3C6"/>
    <w:pPr>
      <w:ind w:left="720"/>
      <w:contextualSpacing/>
    </w:pPr>
  </w:style>
  <w:style w:type="character" w:customStyle="1" w:styleId="Heading2Char">
    <w:name w:val="Heading 2 Char"/>
    <w:basedOn w:val="DefaultParagraphFont"/>
    <w:link w:val="Heading2"/>
    <w:uiPriority w:val="9"/>
    <w:rsid w:val="003C445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C44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4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44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60656">
      <w:bodyDiv w:val="1"/>
      <w:marLeft w:val="0"/>
      <w:marRight w:val="0"/>
      <w:marTop w:val="0"/>
      <w:marBottom w:val="0"/>
      <w:divBdr>
        <w:top w:val="none" w:sz="0" w:space="0" w:color="auto"/>
        <w:left w:val="none" w:sz="0" w:space="0" w:color="auto"/>
        <w:bottom w:val="none" w:sz="0" w:space="0" w:color="auto"/>
        <w:right w:val="none" w:sz="0" w:space="0" w:color="auto"/>
      </w:divBdr>
    </w:div>
    <w:div w:id="456722974">
      <w:bodyDiv w:val="1"/>
      <w:marLeft w:val="0"/>
      <w:marRight w:val="0"/>
      <w:marTop w:val="0"/>
      <w:marBottom w:val="0"/>
      <w:divBdr>
        <w:top w:val="none" w:sz="0" w:space="0" w:color="auto"/>
        <w:left w:val="none" w:sz="0" w:space="0" w:color="auto"/>
        <w:bottom w:val="none" w:sz="0" w:space="0" w:color="auto"/>
        <w:right w:val="none" w:sz="0" w:space="0" w:color="auto"/>
      </w:divBdr>
    </w:div>
    <w:div w:id="747460845">
      <w:bodyDiv w:val="1"/>
      <w:marLeft w:val="0"/>
      <w:marRight w:val="0"/>
      <w:marTop w:val="0"/>
      <w:marBottom w:val="0"/>
      <w:divBdr>
        <w:top w:val="none" w:sz="0" w:space="0" w:color="auto"/>
        <w:left w:val="none" w:sz="0" w:space="0" w:color="auto"/>
        <w:bottom w:val="none" w:sz="0" w:space="0" w:color="auto"/>
        <w:right w:val="none" w:sz="0" w:space="0" w:color="auto"/>
      </w:divBdr>
    </w:div>
    <w:div w:id="885989521">
      <w:bodyDiv w:val="1"/>
      <w:marLeft w:val="0"/>
      <w:marRight w:val="0"/>
      <w:marTop w:val="0"/>
      <w:marBottom w:val="0"/>
      <w:divBdr>
        <w:top w:val="none" w:sz="0" w:space="0" w:color="auto"/>
        <w:left w:val="none" w:sz="0" w:space="0" w:color="auto"/>
        <w:bottom w:val="none" w:sz="0" w:space="0" w:color="auto"/>
        <w:right w:val="none" w:sz="0" w:space="0" w:color="auto"/>
      </w:divBdr>
    </w:div>
    <w:div w:id="911351731">
      <w:bodyDiv w:val="1"/>
      <w:marLeft w:val="0"/>
      <w:marRight w:val="0"/>
      <w:marTop w:val="0"/>
      <w:marBottom w:val="0"/>
      <w:divBdr>
        <w:top w:val="none" w:sz="0" w:space="0" w:color="auto"/>
        <w:left w:val="none" w:sz="0" w:space="0" w:color="auto"/>
        <w:bottom w:val="none" w:sz="0" w:space="0" w:color="auto"/>
        <w:right w:val="none" w:sz="0" w:space="0" w:color="auto"/>
      </w:divBdr>
    </w:div>
    <w:div w:id="1111509063">
      <w:bodyDiv w:val="1"/>
      <w:marLeft w:val="0"/>
      <w:marRight w:val="0"/>
      <w:marTop w:val="0"/>
      <w:marBottom w:val="0"/>
      <w:divBdr>
        <w:top w:val="none" w:sz="0" w:space="0" w:color="auto"/>
        <w:left w:val="none" w:sz="0" w:space="0" w:color="auto"/>
        <w:bottom w:val="none" w:sz="0" w:space="0" w:color="auto"/>
        <w:right w:val="none" w:sz="0" w:space="0" w:color="auto"/>
      </w:divBdr>
    </w:div>
    <w:div w:id="1485583340">
      <w:bodyDiv w:val="1"/>
      <w:marLeft w:val="0"/>
      <w:marRight w:val="0"/>
      <w:marTop w:val="0"/>
      <w:marBottom w:val="0"/>
      <w:divBdr>
        <w:top w:val="none" w:sz="0" w:space="0" w:color="auto"/>
        <w:left w:val="none" w:sz="0" w:space="0" w:color="auto"/>
        <w:bottom w:val="none" w:sz="0" w:space="0" w:color="auto"/>
        <w:right w:val="none" w:sz="0" w:space="0" w:color="auto"/>
      </w:divBdr>
    </w:div>
    <w:div w:id="1693262775">
      <w:bodyDiv w:val="1"/>
      <w:marLeft w:val="0"/>
      <w:marRight w:val="0"/>
      <w:marTop w:val="0"/>
      <w:marBottom w:val="0"/>
      <w:divBdr>
        <w:top w:val="none" w:sz="0" w:space="0" w:color="auto"/>
        <w:left w:val="none" w:sz="0" w:space="0" w:color="auto"/>
        <w:bottom w:val="none" w:sz="0" w:space="0" w:color="auto"/>
        <w:right w:val="none" w:sz="0" w:space="0" w:color="auto"/>
      </w:divBdr>
    </w:div>
    <w:div w:id="211369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Excel_Worksheet3.xls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Excel_Worksheet7.xlsx"/><Relationship Id="rId7" Type="http://schemas.openxmlformats.org/officeDocument/2006/relationships/package" Target="embeddings/Microsoft_Excel_Worksheet.xlsx"/><Relationship Id="rId12" Type="http://schemas.openxmlformats.org/officeDocument/2006/relationships/image" Target="media/image4.emf"/><Relationship Id="rId17" Type="http://schemas.openxmlformats.org/officeDocument/2006/relationships/package" Target="embeddings/Microsoft_Excel_Worksheet5.xlsx"/><Relationship Id="rId25" Type="http://schemas.openxmlformats.org/officeDocument/2006/relationships/package" Target="embeddings/Microsoft_Excel_Worksheet9.xls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Excel_Worksheet2.xlsx"/><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package" Target="embeddings/Microsoft_Excel_Worksheet4.xlsx"/><Relationship Id="rId23" Type="http://schemas.openxmlformats.org/officeDocument/2006/relationships/package" Target="embeddings/Microsoft_Excel_Worksheet8.xlsx"/><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Excel_Worksheet6.xlsx"/><Relationship Id="rId4" Type="http://schemas.openxmlformats.org/officeDocument/2006/relationships/settings" Target="settings.xml"/><Relationship Id="rId9" Type="http://schemas.openxmlformats.org/officeDocument/2006/relationships/package" Target="embeddings/Microsoft_Excel_Worksheet1.xls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Excel_Worksheet10.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11E97-A8B3-4F36-A582-CFEB09E90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Howden</dc:creator>
  <cp:keywords/>
  <dc:description/>
  <cp:lastModifiedBy>Christopher Howden</cp:lastModifiedBy>
  <cp:revision>59</cp:revision>
  <dcterms:created xsi:type="dcterms:W3CDTF">2018-10-25T04:50:00Z</dcterms:created>
  <dcterms:modified xsi:type="dcterms:W3CDTF">2018-10-26T10:33:00Z</dcterms:modified>
</cp:coreProperties>
</file>