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77F" w:rsidRPr="005C4892" w:rsidRDefault="00FF077F">
      <w:pPr>
        <w:rPr>
          <w:rFonts w:ascii="Segoe UI" w:hAnsi="Segoe UI" w:cs="Segoe UI"/>
          <w:b/>
          <w:color w:val="333333"/>
          <w:sz w:val="32"/>
          <w:u w:val="single"/>
          <w:shd w:val="clear" w:color="auto" w:fill="FFFFFF"/>
        </w:rPr>
      </w:pPr>
      <w:r w:rsidRPr="005C4892">
        <w:rPr>
          <w:rFonts w:ascii="Segoe UI" w:hAnsi="Segoe UI" w:cs="Segoe UI"/>
          <w:b/>
          <w:color w:val="333333"/>
          <w:sz w:val="32"/>
          <w:u w:val="single"/>
          <w:shd w:val="clear" w:color="auto" w:fill="FFFFFF"/>
        </w:rPr>
        <w:t>Data Cleansing</w:t>
      </w:r>
    </w:p>
    <w:p w:rsidR="00FF077F" w:rsidRPr="000047DB" w:rsidRDefault="00FF077F" w:rsidP="00865ABE">
      <w:pPr>
        <w:jc w:val="both"/>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 xml:space="preserve">For the Boiler Feed Pump Project, the data is sourced in our </w:t>
      </w:r>
      <w:proofErr w:type="spellStart"/>
      <w:r w:rsidRPr="000047DB">
        <w:rPr>
          <w:rFonts w:ascii="Helvetica" w:hAnsi="Helvetica" w:cs="Helvetica"/>
          <w:color w:val="333333"/>
          <w:sz w:val="20"/>
          <w:shd w:val="clear" w:color="auto" w:fill="FFFFFF"/>
        </w:rPr>
        <w:t>OsiSoft</w:t>
      </w:r>
      <w:proofErr w:type="spellEnd"/>
      <w:r w:rsidRPr="000047DB">
        <w:rPr>
          <w:rFonts w:ascii="Helvetica" w:hAnsi="Helvetica" w:cs="Helvetica"/>
          <w:color w:val="333333"/>
          <w:sz w:val="20"/>
          <w:shd w:val="clear" w:color="auto" w:fill="FFFFFF"/>
        </w:rPr>
        <w:t xml:space="preserve"> PI System. The P</w:t>
      </w:r>
      <w:r w:rsidR="00865ABE" w:rsidRPr="000047DB">
        <w:rPr>
          <w:rFonts w:ascii="Helvetica" w:hAnsi="Helvetica" w:cs="Helvetica"/>
          <w:color w:val="333333"/>
          <w:sz w:val="20"/>
          <w:shd w:val="clear" w:color="auto" w:fill="FFFFFF"/>
        </w:rPr>
        <w:t>lant Information (PI)</w:t>
      </w:r>
      <w:r w:rsidRPr="000047DB">
        <w:rPr>
          <w:rFonts w:ascii="Helvetica" w:hAnsi="Helvetica" w:cs="Helvetica"/>
          <w:color w:val="333333"/>
          <w:sz w:val="20"/>
          <w:shd w:val="clear" w:color="auto" w:fill="FFFFFF"/>
        </w:rPr>
        <w:t xml:space="preserve"> System is a data historian which includes information across all our plant named in a specific manner (i.e. Unit-</w:t>
      </w:r>
      <w:proofErr w:type="spellStart"/>
      <w:r w:rsidRPr="000047DB">
        <w:rPr>
          <w:rFonts w:ascii="Helvetica" w:hAnsi="Helvetica" w:cs="Helvetica"/>
          <w:color w:val="333333"/>
          <w:sz w:val="20"/>
          <w:shd w:val="clear" w:color="auto" w:fill="FFFFFF"/>
        </w:rPr>
        <w:t>UnitNumber</w:t>
      </w:r>
      <w:proofErr w:type="spellEnd"/>
      <w:r w:rsidRPr="000047DB">
        <w:rPr>
          <w:rFonts w:ascii="Helvetica" w:hAnsi="Helvetica" w:cs="Helvetica"/>
          <w:color w:val="333333"/>
          <w:sz w:val="20"/>
          <w:shd w:val="clear" w:color="auto" w:fill="FFFFFF"/>
        </w:rPr>
        <w:t>-System-Sub-System-</w:t>
      </w:r>
      <w:proofErr w:type="spellStart"/>
      <w:r w:rsidRPr="000047DB">
        <w:rPr>
          <w:rFonts w:ascii="Helvetica" w:hAnsi="Helvetica" w:cs="Helvetica"/>
          <w:color w:val="333333"/>
          <w:sz w:val="20"/>
          <w:shd w:val="clear" w:color="auto" w:fill="FFFFFF"/>
        </w:rPr>
        <w:t>TagIndex</w:t>
      </w:r>
      <w:proofErr w:type="spellEnd"/>
      <w:r w:rsidRPr="000047DB">
        <w:rPr>
          <w:rFonts w:ascii="Helvetica" w:hAnsi="Helvetica" w:cs="Helvetica"/>
          <w:color w:val="333333"/>
          <w:sz w:val="20"/>
          <w:shd w:val="clear" w:color="auto" w:fill="FFFFFF"/>
        </w:rPr>
        <w:t>-Secondary-Index)</w:t>
      </w:r>
    </w:p>
    <w:p w:rsidR="00865ABE" w:rsidRPr="000047DB" w:rsidRDefault="00865ABE" w:rsidP="00865ABE">
      <w:pPr>
        <w:jc w:val="both"/>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 xml:space="preserve">Having imported pandas as </w:t>
      </w:r>
      <w:proofErr w:type="spellStart"/>
      <w:r w:rsidRPr="000047DB">
        <w:rPr>
          <w:rFonts w:ascii="Helvetica" w:hAnsi="Helvetica" w:cs="Helvetica"/>
          <w:color w:val="333333"/>
          <w:sz w:val="20"/>
          <w:shd w:val="clear" w:color="auto" w:fill="FFFFFF"/>
        </w:rPr>
        <w:t>pd</w:t>
      </w:r>
      <w:proofErr w:type="spellEnd"/>
      <w:r w:rsidRPr="000047DB">
        <w:rPr>
          <w:rFonts w:ascii="Helvetica" w:hAnsi="Helvetica" w:cs="Helvetica"/>
          <w:color w:val="333333"/>
          <w:sz w:val="20"/>
          <w:shd w:val="clear" w:color="auto" w:fill="FFFFFF"/>
        </w:rPr>
        <w:t>, we can use the following command to read in the data:</w:t>
      </w:r>
      <w:r w:rsidRPr="000047DB">
        <w:rPr>
          <w:rFonts w:ascii="Helvetica" w:hAnsi="Helvetica" w:cs="Helvetica"/>
          <w:color w:val="333333"/>
          <w:sz w:val="20"/>
          <w:shd w:val="clear" w:color="auto" w:fill="FFFFFF"/>
        </w:rPr>
        <w:br/>
      </w:r>
      <w:r w:rsidRPr="000047DB">
        <w:rPr>
          <w:rFonts w:ascii="Helvetica" w:hAnsi="Helvetica" w:cs="Helvetica"/>
          <w:i/>
          <w:color w:val="333333"/>
          <w:sz w:val="20"/>
          <w:shd w:val="clear" w:color="auto" w:fill="FFFFFF"/>
        </w:rPr>
        <w:t xml:space="preserve">file = </w:t>
      </w:r>
      <w:proofErr w:type="spellStart"/>
      <w:r w:rsidRPr="000047DB">
        <w:rPr>
          <w:rFonts w:ascii="Helvetica" w:hAnsi="Helvetica" w:cs="Helvetica"/>
          <w:i/>
          <w:color w:val="333333"/>
          <w:sz w:val="20"/>
          <w:shd w:val="clear" w:color="auto" w:fill="FFFFFF"/>
        </w:rPr>
        <w:t>pd.excel</w:t>
      </w:r>
      <w:proofErr w:type="spellEnd"/>
      <w:r w:rsidRPr="000047DB">
        <w:rPr>
          <w:rFonts w:ascii="Helvetica" w:hAnsi="Helvetica" w:cs="Helvetica"/>
          <w:i/>
          <w:color w:val="333333"/>
          <w:sz w:val="20"/>
          <w:shd w:val="clear" w:color="auto" w:fill="FFFFFF"/>
        </w:rPr>
        <w:t xml:space="preserve">(‘BFP_data.csv’). </w:t>
      </w:r>
      <w:r w:rsidRPr="000047DB">
        <w:rPr>
          <w:rFonts w:ascii="Helvetica" w:hAnsi="Helvetica" w:cs="Helvetica"/>
          <w:color w:val="333333"/>
          <w:sz w:val="20"/>
          <w:shd w:val="clear" w:color="auto" w:fill="FFFFFF"/>
        </w:rPr>
        <w:t>Once we have identified the ‘</w:t>
      </w:r>
      <w:proofErr w:type="spellStart"/>
      <w:r w:rsidRPr="000047DB">
        <w:rPr>
          <w:rFonts w:ascii="Helvetica" w:hAnsi="Helvetica" w:cs="Helvetica"/>
          <w:color w:val="333333"/>
          <w:sz w:val="20"/>
          <w:shd w:val="clear" w:color="auto" w:fill="FFFFFF"/>
        </w:rPr>
        <w:t>sheet_names</w:t>
      </w:r>
      <w:proofErr w:type="spellEnd"/>
      <w:r w:rsidRPr="000047DB">
        <w:rPr>
          <w:rFonts w:ascii="Helvetica" w:hAnsi="Helvetica" w:cs="Helvetica"/>
          <w:color w:val="333333"/>
          <w:sz w:val="20"/>
          <w:shd w:val="clear" w:color="auto" w:fill="FFFFFF"/>
        </w:rPr>
        <w:t xml:space="preserve">’ that include the data we wanted, we used the </w:t>
      </w:r>
      <w:proofErr w:type="spellStart"/>
      <w:r w:rsidRPr="000047DB">
        <w:rPr>
          <w:rFonts w:ascii="Helvetica" w:hAnsi="Helvetica" w:cs="Helvetica"/>
          <w:color w:val="333333"/>
          <w:sz w:val="20"/>
          <w:shd w:val="clear" w:color="auto" w:fill="FFFFFF"/>
        </w:rPr>
        <w:t>file.sheet_names</w:t>
      </w:r>
      <w:proofErr w:type="spellEnd"/>
      <w:r w:rsidRPr="000047DB">
        <w:rPr>
          <w:rFonts w:ascii="Helvetica" w:hAnsi="Helvetica" w:cs="Helvetica"/>
          <w:color w:val="333333"/>
          <w:sz w:val="20"/>
          <w:shd w:val="clear" w:color="auto" w:fill="FFFFFF"/>
        </w:rPr>
        <w:t xml:space="preserve"> information and then passed this information as an argument to the .parse() method. </w:t>
      </w:r>
    </w:p>
    <w:p w:rsidR="000047DB" w:rsidRPr="000047DB" w:rsidRDefault="00865ABE" w:rsidP="00865ABE">
      <w:pPr>
        <w:jc w:val="both"/>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We have to specify ‘</w:t>
      </w:r>
      <w:proofErr w:type="spellStart"/>
      <w:r w:rsidRPr="000047DB">
        <w:rPr>
          <w:rFonts w:ascii="Helvetica" w:hAnsi="Helvetica" w:cs="Helvetica"/>
          <w:color w:val="333333"/>
          <w:sz w:val="20"/>
          <w:shd w:val="clear" w:color="auto" w:fill="FFFFFF"/>
        </w:rPr>
        <w:t>skiprows</w:t>
      </w:r>
      <w:proofErr w:type="spellEnd"/>
      <w:r w:rsidRPr="000047DB">
        <w:rPr>
          <w:rFonts w:ascii="Helvetica" w:hAnsi="Helvetica" w:cs="Helvetica"/>
          <w:color w:val="333333"/>
          <w:sz w:val="20"/>
          <w:shd w:val="clear" w:color="auto" w:fill="FFFFFF"/>
        </w:rPr>
        <w:t>=1’ in the .parse() method due to the structure of the PI Data.</w:t>
      </w:r>
      <w:r w:rsidR="000047DB" w:rsidRPr="000047DB">
        <w:rPr>
          <w:rFonts w:ascii="Helvetica" w:hAnsi="Helvetica" w:cs="Helvetica"/>
          <w:color w:val="333333"/>
          <w:sz w:val="20"/>
          <w:shd w:val="clear" w:color="auto" w:fill="FFFFFF"/>
        </w:rPr>
        <w:t xml:space="preserve"> Otherwise, the system-tag names will be included in our data frame which isn’t useful.</w:t>
      </w:r>
    </w:p>
    <w:p w:rsidR="00E660ED" w:rsidRPr="000047DB" w:rsidRDefault="00E660ED" w:rsidP="00865ABE">
      <w:pPr>
        <w:jc w:val="both"/>
        <w:rPr>
          <w:rFonts w:ascii="Helvetica" w:hAnsi="Helvetica" w:cs="Helvetica"/>
          <w:color w:val="333333"/>
          <w:sz w:val="20"/>
          <w:shd w:val="clear" w:color="auto" w:fill="FFFFFF"/>
        </w:rPr>
      </w:pPr>
      <w:r w:rsidRPr="000047DB">
        <w:rPr>
          <w:rFonts w:ascii="Helvetica" w:hAnsi="Helvetica" w:cs="Helvetica"/>
          <w:noProof/>
          <w:sz w:val="20"/>
          <w:lang w:eastAsia="en-AU"/>
        </w:rPr>
        <w:drawing>
          <wp:inline distT="0" distB="0" distL="0" distR="0" wp14:anchorId="2B39B8AB" wp14:editId="25D041D3">
            <wp:extent cx="5731510" cy="2152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2015"/>
                    </a:xfrm>
                    <a:prstGeom prst="rect">
                      <a:avLst/>
                    </a:prstGeom>
                  </pic:spPr>
                </pic:pic>
              </a:graphicData>
            </a:graphic>
          </wp:inline>
        </w:drawing>
      </w:r>
    </w:p>
    <w:p w:rsidR="000047DB" w:rsidRPr="000047DB" w:rsidRDefault="00797E40">
      <w:pPr>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 xml:space="preserve">Upon further inspection of the </w:t>
      </w:r>
      <w:proofErr w:type="spellStart"/>
      <w:r w:rsidRPr="000047DB">
        <w:rPr>
          <w:rFonts w:ascii="Helvetica" w:hAnsi="Helvetica" w:cs="Helvetica"/>
          <w:color w:val="333333"/>
          <w:sz w:val="20"/>
          <w:shd w:val="clear" w:color="auto" w:fill="FFFFFF"/>
        </w:rPr>
        <w:t>dataframe</w:t>
      </w:r>
      <w:proofErr w:type="spellEnd"/>
      <w:r w:rsidRPr="000047DB">
        <w:rPr>
          <w:rFonts w:ascii="Helvetica" w:hAnsi="Helvetica" w:cs="Helvetica"/>
          <w:color w:val="333333"/>
          <w:sz w:val="20"/>
          <w:shd w:val="clear" w:color="auto" w:fill="FFFFFF"/>
        </w:rPr>
        <w:t xml:space="preserve">, we had to provide new names to </w:t>
      </w:r>
      <w:r w:rsidR="000047DB" w:rsidRPr="000047DB">
        <w:rPr>
          <w:rFonts w:ascii="Helvetica" w:hAnsi="Helvetica" w:cs="Helvetica"/>
          <w:color w:val="333333"/>
          <w:sz w:val="20"/>
          <w:shd w:val="clear" w:color="auto" w:fill="FFFFFF"/>
        </w:rPr>
        <w:t xml:space="preserve">the </w:t>
      </w:r>
      <w:proofErr w:type="spellStart"/>
      <w:r w:rsidR="000047DB" w:rsidRPr="000047DB">
        <w:rPr>
          <w:rFonts w:ascii="Helvetica" w:hAnsi="Helvetica" w:cs="Helvetica"/>
          <w:color w:val="333333"/>
          <w:sz w:val="20"/>
          <w:shd w:val="clear" w:color="auto" w:fill="FFFFFF"/>
        </w:rPr>
        <w:t>df.columns</w:t>
      </w:r>
      <w:proofErr w:type="spellEnd"/>
      <w:r w:rsidR="000047DB" w:rsidRPr="000047DB">
        <w:rPr>
          <w:rFonts w:ascii="Helvetica" w:hAnsi="Helvetica" w:cs="Helvetica"/>
          <w:color w:val="333333"/>
          <w:sz w:val="20"/>
          <w:shd w:val="clear" w:color="auto" w:fill="FFFFFF"/>
        </w:rPr>
        <w:t xml:space="preserve"> field because of 2 reasons:</w:t>
      </w:r>
      <w:r w:rsidR="000047DB" w:rsidRPr="000047DB">
        <w:rPr>
          <w:rFonts w:ascii="Helvetica" w:hAnsi="Helvetica" w:cs="Helvetica"/>
          <w:color w:val="333333"/>
          <w:sz w:val="20"/>
          <w:shd w:val="clear" w:color="auto" w:fill="FFFFFF"/>
        </w:rPr>
        <w:br/>
        <w:t>1) We needed to skip the first row of data as this was in a non-user-friendly format (i.e. MPS-5-FW-FT-1045-XQ01).</w:t>
      </w:r>
    </w:p>
    <w:p w:rsidR="000047DB" w:rsidRPr="000047DB" w:rsidRDefault="000047DB">
      <w:pPr>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 xml:space="preserve">2) We needed to rename the existing column headers to a standardised and understandable format for the stakeholders (engineers) reading this </w:t>
      </w:r>
    </w:p>
    <w:p w:rsidR="00FF077F" w:rsidRPr="000047DB" w:rsidRDefault="000047DB">
      <w:pPr>
        <w:rPr>
          <w:rFonts w:ascii="Helvetica" w:hAnsi="Helvetica" w:cs="Helvetica"/>
          <w:color w:val="333333"/>
          <w:sz w:val="20"/>
          <w:shd w:val="clear" w:color="auto" w:fill="FFFFFF"/>
        </w:rPr>
      </w:pPr>
      <w:r w:rsidRPr="000047DB">
        <w:rPr>
          <w:rFonts w:ascii="Helvetica" w:hAnsi="Helvetica" w:cs="Helvetica"/>
          <w:noProof/>
          <w:sz w:val="20"/>
          <w:lang w:eastAsia="en-AU"/>
        </w:rPr>
        <w:drawing>
          <wp:inline distT="0" distB="0" distL="0" distR="0" wp14:anchorId="659E0003" wp14:editId="3A72B318">
            <wp:extent cx="543877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504825"/>
                    </a:xfrm>
                    <a:prstGeom prst="rect">
                      <a:avLst/>
                    </a:prstGeom>
                  </pic:spPr>
                </pic:pic>
              </a:graphicData>
            </a:graphic>
          </wp:inline>
        </w:drawing>
      </w:r>
    </w:p>
    <w:p w:rsidR="000047DB" w:rsidRDefault="000047DB">
      <w:pPr>
        <w:rPr>
          <w:rFonts w:ascii="Helvetica" w:hAnsi="Helvetica" w:cs="Helvetica"/>
          <w:color w:val="333333"/>
          <w:sz w:val="20"/>
          <w:shd w:val="clear" w:color="auto" w:fill="FFFFFF"/>
        </w:rPr>
      </w:pPr>
      <w:r w:rsidRPr="000047DB">
        <w:rPr>
          <w:rFonts w:ascii="Helvetica" w:hAnsi="Helvetica" w:cs="Helvetica"/>
          <w:color w:val="333333"/>
          <w:sz w:val="20"/>
          <w:shd w:val="clear" w:color="auto" w:fill="FFFFFF"/>
        </w:rPr>
        <w:t xml:space="preserve">Before renaming of the </w:t>
      </w:r>
      <w:proofErr w:type="spellStart"/>
      <w:r>
        <w:rPr>
          <w:rFonts w:ascii="Helvetica" w:hAnsi="Helvetica" w:cs="Helvetica"/>
          <w:color w:val="333333"/>
          <w:sz w:val="20"/>
          <w:shd w:val="clear" w:color="auto" w:fill="FFFFFF"/>
        </w:rPr>
        <w:t>df.columns</w:t>
      </w:r>
      <w:proofErr w:type="spellEnd"/>
      <w:r>
        <w:rPr>
          <w:rFonts w:ascii="Helvetica" w:hAnsi="Helvetica" w:cs="Helvetica"/>
          <w:color w:val="333333"/>
          <w:sz w:val="20"/>
          <w:shd w:val="clear" w:color="auto" w:fill="FFFFFF"/>
        </w:rPr>
        <w:t xml:space="preserve"> can occur, we need to remove all the additional columns that were included in the data frame with null values. These were removed using the .</w:t>
      </w:r>
      <w:proofErr w:type="spellStart"/>
      <w:r>
        <w:rPr>
          <w:rFonts w:ascii="Helvetica" w:hAnsi="Helvetica" w:cs="Helvetica"/>
          <w:color w:val="333333"/>
          <w:sz w:val="20"/>
          <w:shd w:val="clear" w:color="auto" w:fill="FFFFFF"/>
        </w:rPr>
        <w:t>dropNA</w:t>
      </w:r>
      <w:proofErr w:type="spellEnd"/>
      <w:r>
        <w:rPr>
          <w:rFonts w:ascii="Helvetica" w:hAnsi="Helvetica" w:cs="Helvetica"/>
          <w:color w:val="333333"/>
          <w:sz w:val="20"/>
          <w:shd w:val="clear" w:color="auto" w:fill="FFFFFF"/>
        </w:rPr>
        <w:t>() command. The key words how=’All’ ensures that all data frame columns (axis=1) will be dropped from the data set.</w:t>
      </w:r>
    </w:p>
    <w:p w:rsidR="000047DB" w:rsidRDefault="000047DB">
      <w:pPr>
        <w:rPr>
          <w:rFonts w:ascii="Helvetica" w:hAnsi="Helvetica" w:cs="Helvetica"/>
          <w:color w:val="333333"/>
          <w:sz w:val="20"/>
          <w:shd w:val="clear" w:color="auto" w:fill="FFFFFF"/>
        </w:rPr>
      </w:pPr>
      <w:r>
        <w:rPr>
          <w:rFonts w:ascii="Helvetica" w:hAnsi="Helvetica" w:cs="Helvetica"/>
          <w:color w:val="333333"/>
          <w:sz w:val="20"/>
          <w:shd w:val="clear" w:color="auto" w:fill="FFFFFF"/>
        </w:rPr>
        <w:t>Once this had been completed, we needed to create new intermediate variables from the data that we now have.</w:t>
      </w:r>
    </w:p>
    <w:p w:rsidR="000047DB" w:rsidRDefault="000047DB">
      <w:pPr>
        <w:rPr>
          <w:rFonts w:ascii="Helvetica" w:hAnsi="Helvetica" w:cs="Helvetica"/>
          <w:color w:val="333333"/>
          <w:sz w:val="20"/>
          <w:shd w:val="clear" w:color="auto" w:fill="FFFFFF"/>
        </w:rPr>
      </w:pPr>
      <w:r>
        <w:rPr>
          <w:rFonts w:ascii="Helvetica" w:hAnsi="Helvetica" w:cs="Helvetica"/>
          <w:color w:val="333333"/>
          <w:sz w:val="20"/>
          <w:shd w:val="clear" w:color="auto" w:fill="FFFFFF"/>
        </w:rPr>
        <w:t>We had to create the following 6 variables:</w:t>
      </w:r>
    </w:p>
    <w:p w:rsid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Suction Pressure</w:t>
      </w:r>
      <w:r w:rsidR="00354BE0">
        <w:rPr>
          <w:rFonts w:ascii="Helvetica" w:hAnsi="Helvetica" w:cs="Helvetica"/>
          <w:color w:val="333333"/>
          <w:sz w:val="20"/>
          <w:shd w:val="clear" w:color="auto" w:fill="FFFFFF"/>
        </w:rPr>
        <w:t xml:space="preserve"> - Pressure variable required for the calculation of the Total Head.</w:t>
      </w:r>
    </w:p>
    <w:p w:rsid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Total Head</w:t>
      </w:r>
      <w:r w:rsidR="00354BE0">
        <w:rPr>
          <w:rFonts w:ascii="Helvetica" w:hAnsi="Helvetica" w:cs="Helvetica"/>
          <w:color w:val="333333"/>
          <w:sz w:val="20"/>
          <w:shd w:val="clear" w:color="auto" w:fill="FFFFFF"/>
        </w:rPr>
        <w:t xml:space="preserve"> – This represents the Total Pressure in the pump system.</w:t>
      </w:r>
    </w:p>
    <w:p w:rsid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RPM %</w:t>
      </w:r>
      <w:r w:rsidR="00354BE0">
        <w:rPr>
          <w:rFonts w:ascii="Helvetica" w:hAnsi="Helvetica" w:cs="Helvetica"/>
          <w:color w:val="333333"/>
          <w:sz w:val="20"/>
          <w:shd w:val="clear" w:color="auto" w:fill="FFFFFF"/>
        </w:rPr>
        <w:t xml:space="preserve"> - This is the ‘Actual Revolutions Per Minute’ divided by 6,412 which is the target RPM for the pump design. </w:t>
      </w:r>
    </w:p>
    <w:p w:rsid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Net Input</w:t>
      </w:r>
      <w:r w:rsidR="00354BE0">
        <w:rPr>
          <w:rFonts w:ascii="Helvetica" w:hAnsi="Helvetica" w:cs="Helvetica"/>
          <w:color w:val="333333"/>
          <w:sz w:val="20"/>
          <w:shd w:val="clear" w:color="auto" w:fill="FFFFFF"/>
        </w:rPr>
        <w:t xml:space="preserve"> – This is the amount of energy that is being fed into the motor.</w:t>
      </w:r>
    </w:p>
    <w:p w:rsid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Net Output</w:t>
      </w:r>
      <w:r w:rsidR="00354BE0">
        <w:rPr>
          <w:rFonts w:ascii="Helvetica" w:hAnsi="Helvetica" w:cs="Helvetica"/>
          <w:color w:val="333333"/>
          <w:sz w:val="20"/>
          <w:shd w:val="clear" w:color="auto" w:fill="FFFFFF"/>
        </w:rPr>
        <w:t xml:space="preserve"> – This is the amount of energy that is output by the</w:t>
      </w:r>
      <w:r w:rsidR="00BD76D3">
        <w:rPr>
          <w:rFonts w:ascii="Helvetica" w:hAnsi="Helvetica" w:cs="Helvetica"/>
          <w:color w:val="333333"/>
          <w:sz w:val="20"/>
          <w:shd w:val="clear" w:color="auto" w:fill="FFFFFF"/>
        </w:rPr>
        <w:t xml:space="preserve"> motor.</w:t>
      </w:r>
    </w:p>
    <w:p w:rsidR="000047DB" w:rsidRPr="000047DB" w:rsidRDefault="000047DB" w:rsidP="000047DB">
      <w:pPr>
        <w:pStyle w:val="ListParagraph"/>
        <w:numPr>
          <w:ilvl w:val="0"/>
          <w:numId w:val="1"/>
        </w:numPr>
        <w:rPr>
          <w:rFonts w:ascii="Helvetica" w:hAnsi="Helvetica" w:cs="Helvetica"/>
          <w:color w:val="333333"/>
          <w:sz w:val="20"/>
          <w:shd w:val="clear" w:color="auto" w:fill="FFFFFF"/>
        </w:rPr>
      </w:pPr>
      <w:r>
        <w:rPr>
          <w:rFonts w:ascii="Helvetica" w:hAnsi="Helvetica" w:cs="Helvetica"/>
          <w:color w:val="333333"/>
          <w:sz w:val="20"/>
          <w:shd w:val="clear" w:color="auto" w:fill="FFFFFF"/>
        </w:rPr>
        <w:t>Efficiency %</w:t>
      </w:r>
      <w:r w:rsidR="00BD76D3">
        <w:rPr>
          <w:rFonts w:ascii="Helvetica" w:hAnsi="Helvetica" w:cs="Helvetica"/>
          <w:color w:val="333333"/>
          <w:sz w:val="20"/>
          <w:shd w:val="clear" w:color="auto" w:fill="FFFFFF"/>
        </w:rPr>
        <w:t xml:space="preserve"> - A ratio of how efficient our motor is at converting energy.</w:t>
      </w:r>
    </w:p>
    <w:p w:rsidR="000047DB" w:rsidRDefault="000047DB">
      <w:pPr>
        <w:rPr>
          <w:noProof/>
          <w:lang w:eastAsia="en-AU"/>
        </w:rPr>
      </w:pPr>
    </w:p>
    <w:p w:rsidR="005C4892" w:rsidRDefault="005C4892">
      <w:pPr>
        <w:rPr>
          <w:rFonts w:ascii="Helvetica" w:hAnsi="Helvetica" w:cs="Helvetica"/>
          <w:noProof/>
          <w:sz w:val="20"/>
          <w:lang w:eastAsia="en-AU"/>
        </w:rPr>
      </w:pPr>
      <w:r w:rsidRPr="005C4892">
        <w:rPr>
          <w:rFonts w:ascii="Helvetica" w:hAnsi="Helvetica" w:cs="Helvetica"/>
          <w:noProof/>
          <w:sz w:val="20"/>
          <w:lang w:eastAsia="en-AU"/>
        </w:rPr>
        <w:lastRenderedPageBreak/>
        <w:t xml:space="preserve">Suction Pressure is needed if </w:t>
      </w:r>
      <w:r>
        <w:rPr>
          <w:rFonts w:ascii="Helvetica" w:hAnsi="Helvetica" w:cs="Helvetica"/>
          <w:noProof/>
          <w:sz w:val="20"/>
          <w:lang w:eastAsia="en-AU"/>
        </w:rPr>
        <w:t>we are to calculate Total Head (Total Pressure in the pipe system). However, we did not have the ‘suction pressure’ tag in PI. We only had the discharge pressure. Without the suction pressure, the differential pressure cannot be calculated. Reviewing the engineering drawings, we were able to identify another signal that we could use as a substitute for suction pressure – this is the Daerator Pressure. This is represented in the below drawing.</w:t>
      </w:r>
    </w:p>
    <w:p w:rsidR="00354BE0" w:rsidRDefault="00354BE0">
      <w:pPr>
        <w:rPr>
          <w:rFonts w:ascii="Helvetica" w:hAnsi="Helvetica" w:cs="Helvetica"/>
          <w:noProof/>
          <w:sz w:val="20"/>
          <w:lang w:eastAsia="en-AU"/>
        </w:rPr>
      </w:pPr>
      <w:r>
        <w:rPr>
          <w:noProof/>
          <w:lang w:eastAsia="en-AU"/>
        </w:rPr>
        <w:drawing>
          <wp:inline distT="0" distB="0" distL="0" distR="0" wp14:anchorId="2DED7A00" wp14:editId="0A6E15F7">
            <wp:extent cx="3562350" cy="426301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364" cy="4303724"/>
                    </a:xfrm>
                    <a:prstGeom prst="rect">
                      <a:avLst/>
                    </a:prstGeom>
                  </pic:spPr>
                </pic:pic>
              </a:graphicData>
            </a:graphic>
          </wp:inline>
        </w:drawing>
      </w:r>
    </w:p>
    <w:p w:rsidR="00354BE0" w:rsidRDefault="00354BE0">
      <w:pPr>
        <w:rPr>
          <w:rFonts w:ascii="Helvetica" w:hAnsi="Helvetica" w:cs="Helvetica"/>
          <w:noProof/>
          <w:sz w:val="20"/>
          <w:lang w:eastAsia="en-AU"/>
        </w:rPr>
      </w:pPr>
    </w:p>
    <w:p w:rsidR="006733D7" w:rsidRDefault="005C4892">
      <w:pPr>
        <w:rPr>
          <w:rFonts w:ascii="Helvetica" w:hAnsi="Helvetica" w:cs="Helvetica"/>
          <w:noProof/>
          <w:sz w:val="20"/>
          <w:lang w:eastAsia="en-AU"/>
        </w:rPr>
      </w:pPr>
      <w:r>
        <w:rPr>
          <w:rFonts w:ascii="Helvetica" w:hAnsi="Helvetica" w:cs="Helvetica"/>
          <w:noProof/>
          <w:sz w:val="20"/>
          <w:lang w:eastAsia="en-AU"/>
        </w:rPr>
        <w:t>Every Boiler Feed Pump is connected to the Daerator. The Daerator has a signal called Daerator Shell Pressure recorded in kP</w:t>
      </w:r>
      <w:r w:rsidR="006733D7">
        <w:rPr>
          <w:rFonts w:ascii="Helvetica" w:hAnsi="Helvetica" w:cs="Helvetica"/>
          <w:noProof/>
          <w:sz w:val="20"/>
          <w:lang w:eastAsia="en-AU"/>
        </w:rPr>
        <w:t xml:space="preserve">a (kiloPascals). Measuring the height from the Daerator to the Boiler Feed Pump gives us a height of 21.847 Meters. Using the standard international table of measurements, we can conver this height (Meters) into an appropriate kPa. 1 kPa = </w:t>
      </w:r>
      <w:r w:rsidR="006733D7" w:rsidRPr="006733D7">
        <w:rPr>
          <w:rFonts w:ascii="Helvetica" w:hAnsi="Helvetica" w:cs="Helvetica"/>
          <w:noProof/>
          <w:sz w:val="20"/>
          <w:lang w:eastAsia="en-AU"/>
        </w:rPr>
        <w:t>0.10199773339984</w:t>
      </w:r>
      <w:r w:rsidR="006733D7">
        <w:rPr>
          <w:rFonts w:ascii="Helvetica" w:hAnsi="Helvetica" w:cs="Helvetica"/>
          <w:noProof/>
          <w:sz w:val="20"/>
          <w:lang w:eastAsia="en-AU"/>
        </w:rPr>
        <w:t xml:space="preserve"> Meters</w:t>
      </w:r>
      <w:r w:rsidR="006733D7" w:rsidRPr="006733D7">
        <w:rPr>
          <w:rFonts w:ascii="Helvetica" w:hAnsi="Helvetica" w:cs="Helvetica"/>
          <w:noProof/>
          <w:sz w:val="20"/>
          <w:lang w:eastAsia="en-AU"/>
        </w:rPr>
        <w:t>.</w:t>
      </w:r>
      <w:r w:rsidR="006733D7">
        <w:rPr>
          <w:rFonts w:ascii="Helvetica" w:hAnsi="Helvetica" w:cs="Helvetica"/>
          <w:noProof/>
          <w:sz w:val="20"/>
          <w:lang w:eastAsia="en-AU"/>
        </w:rPr>
        <w:t xml:space="preserve"> Therefore, using this logic we have:</w:t>
      </w:r>
    </w:p>
    <w:p w:rsidR="006733D7" w:rsidRPr="006733D7" w:rsidRDefault="006733D7">
      <w:pPr>
        <w:rPr>
          <w:rFonts w:ascii="Helvetica" w:eastAsiaTheme="minorEastAsia" w:hAnsi="Helvetica" w:cs="Helvetica"/>
          <w:noProof/>
          <w:sz w:val="20"/>
          <w:lang w:eastAsia="en-AU"/>
        </w:rPr>
      </w:pPr>
      <m:oMathPara>
        <m:oMath>
          <m:f>
            <m:fPr>
              <m:ctrlPr>
                <w:rPr>
                  <w:rFonts w:ascii="Cambria Math" w:hAnsi="Cambria Math" w:cs="Helvetica"/>
                  <w:i/>
                  <w:noProof/>
                  <w:sz w:val="20"/>
                  <w:lang w:eastAsia="en-AU"/>
                </w:rPr>
              </m:ctrlPr>
            </m:fPr>
            <m:num>
              <m:r>
                <w:rPr>
                  <w:rFonts w:ascii="Cambria Math" w:hAnsi="Cambria Math" w:cs="Helvetica"/>
                  <w:noProof/>
                  <w:sz w:val="20"/>
                  <w:lang w:eastAsia="en-AU"/>
                </w:rPr>
                <m:t>21.847</m:t>
              </m:r>
            </m:num>
            <m:den>
              <m:r>
                <w:rPr>
                  <w:rFonts w:ascii="Cambria Math" w:hAnsi="Cambria Math" w:cs="Helvetica"/>
                  <w:noProof/>
                  <w:sz w:val="20"/>
                  <w:lang w:eastAsia="en-AU"/>
                </w:rPr>
                <m:t>0.10199773339984</m:t>
              </m:r>
            </m:den>
          </m:f>
          <m:r>
            <w:rPr>
              <w:rFonts w:ascii="Cambria Math" w:hAnsi="Cambria Math" w:cs="Helvetica"/>
              <w:noProof/>
              <w:sz w:val="20"/>
              <w:lang w:eastAsia="en-AU"/>
            </w:rPr>
            <m:t xml:space="preserve"> =214.19 kPa</m:t>
          </m:r>
        </m:oMath>
      </m:oMathPara>
    </w:p>
    <w:p w:rsidR="006733D7" w:rsidRDefault="006733D7">
      <w:pPr>
        <w:rPr>
          <w:rFonts w:ascii="Helvetica" w:eastAsiaTheme="minorEastAsia" w:hAnsi="Helvetica" w:cs="Helvetica"/>
          <w:noProof/>
          <w:sz w:val="20"/>
          <w:lang w:eastAsia="en-AU"/>
        </w:rPr>
      </w:pPr>
      <w:r>
        <w:rPr>
          <w:rFonts w:ascii="Helvetica" w:hAnsi="Helvetica" w:cs="Helvetica"/>
          <w:noProof/>
          <w:sz w:val="20"/>
          <w:lang w:eastAsia="en-AU"/>
        </w:rPr>
        <w:t xml:space="preserve"> </w:t>
      </w:r>
      <w:r w:rsidR="00D133AB">
        <w:rPr>
          <w:rFonts w:ascii="Helvetica" w:eastAsiaTheme="minorEastAsia" w:hAnsi="Helvetica" w:cs="Helvetica"/>
          <w:noProof/>
          <w:sz w:val="20"/>
          <w:lang w:eastAsia="en-AU"/>
        </w:rPr>
        <w:br/>
      </w:r>
      <w:r w:rsidR="00354BE0">
        <w:rPr>
          <w:rFonts w:ascii="Helvetica" w:eastAsiaTheme="minorEastAsia" w:hAnsi="Helvetica" w:cs="Helvetica"/>
          <w:noProof/>
          <w:sz w:val="20"/>
          <w:lang w:eastAsia="en-AU"/>
        </w:rPr>
        <w:t xml:space="preserve">Using the Daerator Shell Pressure and combining this with our newly discovered height-to-kPa measure, we have a new variable now called Suction Pressure. This is done in the below line of code: </w:t>
      </w:r>
    </w:p>
    <w:p w:rsidR="00D133AB" w:rsidRPr="00D133AB" w:rsidRDefault="00D133AB">
      <w:pPr>
        <w:rPr>
          <w:rFonts w:ascii="Helvetica" w:eastAsiaTheme="minorEastAsia" w:hAnsi="Helvetica" w:cs="Helvetica"/>
          <w:noProof/>
          <w:sz w:val="20"/>
          <w:lang w:eastAsia="en-AU"/>
        </w:rPr>
      </w:pPr>
      <w:r>
        <w:rPr>
          <w:noProof/>
          <w:lang w:eastAsia="en-AU"/>
        </w:rPr>
        <w:drawing>
          <wp:inline distT="0" distB="0" distL="0" distR="0" wp14:anchorId="7081FC03" wp14:editId="245B556C">
            <wp:extent cx="5731510" cy="133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
                    </a:xfrm>
                    <a:prstGeom prst="rect">
                      <a:avLst/>
                    </a:prstGeom>
                  </pic:spPr>
                </pic:pic>
              </a:graphicData>
            </a:graphic>
          </wp:inline>
        </w:drawing>
      </w:r>
    </w:p>
    <w:p w:rsidR="00BD76D3" w:rsidRDefault="00BD76D3">
      <w:pPr>
        <w:rPr>
          <w:noProof/>
          <w:lang w:eastAsia="en-AU"/>
        </w:rPr>
      </w:pPr>
      <w:r>
        <w:rPr>
          <w:noProof/>
          <w:lang w:eastAsia="en-AU"/>
        </w:rPr>
        <w:t xml:space="preserve">This approach has been repeated for the remaining 5 variables. Once this process was complete, the last check was to apply a filter on the data frame to remove periods where the pump is not on. We have applied a simple filter to do so. </w:t>
      </w:r>
    </w:p>
    <w:p w:rsidR="00BD76D3" w:rsidRDefault="00BD76D3">
      <w:pPr>
        <w:rPr>
          <w:noProof/>
          <w:lang w:eastAsia="en-AU"/>
        </w:rPr>
      </w:pPr>
    </w:p>
    <w:p w:rsidR="00BD76D3" w:rsidRDefault="00BD76D3">
      <w:pPr>
        <w:rPr>
          <w:noProof/>
          <w:lang w:eastAsia="en-AU"/>
        </w:rPr>
      </w:pPr>
      <w:r>
        <w:rPr>
          <w:noProof/>
          <w:lang w:eastAsia="en-AU"/>
        </w:rPr>
        <w:lastRenderedPageBreak/>
        <w:br/>
        <w:t>This can be done with the below line which checks to see that:</w:t>
      </w:r>
    </w:p>
    <w:p w:rsidR="005C4892" w:rsidRDefault="00BD76D3">
      <w:pPr>
        <w:rPr>
          <w:noProof/>
          <w:lang w:eastAsia="en-AU"/>
        </w:rPr>
      </w:pPr>
      <w:bookmarkStart w:id="0" w:name="_GoBack"/>
      <w:bookmarkEnd w:id="0"/>
      <w:r w:rsidRPr="00BD76D3">
        <w:rPr>
          <w:b/>
          <w:noProof/>
          <w:lang w:eastAsia="en-AU"/>
        </w:rPr>
        <w:t>Flow Rate is greater than 0</w:t>
      </w:r>
      <w:r>
        <w:rPr>
          <w:noProof/>
          <w:lang w:eastAsia="en-AU"/>
        </w:rPr>
        <w:t xml:space="preserve"> – If there is no flow rate, there is no water supply, hence the pump cannot be on.</w:t>
      </w:r>
    </w:p>
    <w:p w:rsidR="00BD76D3" w:rsidRDefault="00BD76D3">
      <w:pPr>
        <w:rPr>
          <w:noProof/>
          <w:lang w:eastAsia="en-AU"/>
        </w:rPr>
      </w:pPr>
      <w:r w:rsidRPr="00BD76D3">
        <w:rPr>
          <w:b/>
          <w:noProof/>
          <w:lang w:eastAsia="en-AU"/>
        </w:rPr>
        <w:t>Pump RPM &gt; 0</w:t>
      </w:r>
      <w:r>
        <w:rPr>
          <w:noProof/>
          <w:lang w:eastAsia="en-AU"/>
        </w:rPr>
        <w:t xml:space="preserve"> – If there are no revolutions, then the pump is not in operation.</w:t>
      </w:r>
    </w:p>
    <w:p w:rsidR="00BD76D3" w:rsidRDefault="00BD76D3">
      <w:pPr>
        <w:rPr>
          <w:noProof/>
          <w:lang w:eastAsia="en-AU"/>
        </w:rPr>
      </w:pPr>
      <w:r w:rsidRPr="00BD76D3">
        <w:rPr>
          <w:b/>
          <w:noProof/>
          <w:lang w:eastAsia="en-AU"/>
        </w:rPr>
        <w:t>Total Head &gt; 0</w:t>
      </w:r>
      <w:r>
        <w:rPr>
          <w:noProof/>
          <w:lang w:eastAsia="en-AU"/>
        </w:rPr>
        <w:t xml:space="preserve"> – If the Total Pressure in the system is not greater than 0, then the pump cannot be on as pressure is required to transfer fluid from one location to another. With no ‘head’, this cannot occur. </w:t>
      </w:r>
    </w:p>
    <w:p w:rsidR="00BD76D3" w:rsidRDefault="00BD76D3">
      <w:pPr>
        <w:rPr>
          <w:noProof/>
          <w:lang w:eastAsia="en-AU"/>
        </w:rPr>
      </w:pPr>
      <w:r>
        <w:rPr>
          <w:noProof/>
          <w:lang w:eastAsia="en-AU"/>
        </w:rPr>
        <w:drawing>
          <wp:inline distT="0" distB="0" distL="0" distR="0" wp14:anchorId="4BA7759B" wp14:editId="4CA23713">
            <wp:extent cx="5731510" cy="196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215"/>
                    </a:xfrm>
                    <a:prstGeom prst="rect">
                      <a:avLst/>
                    </a:prstGeom>
                  </pic:spPr>
                </pic:pic>
              </a:graphicData>
            </a:graphic>
          </wp:inline>
        </w:drawing>
      </w:r>
    </w:p>
    <w:p w:rsidR="00354BE0" w:rsidRDefault="00354BE0">
      <w:pPr>
        <w:rPr>
          <w:noProof/>
          <w:lang w:eastAsia="en-AU"/>
        </w:rPr>
      </w:pPr>
    </w:p>
    <w:p w:rsidR="00797E40" w:rsidRPr="00FF077F" w:rsidRDefault="00797E40">
      <w:pPr>
        <w:rPr>
          <w:rFonts w:ascii="Helvetica" w:hAnsi="Helvetica" w:cs="Helvetica"/>
          <w:color w:val="333333"/>
          <w:shd w:val="clear" w:color="auto" w:fill="FFFFFF"/>
        </w:rPr>
      </w:pPr>
    </w:p>
    <w:sectPr w:rsidR="00797E40" w:rsidRPr="00FF0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65E5A"/>
    <w:multiLevelType w:val="hybridMultilevel"/>
    <w:tmpl w:val="443C00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7F"/>
    <w:rsid w:val="000047DB"/>
    <w:rsid w:val="00354BE0"/>
    <w:rsid w:val="005C4892"/>
    <w:rsid w:val="00656B62"/>
    <w:rsid w:val="006733D7"/>
    <w:rsid w:val="00797E40"/>
    <w:rsid w:val="00865ABE"/>
    <w:rsid w:val="00BD76D3"/>
    <w:rsid w:val="00D133AB"/>
    <w:rsid w:val="00E11036"/>
    <w:rsid w:val="00E660ED"/>
    <w:rsid w:val="00FF07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2D48"/>
  <w15:chartTrackingRefBased/>
  <w15:docId w15:val="{5E6ED893-2EF1-4738-A8EC-6F60C267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DB"/>
    <w:pPr>
      <w:ind w:left="720"/>
      <w:contextualSpacing/>
    </w:pPr>
  </w:style>
  <w:style w:type="character" w:styleId="PlaceholderText">
    <w:name w:val="Placeholder Text"/>
    <w:basedOn w:val="DefaultParagraphFont"/>
    <w:uiPriority w:val="99"/>
    <w:semiHidden/>
    <w:rsid w:val="00673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dc:creator>
  <cp:keywords/>
  <dc:description/>
  <cp:lastModifiedBy>Christopher H</cp:lastModifiedBy>
  <cp:revision>2</cp:revision>
  <dcterms:created xsi:type="dcterms:W3CDTF">2017-10-11T07:25:00Z</dcterms:created>
  <dcterms:modified xsi:type="dcterms:W3CDTF">2017-10-11T09:02:00Z</dcterms:modified>
</cp:coreProperties>
</file>