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52176" w14:textId="0165EE97" w:rsidR="00763998" w:rsidRDefault="006D71D6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r w:rsidR="00763998">
        <w:rPr>
          <w:rFonts w:asciiTheme="majorBidi" w:hAnsiTheme="majorBidi" w:cstheme="majorBidi"/>
        </w:rPr>
        <w:t>Christopher Huson</w:t>
      </w:r>
      <w:r>
        <w:rPr>
          <w:rFonts w:asciiTheme="majorBidi" w:hAnsiTheme="majorBidi" w:cstheme="majorBidi"/>
        </w:rPr>
        <w:t>]</w:t>
      </w:r>
    </w:p>
    <w:p w14:paraId="226AF826" w14:textId="77777777" w:rsidR="00357FBF" w:rsidRDefault="00357FBF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Dr. Huson</w:t>
      </w:r>
    </w:p>
    <w:p w14:paraId="35BEA377" w14:textId="77777777" w:rsidR="00357FBF" w:rsidRDefault="00357FBF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11.1 IB Math SL</w:t>
      </w:r>
    </w:p>
    <w:p w14:paraId="2AE3E4C4" w14:textId="11190A9B" w:rsidR="00972E31" w:rsidRPr="00972E31" w:rsidRDefault="00BA2F47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14</w:t>
      </w:r>
      <w:r w:rsidR="00763998">
        <w:rPr>
          <w:rFonts w:asciiTheme="majorBidi" w:hAnsiTheme="majorBidi" w:cstheme="majorBidi"/>
        </w:rPr>
        <w:t xml:space="preserve"> December</w:t>
      </w:r>
      <w:r w:rsidR="00972E31" w:rsidRPr="00972E31">
        <w:rPr>
          <w:rFonts w:asciiTheme="majorBidi" w:hAnsiTheme="majorBidi" w:cstheme="majorBidi"/>
        </w:rPr>
        <w:t xml:space="preserve"> 2017</w:t>
      </w:r>
    </w:p>
    <w:p w14:paraId="6286626A" w14:textId="2D930B1F" w:rsidR="00F14872" w:rsidRDefault="00BA4578" w:rsidP="006D71D6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Two </w:t>
      </w:r>
      <w:r w:rsidR="006D71D6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 xml:space="preserve">ethods </w:t>
      </w:r>
      <w:r w:rsidR="00BA2F47">
        <w:rPr>
          <w:rFonts w:asciiTheme="majorBidi" w:hAnsiTheme="majorBidi" w:cstheme="majorBidi"/>
        </w:rPr>
        <w:t>of Calculation: Application to Interest Rates</w:t>
      </w:r>
    </w:p>
    <w:p w14:paraId="0C77B3D0" w14:textId="2C341AC9" w:rsidR="00676C46" w:rsidRDefault="00676C46" w:rsidP="00756E6E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BA2F47">
        <w:rPr>
          <w:rFonts w:asciiTheme="majorBidi" w:hAnsiTheme="majorBidi" w:cstheme="majorBidi"/>
        </w:rPr>
        <w:t>This paper compares two methods of calculating interest on a loan</w:t>
      </w:r>
      <w:r>
        <w:rPr>
          <w:rFonts w:asciiTheme="majorBidi" w:hAnsiTheme="majorBidi" w:cstheme="majorBidi"/>
        </w:rPr>
        <w:t>.</w:t>
      </w:r>
      <w:r w:rsidR="00BA2F47">
        <w:rPr>
          <w:rFonts w:asciiTheme="majorBidi" w:hAnsiTheme="majorBidi" w:cstheme="majorBidi"/>
        </w:rPr>
        <w:t xml:space="preserve"> The first is analytically, using an exponential formula and hand-held calculator. The second is to build up the cash flows period by period using spreadsheet technology. [E</w:t>
      </w:r>
      <w:r>
        <w:rPr>
          <w:rFonts w:asciiTheme="majorBidi" w:hAnsiTheme="majorBidi" w:cstheme="majorBidi"/>
        </w:rPr>
        <w:t xml:space="preserve">xplain </w:t>
      </w:r>
      <w:r w:rsidR="00BA2F47">
        <w:rPr>
          <w:rFonts w:asciiTheme="majorBidi" w:hAnsiTheme="majorBidi" w:cstheme="majorBidi"/>
        </w:rPr>
        <w:t>how writing this paper will both develop your understanding of exponential functions</w:t>
      </w:r>
      <w:r w:rsidR="00E20278">
        <w:rPr>
          <w:rFonts w:asciiTheme="majorBidi" w:hAnsiTheme="majorBidi" w:cstheme="majorBidi"/>
        </w:rPr>
        <w:t>,</w:t>
      </w:r>
      <w:r w:rsidR="00BA2F47">
        <w:rPr>
          <w:rFonts w:asciiTheme="majorBidi" w:hAnsiTheme="majorBidi" w:cstheme="majorBidi"/>
        </w:rPr>
        <w:t xml:space="preserve"> and the use of technology and technical writing.]</w:t>
      </w:r>
      <w:r>
        <w:rPr>
          <w:rFonts w:asciiTheme="majorBidi" w:hAnsiTheme="majorBidi" w:cstheme="majorBidi"/>
        </w:rPr>
        <w:t xml:space="preserve"> </w:t>
      </w:r>
      <w:r w:rsidR="00BA2F47">
        <w:rPr>
          <w:rFonts w:asciiTheme="majorBidi" w:hAnsiTheme="majorBidi" w:cstheme="majorBidi"/>
        </w:rPr>
        <w:t xml:space="preserve">The paragraphs below set out the problem situation, explain the algebraic/calculator method, and, </w:t>
      </w:r>
      <w:r w:rsidR="00756E6E">
        <w:rPr>
          <w:rFonts w:asciiTheme="majorBidi" w:hAnsiTheme="majorBidi" w:cstheme="majorBidi"/>
        </w:rPr>
        <w:t>then</w:t>
      </w:r>
      <w:r w:rsidR="00BA2F47">
        <w:rPr>
          <w:rFonts w:asciiTheme="majorBidi" w:hAnsiTheme="majorBidi" w:cstheme="majorBidi"/>
        </w:rPr>
        <w:t xml:space="preserve"> show the spreadsheet calculation.</w:t>
      </w:r>
      <w:r w:rsidR="00756E6E">
        <w:rPr>
          <w:rFonts w:asciiTheme="majorBidi" w:hAnsiTheme="majorBidi" w:cstheme="majorBidi"/>
        </w:rPr>
        <w:t xml:space="preserve"> Finally, I conclude with a brief comparison of the calculations</w:t>
      </w:r>
      <w:bookmarkStart w:id="0" w:name="_GoBack"/>
      <w:bookmarkEnd w:id="0"/>
      <w:r w:rsidR="00756E6E">
        <w:rPr>
          <w:rFonts w:asciiTheme="majorBidi" w:hAnsiTheme="majorBidi" w:cstheme="majorBidi"/>
        </w:rPr>
        <w:t>.</w:t>
      </w:r>
    </w:p>
    <w:p w14:paraId="1B6A7DC6" w14:textId="7390492D" w:rsidR="002F06C0" w:rsidRPr="008B0783" w:rsidRDefault="007F40FC" w:rsidP="00763998">
      <w:pPr>
        <w:spacing w:line="480" w:lineRule="auto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Interest rate parameters roughly in line with college loans</w:t>
      </w:r>
    </w:p>
    <w:p w14:paraId="2D61CFFC" w14:textId="08D0DCF6" w:rsidR="005F626B" w:rsidRDefault="005F626B" w:rsidP="007F40FC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E20278">
        <w:rPr>
          <w:rFonts w:asciiTheme="majorBidi" w:hAnsiTheme="majorBidi" w:cstheme="majorBidi"/>
        </w:rPr>
        <w:t xml:space="preserve">The parameters of the interest rate calculation are set out below. The values are round numbers to simplify the discussion. </w:t>
      </w:r>
      <w:r>
        <w:rPr>
          <w:rFonts w:asciiTheme="majorBidi" w:hAnsiTheme="majorBidi" w:cstheme="majorBidi"/>
        </w:rPr>
        <w:t>[</w:t>
      </w:r>
      <w:r w:rsidR="00E20278">
        <w:rPr>
          <w:rFonts w:asciiTheme="majorBidi" w:hAnsiTheme="majorBidi" w:cstheme="majorBidi"/>
        </w:rPr>
        <w:t xml:space="preserve">Explain clearly the inputs, perhaps using a table or list: r=6%, t=10 years, P=$10,000. Compound the interest annually, or as a challenge, you may compound monthly. You may also </w:t>
      </w:r>
      <w:r w:rsidR="00B439A5">
        <w:rPr>
          <w:rFonts w:asciiTheme="majorBidi" w:hAnsiTheme="majorBidi" w:cstheme="majorBidi"/>
        </w:rPr>
        <w:t>show both compounding alternatives and compare them.</w:t>
      </w:r>
      <w:r>
        <w:rPr>
          <w:rFonts w:asciiTheme="majorBidi" w:hAnsiTheme="majorBidi" w:cstheme="majorBidi"/>
        </w:rPr>
        <w:t>]</w:t>
      </w:r>
    </w:p>
    <w:p w14:paraId="448E6420" w14:textId="4FCC7BDD" w:rsidR="005F626B" w:rsidRPr="003A05A5" w:rsidRDefault="00553AFE" w:rsidP="00763998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Analytic</w:t>
      </w:r>
      <w:r w:rsidR="005F626B" w:rsidRPr="003A05A5">
        <w:rPr>
          <w:rFonts w:asciiTheme="majorBidi" w:hAnsiTheme="majorBidi" w:cstheme="majorBidi"/>
          <w:b/>
          <w:bCs/>
        </w:rPr>
        <w:t xml:space="preserve"> solution</w:t>
      </w:r>
      <w:r>
        <w:rPr>
          <w:rFonts w:asciiTheme="majorBidi" w:hAnsiTheme="majorBidi" w:cstheme="majorBidi"/>
          <w:b/>
          <w:bCs/>
        </w:rPr>
        <w:t xml:space="preserve"> using an exponential formula and calculator</w:t>
      </w:r>
    </w:p>
    <w:p w14:paraId="046E89CA" w14:textId="63376582" w:rsidR="00676C46" w:rsidRDefault="005F626B" w:rsidP="00D10F6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C05A20">
        <w:rPr>
          <w:rFonts w:asciiTheme="majorBidi" w:hAnsiTheme="majorBidi" w:cstheme="majorBidi"/>
        </w:rPr>
        <w:t>This section presents the calculation in the way it would be typically performed in school or on a test, using algebraic notation (“working” in IB terminology) and a hand-held calculator</w:t>
      </w:r>
      <w:r>
        <w:rPr>
          <w:rFonts w:asciiTheme="majorBidi" w:hAnsiTheme="majorBidi" w:cstheme="majorBidi"/>
        </w:rPr>
        <w:t xml:space="preserve">. </w:t>
      </w:r>
      <w:r w:rsidR="00C05A20">
        <w:rPr>
          <w:rFonts w:asciiTheme="majorBidi" w:hAnsiTheme="majorBidi" w:cstheme="majorBidi"/>
        </w:rPr>
        <w:t>[Introduce the formula and parameters (refer to the values above). W</w:t>
      </w:r>
      <w:r>
        <w:rPr>
          <w:rFonts w:asciiTheme="majorBidi" w:hAnsiTheme="majorBidi" w:cstheme="majorBidi"/>
        </w:rPr>
        <w:t>rite down the steps</w:t>
      </w:r>
      <w:r w:rsidR="00C05A20">
        <w:rPr>
          <w:rFonts w:asciiTheme="majorBidi" w:hAnsiTheme="majorBidi" w:cstheme="majorBidi"/>
        </w:rPr>
        <w:t xml:space="preserve"> with an appropriate amount of detail, center the equations and use</w:t>
      </w:r>
      <w:r>
        <w:rPr>
          <w:rFonts w:asciiTheme="majorBidi" w:hAnsiTheme="majorBidi" w:cstheme="majorBidi"/>
        </w:rPr>
        <w:t xml:space="preserve"> formal</w:t>
      </w:r>
      <w:r w:rsidR="00C05A20">
        <w:rPr>
          <w:rFonts w:asciiTheme="majorBidi" w:hAnsiTheme="majorBidi" w:cstheme="majorBidi"/>
        </w:rPr>
        <w:t xml:space="preserve"> mathematical notation</w:t>
      </w:r>
      <w:r>
        <w:rPr>
          <w:rFonts w:asciiTheme="majorBidi" w:hAnsiTheme="majorBidi" w:cstheme="majorBidi"/>
        </w:rPr>
        <w:t>.</w:t>
      </w:r>
      <w:r w:rsidR="003A05A5">
        <w:rPr>
          <w:rFonts w:asciiTheme="majorBidi" w:hAnsiTheme="majorBidi" w:cstheme="majorBidi"/>
        </w:rPr>
        <w:t xml:space="preserve"> Close with a brief summarizing statement or introduction to the next section.</w:t>
      </w:r>
      <w:r>
        <w:rPr>
          <w:rFonts w:asciiTheme="majorBidi" w:hAnsiTheme="majorBidi" w:cstheme="majorBidi"/>
        </w:rPr>
        <w:t>]</w:t>
      </w:r>
    </w:p>
    <w:p w14:paraId="48A92D74" w14:textId="119E3F3D" w:rsidR="003A05A5" w:rsidRPr="00927E27" w:rsidRDefault="00635679" w:rsidP="00763998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Cash flow details</w:t>
      </w:r>
      <w:r w:rsidR="003A05A5" w:rsidRPr="00927E27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calculated with a spreadsheet</w:t>
      </w:r>
    </w:p>
    <w:p w14:paraId="1D41991A" w14:textId="6284C081" w:rsidR="003A05A5" w:rsidRDefault="003A05A5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42402">
        <w:rPr>
          <w:rFonts w:asciiTheme="majorBidi" w:hAnsiTheme="majorBidi" w:cstheme="majorBidi"/>
        </w:rPr>
        <w:t>Spreadsheets are powerful tools commonly used in industry and science. The interest rate calculation is performed in Excel, as discussed in this section.</w:t>
      </w:r>
      <w:r w:rsidR="000566ED">
        <w:rPr>
          <w:rFonts w:asciiTheme="majorBidi" w:hAnsiTheme="majorBidi" w:cstheme="majorBidi"/>
        </w:rPr>
        <w:t xml:space="preserve"> [</w:t>
      </w:r>
      <w:r w:rsidR="00970BC4">
        <w:rPr>
          <w:rFonts w:asciiTheme="majorBidi" w:hAnsiTheme="majorBidi" w:cstheme="majorBidi"/>
        </w:rPr>
        <w:t>Clearly explain the spreadsheet method, especially the display of each year’s interest amount and accumulating principal amount</w:t>
      </w:r>
      <w:r w:rsidR="002A32B9">
        <w:rPr>
          <w:rFonts w:asciiTheme="majorBidi" w:hAnsiTheme="majorBidi" w:cstheme="majorBidi"/>
        </w:rPr>
        <w:t xml:space="preserve"> in rows</w:t>
      </w:r>
      <w:r w:rsidR="000566ED">
        <w:rPr>
          <w:rFonts w:asciiTheme="majorBidi" w:hAnsiTheme="majorBidi" w:cstheme="majorBidi"/>
        </w:rPr>
        <w:t>.</w:t>
      </w:r>
      <w:r w:rsidR="002A32B9">
        <w:rPr>
          <w:rFonts w:asciiTheme="majorBidi" w:hAnsiTheme="majorBidi" w:cstheme="majorBidi"/>
        </w:rPr>
        <w:t xml:space="preserve"> Explain each column. Include an image of the Excel sheet.</w:t>
      </w:r>
      <w:r w:rsidR="000566ED">
        <w:rPr>
          <w:rFonts w:asciiTheme="majorBidi" w:hAnsiTheme="majorBidi" w:cstheme="majorBidi"/>
        </w:rPr>
        <w:t>]</w:t>
      </w:r>
    </w:p>
    <w:p w14:paraId="2D1EAB31" w14:textId="77777777" w:rsidR="00ED0D9B" w:rsidRDefault="00ED0D9B" w:rsidP="00ED0D9B">
      <w:pPr>
        <w:keepNext/>
        <w:spacing w:line="480" w:lineRule="auto"/>
        <w:jc w:val="center"/>
      </w:pPr>
      <w:r>
        <w:rPr>
          <w:rFonts w:asciiTheme="majorBidi" w:hAnsiTheme="majorBidi" w:cstheme="majorBidi"/>
        </w:rPr>
        <w:object w:dxaOrig="7300" w:dyaOrig="5500" w14:anchorId="25CCC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75.15pt" o:ole="">
            <v:imagedata r:id="rId6" o:title=""/>
          </v:shape>
          <o:OLEObject Type="Embed" ProgID="Excel.Sheet.12" ShapeID="_x0000_i1025" DrawAspect="Content" ObjectID="_1574748869" r:id="rId7"/>
        </w:object>
      </w:r>
    </w:p>
    <w:p w14:paraId="24E425C2" w14:textId="49832451" w:rsidR="00ED0D9B" w:rsidRDefault="00ED0D9B" w:rsidP="00ED0D9B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r w:rsidR="00DD0951">
        <w:fldChar w:fldCharType="begin"/>
      </w:r>
      <w:r w:rsidR="00DD0951">
        <w:instrText xml:space="preserve"> SEQ Figure \* ARABIC </w:instrText>
      </w:r>
      <w:r w:rsidR="00DD0951">
        <w:fldChar w:fldCharType="separate"/>
      </w:r>
      <w:r w:rsidR="00756E6E">
        <w:rPr>
          <w:noProof/>
        </w:rPr>
        <w:t>1</w:t>
      </w:r>
      <w:r w:rsidR="00DD0951">
        <w:rPr>
          <w:noProof/>
        </w:rPr>
        <w:fldChar w:fldCharType="end"/>
      </w:r>
      <w:r>
        <w:t xml:space="preserve"> Spreadsheet calculation of interest (Microsoft Excel)</w:t>
      </w:r>
    </w:p>
    <w:p w14:paraId="75145B99" w14:textId="135128B3" w:rsidR="009819E3" w:rsidRPr="00927E27" w:rsidRDefault="009819E3" w:rsidP="00830A71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Discussion and comparison of results</w:t>
      </w:r>
    </w:p>
    <w:p w14:paraId="2588C99E" w14:textId="7FA266CB" w:rsidR="00676C46" w:rsidRDefault="009819E3" w:rsidP="00830A7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42402">
        <w:rPr>
          <w:rFonts w:asciiTheme="majorBidi" w:hAnsiTheme="majorBidi" w:cstheme="majorBidi"/>
        </w:rPr>
        <w:t xml:space="preserve">[Summarize the results, </w:t>
      </w:r>
      <w:r w:rsidR="0033578E">
        <w:rPr>
          <w:rFonts w:asciiTheme="majorBidi" w:hAnsiTheme="majorBidi" w:cstheme="majorBidi"/>
        </w:rPr>
        <w:t>compare the methods in a paragraph or two and conclude the paper.]</w:t>
      </w:r>
      <w:r>
        <w:rPr>
          <w:rFonts w:asciiTheme="majorBidi" w:hAnsiTheme="majorBidi" w:cstheme="majorBidi"/>
        </w:rPr>
        <w:t xml:space="preserve"> </w:t>
      </w:r>
      <w:r w:rsidR="00676C46">
        <w:rPr>
          <w:rFonts w:asciiTheme="majorBidi" w:hAnsiTheme="majorBidi" w:cstheme="majorBidi"/>
        </w:rPr>
        <w:br w:type="page"/>
      </w:r>
    </w:p>
    <w:p w14:paraId="5F67C27C" w14:textId="1FA8B086" w:rsidR="00F14872" w:rsidRDefault="00F14872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 this for your table. It’s neat and </w:t>
      </w:r>
      <w:r w:rsidR="00966AB7">
        <w:rPr>
          <w:rFonts w:asciiTheme="majorBidi" w:hAnsiTheme="majorBidi" w:cstheme="majorBidi"/>
        </w:rPr>
        <w:t>in MLA format. In your text, refer to it as “(see table 1)”</w:t>
      </w:r>
      <w:r w:rsidR="000A7666">
        <w:rPr>
          <w:rFonts w:asciiTheme="majorBidi" w:hAnsiTheme="majorBidi" w:cstheme="majorBidi"/>
        </w:rPr>
        <w:t xml:space="preserve"> or “(see fig. 1).”</w:t>
      </w:r>
    </w:p>
    <w:p w14:paraId="4D698CD5" w14:textId="77777777" w:rsidR="00F14872" w:rsidRDefault="00F14872" w:rsidP="00763998">
      <w:pPr>
        <w:spacing w:line="480" w:lineRule="auto"/>
        <w:rPr>
          <w:rFonts w:asciiTheme="majorBidi" w:hAnsiTheme="majorBidi" w:cstheme="majorBidi"/>
        </w:rPr>
      </w:pPr>
    </w:p>
    <w:p w14:paraId="794CD2D8" w14:textId="5A7D4E62" w:rsidR="00F14872" w:rsidRDefault="00F14872" w:rsidP="00763998">
      <w:pPr>
        <w:keepNext/>
        <w:keepLines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Table 1</w:t>
      </w:r>
    </w:p>
    <w:p w14:paraId="1341B304" w14:textId="74E1D5D8" w:rsidR="00F14872" w:rsidRDefault="00C93101" w:rsidP="00763998">
      <w:pPr>
        <w:keepNext/>
        <w:keepLines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SAT and i</w:t>
      </w:r>
      <w:r w:rsidR="00F14872">
        <w:rPr>
          <w:rFonts w:asciiTheme="majorBidi" w:hAnsiTheme="majorBidi" w:cstheme="majorBidi"/>
        </w:rPr>
        <w:t>ncome for select colleges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50"/>
        <w:gridCol w:w="2520"/>
        <w:gridCol w:w="1710"/>
      </w:tblGrid>
      <w:tr w:rsidR="00F14872" w:rsidRPr="00F14872" w14:paraId="13694B8F" w14:textId="77777777" w:rsidTr="00F14872">
        <w:trPr>
          <w:trHeight w:val="520"/>
        </w:trPr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57718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School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16ABE9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SAT (25th percentile)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DDB78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Median mid-career salary</w:t>
            </w:r>
          </w:p>
        </w:tc>
      </w:tr>
      <w:tr w:rsidR="00F14872" w:rsidRPr="00F14872" w14:paraId="7590A7CF" w14:textId="77777777" w:rsidTr="00F14872">
        <w:trPr>
          <w:trHeight w:val="340"/>
        </w:trPr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472EF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Adelphi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A0753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1480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7E673" w14:textId="790DFABA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86,400</w:t>
            </w:r>
          </w:p>
        </w:tc>
      </w:tr>
      <w:tr w:rsidR="00F14872" w:rsidRPr="00F14872" w14:paraId="2FBA6523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4982AED4" w14:textId="453825E8" w:rsidR="00F14872" w:rsidRPr="00F14872" w:rsidRDefault="00681775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Stony B</w:t>
            </w:r>
            <w:r w:rsidR="00F14872" w:rsidRPr="00F14872">
              <w:rPr>
                <w:rFonts w:ascii="Times New Roman" w:hAnsi="Times New Roman" w:cs="Times New Roman"/>
                <w:color w:val="000000"/>
              </w:rPr>
              <w:t>rook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79D3F5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1660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DC528C9" w14:textId="6DFF06CB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90,900</w:t>
            </w:r>
          </w:p>
        </w:tc>
      </w:tr>
      <w:tr w:rsidR="00F14872" w:rsidRPr="00F14872" w14:paraId="3678BFC8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1CC6B972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Fairfield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C51A11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1710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A85B4E0" w14:textId="0A353472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99,500</w:t>
            </w:r>
          </w:p>
        </w:tc>
      </w:tr>
      <w:tr w:rsidR="00F14872" w:rsidRPr="00F14872" w14:paraId="09474D97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51621D4B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Rutgers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0AA495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1710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F58B5E7" w14:textId="77397FBD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91,800</w:t>
            </w:r>
          </w:p>
        </w:tc>
      </w:tr>
      <w:tr w:rsidR="00F14872" w:rsidRPr="00F14872" w14:paraId="3A85E3DD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0F785846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Fordham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DF34AC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1830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F469A7" w14:textId="6B4A30C5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90,300</w:t>
            </w:r>
          </w:p>
        </w:tc>
      </w:tr>
      <w:tr w:rsidR="00F14872" w:rsidRPr="00F14872" w14:paraId="551C5F3A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3D8377F7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NYU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79E2109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1940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8663C1A" w14:textId="1BCB1B29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88,500</w:t>
            </w:r>
          </w:p>
        </w:tc>
      </w:tr>
      <w:tr w:rsidR="00F14872" w:rsidRPr="00F14872" w14:paraId="44DDB753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3C7E0D3C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Columbia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ACE967B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6FC4CC" w14:textId="2A7B75E1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105,000</w:t>
            </w:r>
          </w:p>
        </w:tc>
      </w:tr>
      <w:tr w:rsidR="00F14872" w:rsidRPr="00F14872" w14:paraId="5BD1746A" w14:textId="77777777" w:rsidTr="00F14872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8CED6AE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Princeton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0E776E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2110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085C81" w14:textId="2DF23FD0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130,000</w:t>
            </w:r>
          </w:p>
        </w:tc>
      </w:tr>
      <w:tr w:rsidR="00F14872" w:rsidRPr="00F14872" w14:paraId="4EAB0D09" w14:textId="77777777" w:rsidTr="00F14872">
        <w:trPr>
          <w:trHeight w:val="340"/>
        </w:trPr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D6BF626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Mean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1CECB14" w14:textId="77777777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1818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5516560" w14:textId="6D190569" w:rsidR="00F14872" w:rsidRPr="00F14872" w:rsidRDefault="00F14872" w:rsidP="00763998">
            <w:pPr>
              <w:keepNext/>
              <w:keepLines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14872">
              <w:rPr>
                <w:rFonts w:ascii="Times New Roman" w:hAnsi="Times New Roman" w:cs="Times New Roman"/>
                <w:color w:val="000000"/>
              </w:rPr>
              <w:t>97,800</w:t>
            </w:r>
          </w:p>
        </w:tc>
      </w:tr>
    </w:tbl>
    <w:p w14:paraId="429358BC" w14:textId="39F7199E" w:rsidR="00C93101" w:rsidRDefault="00C93101" w:rsidP="00763998">
      <w:pPr>
        <w:keepNext/>
        <w:keepLines/>
        <w:spacing w:before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Source: Mike McClenathan,</w:t>
      </w:r>
      <w:r w:rsidRPr="0042319A">
        <w:rPr>
          <w:rFonts w:asciiTheme="majorBidi" w:hAnsiTheme="majorBidi" w:cstheme="majorBidi"/>
        </w:rPr>
        <w:t xml:space="preserve"> “How Much Is A High SAT Worth? Up To $100K In Future Earnings.” </w:t>
      </w:r>
      <w:r w:rsidRPr="000A7666">
        <w:rPr>
          <w:rFonts w:asciiTheme="majorBidi" w:hAnsiTheme="majorBidi" w:cstheme="majorBidi"/>
        </w:rPr>
        <w:t>Forbes, Forbes Magazine</w:t>
      </w:r>
      <w:r w:rsidR="00CB5841">
        <w:rPr>
          <w:rFonts w:asciiTheme="majorBidi" w:hAnsiTheme="majorBidi" w:cstheme="majorBidi"/>
        </w:rPr>
        <w:t>, 12</w:t>
      </w:r>
      <w:r w:rsidRPr="0042319A">
        <w:rPr>
          <w:rFonts w:asciiTheme="majorBidi" w:hAnsiTheme="majorBidi" w:cstheme="majorBidi"/>
        </w:rPr>
        <w:t xml:space="preserve"> June 2012</w:t>
      </w:r>
      <w:r>
        <w:rPr>
          <w:rFonts w:asciiTheme="majorBidi" w:hAnsiTheme="majorBidi" w:cstheme="majorBidi"/>
        </w:rPr>
        <w:t>.</w:t>
      </w:r>
    </w:p>
    <w:p w14:paraId="5BF755BD" w14:textId="77777777" w:rsidR="008E3E18" w:rsidRDefault="008E3E18" w:rsidP="00763998">
      <w:pPr>
        <w:spacing w:before="240" w:line="480" w:lineRule="auto"/>
        <w:rPr>
          <w:rFonts w:asciiTheme="majorBidi" w:hAnsiTheme="majorBidi" w:cstheme="majorBidi"/>
        </w:rPr>
      </w:pPr>
    </w:p>
    <w:p w14:paraId="72DF9E9E" w14:textId="342D50DF" w:rsidR="000A7666" w:rsidRDefault="000A7666" w:rsidP="00763998">
      <w:pPr>
        <w:keepNext/>
        <w:keepLines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</w:t>
      </w:r>
    </w:p>
    <w:p w14:paraId="7CED3C40" w14:textId="733C91EF" w:rsidR="000A7666" w:rsidRDefault="000A7666" w:rsidP="00763998">
      <w:pPr>
        <w:keepNext/>
        <w:keepLines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Scatter plot of SAT scores versus median mid-career salaries (6 colleges and the mean)</w:t>
      </w:r>
    </w:p>
    <w:p w14:paraId="392A79F5" w14:textId="507772AD" w:rsidR="000A7666" w:rsidRDefault="000A7666" w:rsidP="00763998">
      <w:pPr>
        <w:keepNext/>
        <w:keepLines/>
        <w:spacing w:line="48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1772DEB" wp14:editId="5E7E691B">
            <wp:extent cx="4769354" cy="4285108"/>
            <wp:effectExtent l="0" t="0" r="635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FCA15C" w14:textId="22E4A8BF" w:rsidR="00F14872" w:rsidRDefault="00F14872" w:rsidP="00763998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4033781" w14:textId="77777777" w:rsidR="00F14872" w:rsidRDefault="00F14872" w:rsidP="00763998">
      <w:pPr>
        <w:spacing w:line="480" w:lineRule="auto"/>
        <w:rPr>
          <w:rFonts w:asciiTheme="majorBidi" w:hAnsiTheme="majorBidi" w:cstheme="majorBidi"/>
        </w:rPr>
      </w:pPr>
    </w:p>
    <w:p w14:paraId="587A5CCA" w14:textId="77777777" w:rsidR="002F06C0" w:rsidRDefault="002F06C0" w:rsidP="00763998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Works Cited</w:t>
      </w:r>
    </w:p>
    <w:p w14:paraId="54B0A059" w14:textId="09F6F84E" w:rsidR="002F06C0" w:rsidRPr="00D70290" w:rsidRDefault="002F06C0" w:rsidP="00763998">
      <w:pPr>
        <w:spacing w:line="480" w:lineRule="auto"/>
        <w:ind w:left="720" w:hanging="72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Buchanan, Laurie, et al. </w:t>
      </w:r>
      <w:r w:rsidR="00C93101" w:rsidRPr="00D70290">
        <w:rPr>
          <w:rFonts w:asciiTheme="majorBidi" w:hAnsiTheme="majorBidi" w:cstheme="majorBidi"/>
          <w:i/>
        </w:rPr>
        <w:t>IB Diploma Programme</w:t>
      </w:r>
      <w:r w:rsidR="00D70290" w:rsidRPr="00D70290">
        <w:rPr>
          <w:rFonts w:asciiTheme="majorBidi" w:hAnsiTheme="majorBidi" w:cstheme="majorBidi"/>
          <w:i/>
        </w:rPr>
        <w:t>:</w:t>
      </w:r>
      <w:r w:rsidR="00C93101" w:rsidRPr="00D70290">
        <w:rPr>
          <w:rFonts w:asciiTheme="majorBidi" w:hAnsiTheme="majorBidi" w:cstheme="majorBidi"/>
          <w:i/>
        </w:rPr>
        <w:t xml:space="preserve"> Mathe</w:t>
      </w:r>
      <w:r w:rsidRPr="00D70290">
        <w:rPr>
          <w:rFonts w:asciiTheme="majorBidi" w:hAnsiTheme="majorBidi" w:cstheme="majorBidi"/>
          <w:i/>
        </w:rPr>
        <w:t>matics Standard Level</w:t>
      </w:r>
      <w:r w:rsidRPr="00D70290">
        <w:rPr>
          <w:rFonts w:asciiTheme="majorBidi" w:hAnsiTheme="majorBidi" w:cstheme="majorBidi"/>
        </w:rPr>
        <w:t xml:space="preserve">. </w:t>
      </w:r>
      <w:r w:rsidR="009B17FB" w:rsidRPr="00D70290">
        <w:rPr>
          <w:rFonts w:asciiTheme="majorBidi" w:hAnsiTheme="majorBidi" w:cstheme="majorBidi"/>
        </w:rPr>
        <w:t>New York: Oxford, 2012.</w:t>
      </w:r>
    </w:p>
    <w:p w14:paraId="0D7D5AD3" w14:textId="166914F5" w:rsidR="00F932DC" w:rsidRPr="00972E31" w:rsidRDefault="00F932DC" w:rsidP="00763998">
      <w:pPr>
        <w:spacing w:line="480" w:lineRule="auto"/>
        <w:rPr>
          <w:rFonts w:asciiTheme="majorBidi" w:hAnsiTheme="majorBidi" w:cstheme="majorBidi"/>
        </w:rPr>
      </w:pPr>
    </w:p>
    <w:sectPr w:rsidR="00F932DC" w:rsidRPr="00972E31" w:rsidSect="007C5D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7AD8B" w14:textId="77777777" w:rsidR="00DD0951" w:rsidRDefault="00DD0951" w:rsidP="00972E31">
      <w:r>
        <w:separator/>
      </w:r>
    </w:p>
  </w:endnote>
  <w:endnote w:type="continuationSeparator" w:id="0">
    <w:p w14:paraId="0B34EE88" w14:textId="77777777" w:rsidR="00DD0951" w:rsidRDefault="00DD0951" w:rsidP="0097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98752" w14:textId="77777777" w:rsidR="00DD0951" w:rsidRDefault="00DD0951" w:rsidP="00972E31">
      <w:r>
        <w:separator/>
      </w:r>
    </w:p>
  </w:footnote>
  <w:footnote w:type="continuationSeparator" w:id="0">
    <w:p w14:paraId="7BCC60D1" w14:textId="77777777" w:rsidR="00DD0951" w:rsidRDefault="00DD0951" w:rsidP="00972E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5D97F" w14:textId="65A91297" w:rsidR="00972E31" w:rsidRPr="00972E31" w:rsidRDefault="006D71D6" w:rsidP="006D71D6">
    <w:pPr>
      <w:pStyle w:val="Head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[Huson]</w:t>
    </w:r>
    <w:r w:rsidR="00830A71">
      <w:rPr>
        <w:rFonts w:asciiTheme="majorBidi" w:hAnsiTheme="majorBidi" w:cstheme="majorBidi"/>
      </w:rPr>
      <w:t xml:space="preserve"> </w:t>
    </w:r>
    <w:r>
      <w:rPr>
        <w:rFonts w:asciiTheme="majorBidi" w:hAnsiTheme="majorBidi" w:cstheme="majorBidi"/>
      </w:rPr>
      <w:fldChar w:fldCharType="begin"/>
    </w:r>
    <w:r>
      <w:rPr>
        <w:rFonts w:asciiTheme="majorBidi" w:hAnsiTheme="majorBidi" w:cstheme="majorBidi"/>
      </w:rPr>
      <w:instrText xml:space="preserve"> PAGE  \* MERGEFORMAT </w:instrText>
    </w:r>
    <w:r>
      <w:rPr>
        <w:rFonts w:asciiTheme="majorBidi" w:hAnsiTheme="majorBidi" w:cstheme="majorBidi"/>
      </w:rPr>
      <w:fldChar w:fldCharType="separate"/>
    </w:r>
    <w:r w:rsidR="00DD0951">
      <w:rPr>
        <w:rFonts w:asciiTheme="majorBidi" w:hAnsiTheme="majorBidi" w:cstheme="majorBidi"/>
        <w:noProof/>
      </w:rPr>
      <w:t>1</w:t>
    </w:r>
    <w:r>
      <w:rPr>
        <w:rFonts w:asciiTheme="majorBidi" w:hAnsiTheme="majorBidi" w:cstheme="majorBidi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C5"/>
    <w:rsid w:val="00011896"/>
    <w:rsid w:val="000566ED"/>
    <w:rsid w:val="000A7666"/>
    <w:rsid w:val="00255B4D"/>
    <w:rsid w:val="00286585"/>
    <w:rsid w:val="002A32B9"/>
    <w:rsid w:val="002F06C0"/>
    <w:rsid w:val="002F65A2"/>
    <w:rsid w:val="003331C5"/>
    <w:rsid w:val="0033578E"/>
    <w:rsid w:val="003452FB"/>
    <w:rsid w:val="00357FBF"/>
    <w:rsid w:val="003A05A5"/>
    <w:rsid w:val="003A5680"/>
    <w:rsid w:val="0042319A"/>
    <w:rsid w:val="00474B75"/>
    <w:rsid w:val="004926D9"/>
    <w:rsid w:val="004D51C1"/>
    <w:rsid w:val="00553AFE"/>
    <w:rsid w:val="005868A8"/>
    <w:rsid w:val="00591096"/>
    <w:rsid w:val="005F626B"/>
    <w:rsid w:val="0060345B"/>
    <w:rsid w:val="00635679"/>
    <w:rsid w:val="00676C46"/>
    <w:rsid w:val="00681775"/>
    <w:rsid w:val="006D71D6"/>
    <w:rsid w:val="00756E6E"/>
    <w:rsid w:val="00763998"/>
    <w:rsid w:val="007C5D92"/>
    <w:rsid w:val="007F40FC"/>
    <w:rsid w:val="00822D2F"/>
    <w:rsid w:val="00830A71"/>
    <w:rsid w:val="00872B10"/>
    <w:rsid w:val="00897BB9"/>
    <w:rsid w:val="008B0783"/>
    <w:rsid w:val="008E06CA"/>
    <w:rsid w:val="008E3E18"/>
    <w:rsid w:val="008E777B"/>
    <w:rsid w:val="00927E27"/>
    <w:rsid w:val="00942402"/>
    <w:rsid w:val="00966AB7"/>
    <w:rsid w:val="00970BC4"/>
    <w:rsid w:val="00972E31"/>
    <w:rsid w:val="009819E3"/>
    <w:rsid w:val="009B17FB"/>
    <w:rsid w:val="00B439A5"/>
    <w:rsid w:val="00B80E92"/>
    <w:rsid w:val="00BA2CAF"/>
    <w:rsid w:val="00BA2F47"/>
    <w:rsid w:val="00BA4578"/>
    <w:rsid w:val="00BC4EBD"/>
    <w:rsid w:val="00C05A20"/>
    <w:rsid w:val="00C651C8"/>
    <w:rsid w:val="00C93101"/>
    <w:rsid w:val="00CB5841"/>
    <w:rsid w:val="00D10F62"/>
    <w:rsid w:val="00D16414"/>
    <w:rsid w:val="00D36B3F"/>
    <w:rsid w:val="00D70290"/>
    <w:rsid w:val="00DA08A9"/>
    <w:rsid w:val="00DD0951"/>
    <w:rsid w:val="00DD0CC1"/>
    <w:rsid w:val="00DF2268"/>
    <w:rsid w:val="00E1017C"/>
    <w:rsid w:val="00E20278"/>
    <w:rsid w:val="00E4227D"/>
    <w:rsid w:val="00E50E29"/>
    <w:rsid w:val="00ED0D9B"/>
    <w:rsid w:val="00F14872"/>
    <w:rsid w:val="00F458D7"/>
    <w:rsid w:val="00F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ED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E31"/>
  </w:style>
  <w:style w:type="paragraph" w:styleId="Footer">
    <w:name w:val="footer"/>
    <w:basedOn w:val="Normal"/>
    <w:link w:val="FooterChar"/>
    <w:uiPriority w:val="99"/>
    <w:unhideWhenUsed/>
    <w:rsid w:val="00972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E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2E31"/>
  </w:style>
  <w:style w:type="character" w:customStyle="1" w:styleId="DateChar">
    <w:name w:val="Date Char"/>
    <w:basedOn w:val="DefaultParagraphFont"/>
    <w:link w:val="Date"/>
    <w:uiPriority w:val="99"/>
    <w:semiHidden/>
    <w:rsid w:val="00972E31"/>
  </w:style>
  <w:style w:type="paragraph" w:styleId="Caption">
    <w:name w:val="caption"/>
    <w:basedOn w:val="Normal"/>
    <w:next w:val="Normal"/>
    <w:uiPriority w:val="35"/>
    <w:unhideWhenUsed/>
    <w:qFormat/>
    <w:rsid w:val="00822D2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6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chris/Google%20Drive/BECA/Courses/11.1%20IB%20Math%20SL/11A_Common-files/SAT%20vs%20Income%20Study/SAT%20scores%20and%20NPV%20of%20tuition%20and%20future%20earning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 versus Mid-career Salary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'Worked example'!$C$5</c:f>
              <c:strCache>
                <c:ptCount val="1"/>
                <c:pt idx="0">
                  <c:v>SAT (25th percentile)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8"/>
            <c:marker>
              <c:symbol val="x"/>
              <c:size val="7"/>
              <c:spPr>
                <a:noFill/>
                <a:ln w="15875"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xVal>
            <c:numRef>
              <c:f>'Worked example'!$C$6:$C$14</c:f>
              <c:numCache>
                <c:formatCode>General</c:formatCode>
                <c:ptCount val="9"/>
                <c:pt idx="0">
                  <c:v>1480.0</c:v>
                </c:pt>
                <c:pt idx="1">
                  <c:v>1660.0</c:v>
                </c:pt>
                <c:pt idx="2">
                  <c:v>1710.0</c:v>
                </c:pt>
                <c:pt idx="3">
                  <c:v>1710.0</c:v>
                </c:pt>
                <c:pt idx="4">
                  <c:v>1830.0</c:v>
                </c:pt>
                <c:pt idx="5">
                  <c:v>1940.0</c:v>
                </c:pt>
                <c:pt idx="6">
                  <c:v>2100.0</c:v>
                </c:pt>
                <c:pt idx="7">
                  <c:v>2110.0</c:v>
                </c:pt>
                <c:pt idx="8" formatCode="0">
                  <c:v>1817.5</c:v>
                </c:pt>
              </c:numCache>
            </c:numRef>
          </c:xVal>
          <c:yVal>
            <c:numRef>
              <c:f>'Worked example'!$D$6:$D$14</c:f>
              <c:numCache>
                <c:formatCode>_(* #,##0_);_(* \(#,##0\);_(* "-"??_);_(@_)</c:formatCode>
                <c:ptCount val="9"/>
                <c:pt idx="0">
                  <c:v>86400.0</c:v>
                </c:pt>
                <c:pt idx="1">
                  <c:v>90900.0</c:v>
                </c:pt>
                <c:pt idx="2">
                  <c:v>99500.0</c:v>
                </c:pt>
                <c:pt idx="3">
                  <c:v>91800.0</c:v>
                </c:pt>
                <c:pt idx="4">
                  <c:v>90300.0</c:v>
                </c:pt>
                <c:pt idx="5">
                  <c:v>88500.0</c:v>
                </c:pt>
                <c:pt idx="6">
                  <c:v>105000.0</c:v>
                </c:pt>
                <c:pt idx="7">
                  <c:v>130000.0</c:v>
                </c:pt>
                <c:pt idx="8">
                  <c:v>97800.0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64348080"/>
        <c:axId val="-464422752"/>
      </c:scatterChart>
      <c:valAx>
        <c:axId val="-464348080"/>
        <c:scaling>
          <c:orientation val="minMax"/>
          <c:min val="14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SAT Scores</a:t>
                </a:r>
                <a:r>
                  <a:rPr lang="en-US" baseline="0"/>
                  <a:t> (25th Percentile)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4422752"/>
        <c:crosses val="autoZero"/>
        <c:crossBetween val="midCat"/>
      </c:valAx>
      <c:valAx>
        <c:axId val="-464422752"/>
        <c:scaling>
          <c:orientation val="minMax"/>
          <c:max val="140000.0"/>
          <c:min val="7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Median</a:t>
                </a:r>
                <a:r>
                  <a:rPr lang="en-US" baseline="0"/>
                  <a:t> Mid-career Salary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434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14</cp:revision>
  <cp:lastPrinted>2017-12-14T14:26:00Z</cp:lastPrinted>
  <dcterms:created xsi:type="dcterms:W3CDTF">2017-12-14T13:29:00Z</dcterms:created>
  <dcterms:modified xsi:type="dcterms:W3CDTF">2017-12-14T14:28:00Z</dcterms:modified>
</cp:coreProperties>
</file>