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52176" w14:textId="0165EE97" w:rsidR="00763998" w:rsidRDefault="006D71D6" w:rsidP="00763998">
      <w:pPr>
        <w:spacing w:line="480" w:lineRule="auto"/>
        <w:rPr>
          <w:rFonts w:asciiTheme="majorBidi" w:hAnsiTheme="majorBidi" w:cstheme="majorBidi"/>
        </w:rPr>
      </w:pPr>
      <w:r>
        <w:rPr>
          <w:rFonts w:asciiTheme="majorBidi" w:hAnsiTheme="majorBidi" w:cstheme="majorBidi"/>
        </w:rPr>
        <w:t>[</w:t>
      </w:r>
      <w:r w:rsidR="00763998">
        <w:rPr>
          <w:rFonts w:asciiTheme="majorBidi" w:hAnsiTheme="majorBidi" w:cstheme="majorBidi"/>
        </w:rPr>
        <w:t>Christopher Huson</w:t>
      </w:r>
      <w:r>
        <w:rPr>
          <w:rFonts w:asciiTheme="majorBidi" w:hAnsiTheme="majorBidi" w:cstheme="majorBidi"/>
        </w:rPr>
        <w:t>]</w:t>
      </w:r>
      <w:bookmarkStart w:id="0" w:name="_GoBack"/>
      <w:bookmarkEnd w:id="0"/>
    </w:p>
    <w:p w14:paraId="226AF826" w14:textId="77777777" w:rsidR="00357FBF" w:rsidRDefault="00357FBF" w:rsidP="00763998">
      <w:pPr>
        <w:spacing w:line="480" w:lineRule="auto"/>
        <w:rPr>
          <w:rFonts w:asciiTheme="majorBidi" w:hAnsiTheme="majorBidi" w:cstheme="majorBidi"/>
        </w:rPr>
      </w:pPr>
      <w:r>
        <w:rPr>
          <w:rFonts w:asciiTheme="majorBidi" w:hAnsiTheme="majorBidi" w:cstheme="majorBidi"/>
        </w:rPr>
        <w:t>Dr. Huson</w:t>
      </w:r>
    </w:p>
    <w:p w14:paraId="35BEA377" w14:textId="77777777" w:rsidR="00357FBF" w:rsidRDefault="00357FBF" w:rsidP="00763998">
      <w:pPr>
        <w:spacing w:line="480" w:lineRule="auto"/>
        <w:rPr>
          <w:rFonts w:asciiTheme="majorBidi" w:hAnsiTheme="majorBidi" w:cstheme="majorBidi"/>
        </w:rPr>
      </w:pPr>
      <w:r>
        <w:rPr>
          <w:rFonts w:asciiTheme="majorBidi" w:hAnsiTheme="majorBidi" w:cstheme="majorBidi"/>
        </w:rPr>
        <w:t>11.1 IB Math SL</w:t>
      </w:r>
    </w:p>
    <w:p w14:paraId="2AE3E4C4" w14:textId="6D91CA32" w:rsidR="00972E31" w:rsidRPr="00972E31" w:rsidRDefault="00763998" w:rsidP="00763998">
      <w:pPr>
        <w:spacing w:line="480" w:lineRule="auto"/>
        <w:rPr>
          <w:rFonts w:asciiTheme="majorBidi" w:hAnsiTheme="majorBidi" w:cstheme="majorBidi"/>
        </w:rPr>
      </w:pPr>
      <w:r>
        <w:rPr>
          <w:rFonts w:asciiTheme="majorBidi" w:hAnsiTheme="majorBidi" w:cstheme="majorBidi"/>
        </w:rPr>
        <w:t>7 December</w:t>
      </w:r>
      <w:r w:rsidR="00972E31" w:rsidRPr="00972E31">
        <w:rPr>
          <w:rFonts w:asciiTheme="majorBidi" w:hAnsiTheme="majorBidi" w:cstheme="majorBidi"/>
        </w:rPr>
        <w:t xml:space="preserve"> 2017</w:t>
      </w:r>
    </w:p>
    <w:p w14:paraId="6286626A" w14:textId="3538ACA5" w:rsidR="00F14872" w:rsidRDefault="00BA4578" w:rsidP="006D71D6">
      <w:pPr>
        <w:spacing w:line="480" w:lineRule="auto"/>
        <w:jc w:val="center"/>
        <w:rPr>
          <w:rFonts w:asciiTheme="majorBidi" w:hAnsiTheme="majorBidi" w:cstheme="majorBidi"/>
        </w:rPr>
      </w:pPr>
      <w:r>
        <w:rPr>
          <w:rFonts w:asciiTheme="majorBidi" w:hAnsiTheme="majorBidi" w:cstheme="majorBidi"/>
        </w:rPr>
        <w:t xml:space="preserve">Two </w:t>
      </w:r>
      <w:r w:rsidR="006D71D6">
        <w:rPr>
          <w:rFonts w:asciiTheme="majorBidi" w:hAnsiTheme="majorBidi" w:cstheme="majorBidi"/>
        </w:rPr>
        <w:t>M</w:t>
      </w:r>
      <w:r>
        <w:rPr>
          <w:rFonts w:asciiTheme="majorBidi" w:hAnsiTheme="majorBidi" w:cstheme="majorBidi"/>
        </w:rPr>
        <w:t xml:space="preserve">ethods to </w:t>
      </w:r>
      <w:r w:rsidR="006D71D6">
        <w:rPr>
          <w:rFonts w:asciiTheme="majorBidi" w:hAnsiTheme="majorBidi" w:cstheme="majorBidi"/>
        </w:rPr>
        <w:t>S</w:t>
      </w:r>
      <w:r>
        <w:rPr>
          <w:rFonts w:asciiTheme="majorBidi" w:hAnsiTheme="majorBidi" w:cstheme="majorBidi"/>
        </w:rPr>
        <w:t xml:space="preserve">olve an </w:t>
      </w:r>
      <w:r w:rsidR="006D71D6">
        <w:rPr>
          <w:rFonts w:asciiTheme="majorBidi" w:hAnsiTheme="majorBidi" w:cstheme="majorBidi"/>
        </w:rPr>
        <w:t>E</w:t>
      </w:r>
      <w:r>
        <w:rPr>
          <w:rFonts w:asciiTheme="majorBidi" w:hAnsiTheme="majorBidi" w:cstheme="majorBidi"/>
        </w:rPr>
        <w:t xml:space="preserve">quation with </w:t>
      </w:r>
      <w:r w:rsidR="006D71D6">
        <w:rPr>
          <w:rFonts w:asciiTheme="majorBidi" w:hAnsiTheme="majorBidi" w:cstheme="majorBidi"/>
        </w:rPr>
        <w:t>V</w:t>
      </w:r>
      <w:r>
        <w:rPr>
          <w:rFonts w:asciiTheme="majorBidi" w:hAnsiTheme="majorBidi" w:cstheme="majorBidi"/>
        </w:rPr>
        <w:t xml:space="preserve">ariables as </w:t>
      </w:r>
      <w:r w:rsidR="006D71D6">
        <w:rPr>
          <w:rFonts w:asciiTheme="majorBidi" w:hAnsiTheme="majorBidi" w:cstheme="majorBidi"/>
        </w:rPr>
        <w:t>E</w:t>
      </w:r>
      <w:r>
        <w:rPr>
          <w:rFonts w:asciiTheme="majorBidi" w:hAnsiTheme="majorBidi" w:cstheme="majorBidi"/>
        </w:rPr>
        <w:t>xponents</w:t>
      </w:r>
    </w:p>
    <w:p w14:paraId="0C77B3D0" w14:textId="347CD0D2" w:rsidR="00676C46" w:rsidRDefault="00676C46" w:rsidP="00676C46">
      <w:pPr>
        <w:spacing w:line="480" w:lineRule="auto"/>
        <w:rPr>
          <w:rFonts w:asciiTheme="majorBidi" w:hAnsiTheme="majorBidi" w:cstheme="majorBidi"/>
        </w:rPr>
      </w:pPr>
      <w:r>
        <w:rPr>
          <w:rFonts w:asciiTheme="majorBidi" w:hAnsiTheme="majorBidi" w:cstheme="majorBidi"/>
        </w:rPr>
        <w:tab/>
        <w:t>The subject of this paper is the solution of an exponential equation. [explain that the problem is selected from the textbook. Include a citation and Works Cited reference.] Two methods of solution are shown: algebra using logarithms and graphing using Desmos.</w:t>
      </w:r>
    </w:p>
    <w:p w14:paraId="1B6A7DC6" w14:textId="19A7A082" w:rsidR="002F06C0" w:rsidRPr="008B0783" w:rsidRDefault="00676C46" w:rsidP="00763998">
      <w:pPr>
        <w:spacing w:line="480" w:lineRule="auto"/>
        <w:rPr>
          <w:rFonts w:asciiTheme="majorBidi" w:hAnsiTheme="majorBidi" w:cstheme="majorBidi"/>
          <w:b/>
        </w:rPr>
      </w:pPr>
      <w:r>
        <w:rPr>
          <w:rFonts w:asciiTheme="majorBidi" w:hAnsiTheme="majorBidi" w:cstheme="majorBidi"/>
          <w:b/>
        </w:rPr>
        <w:t>The problem</w:t>
      </w:r>
    </w:p>
    <w:p w14:paraId="4EC55C30" w14:textId="40901069" w:rsidR="00676C46" w:rsidRDefault="005F626B" w:rsidP="00763998">
      <w:pPr>
        <w:spacing w:line="480" w:lineRule="auto"/>
        <w:rPr>
          <w:rFonts w:asciiTheme="majorBidi" w:hAnsiTheme="majorBidi" w:cstheme="majorBidi"/>
        </w:rPr>
      </w:pPr>
      <w:r>
        <w:rPr>
          <w:rFonts w:asciiTheme="majorBidi" w:hAnsiTheme="majorBidi" w:cstheme="majorBidi"/>
        </w:rPr>
        <w:tab/>
        <w:t>[briefly identify the source of your problem and why you picked it.]</w:t>
      </w:r>
    </w:p>
    <w:p w14:paraId="0AAD973F" w14:textId="1C74B69D" w:rsidR="005F626B" w:rsidRDefault="005F626B" w:rsidP="00763998">
      <w:pPr>
        <w:spacing w:line="480" w:lineRule="auto"/>
        <w:rPr>
          <w:rFonts w:asciiTheme="majorBidi" w:hAnsiTheme="majorBidi" w:cstheme="majorBidi"/>
        </w:rPr>
      </w:pPr>
      <w:r>
        <w:rPr>
          <w:rFonts w:asciiTheme="majorBidi" w:hAnsiTheme="majorBidi" w:cstheme="majorBidi"/>
        </w:rPr>
        <w:tab/>
        <w:t>A screenshot of the textbook exercises is shown in Figure 1.</w:t>
      </w:r>
    </w:p>
    <w:p w14:paraId="3B29E5AD" w14:textId="77777777" w:rsidR="00822D2F" w:rsidRDefault="00822D2F" w:rsidP="00822D2F">
      <w:pPr>
        <w:keepNext/>
        <w:spacing w:line="480" w:lineRule="auto"/>
        <w:jc w:val="center"/>
      </w:pPr>
      <w:r w:rsidRPr="00822D2F">
        <w:rPr>
          <w:rFonts w:asciiTheme="majorBidi" w:hAnsiTheme="majorBidi" w:cstheme="majorBidi"/>
        </w:rPr>
        <w:drawing>
          <wp:inline distT="0" distB="0" distL="0" distR="0" wp14:anchorId="1C546777" wp14:editId="391D05D8">
            <wp:extent cx="3251835" cy="176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331" cy="1785407"/>
                    </a:xfrm>
                    <a:prstGeom prst="rect">
                      <a:avLst/>
                    </a:prstGeom>
                  </pic:spPr>
                </pic:pic>
              </a:graphicData>
            </a:graphic>
          </wp:inline>
        </w:drawing>
      </w:r>
    </w:p>
    <w:p w14:paraId="2D61CFFC" w14:textId="36D64B2E" w:rsidR="005F626B" w:rsidRDefault="00822D2F" w:rsidP="00822D2F">
      <w:pPr>
        <w:pStyle w:val="Caption"/>
        <w:jc w:val="center"/>
        <w:rPr>
          <w:rFonts w:asciiTheme="majorBidi" w:hAnsiTheme="majorBidi" w:cstheme="majorBidi"/>
        </w:rPr>
      </w:pPr>
      <w:r>
        <w:t xml:space="preserve">Figure </w:t>
      </w:r>
      <w:fldSimple w:instr=" SEQ Figure \* ARABIC ">
        <w:r w:rsidR="00830A71">
          <w:rPr>
            <w:noProof/>
          </w:rPr>
          <w:t>1</w:t>
        </w:r>
      </w:fldSimple>
      <w:r>
        <w:t xml:space="preserve"> Exercises from textbook page 129 (Oxford)</w:t>
      </w:r>
    </w:p>
    <w:p w14:paraId="448E6420" w14:textId="1E4FDFC9" w:rsidR="005F626B" w:rsidRPr="003A05A5" w:rsidRDefault="005F626B" w:rsidP="00763998">
      <w:pPr>
        <w:spacing w:line="480" w:lineRule="auto"/>
        <w:rPr>
          <w:rFonts w:asciiTheme="majorBidi" w:hAnsiTheme="majorBidi" w:cstheme="majorBidi"/>
          <w:b/>
          <w:bCs/>
        </w:rPr>
      </w:pPr>
      <w:r w:rsidRPr="003A05A5">
        <w:rPr>
          <w:rFonts w:asciiTheme="majorBidi" w:hAnsiTheme="majorBidi" w:cstheme="majorBidi"/>
          <w:b/>
          <w:bCs/>
        </w:rPr>
        <w:t>Algebraic solution</w:t>
      </w:r>
    </w:p>
    <w:p w14:paraId="25A3F738" w14:textId="7963484F" w:rsidR="005F626B" w:rsidRDefault="005F626B" w:rsidP="00763998">
      <w:pPr>
        <w:spacing w:line="480" w:lineRule="auto"/>
        <w:rPr>
          <w:rFonts w:asciiTheme="majorBidi" w:hAnsiTheme="majorBidi" w:cstheme="majorBidi"/>
        </w:rPr>
      </w:pPr>
      <w:r>
        <w:rPr>
          <w:rFonts w:asciiTheme="majorBidi" w:hAnsiTheme="majorBidi" w:cstheme="majorBidi"/>
        </w:rPr>
        <w:tab/>
        <w:t>The solution of the problem is shown below. The key steps are to take the log of both sides of the equation, and then to bring the variable out of the exponent by using th</w:t>
      </w:r>
      <w:r w:rsidR="003A05A5">
        <w:rPr>
          <w:rFonts w:asciiTheme="majorBidi" w:hAnsiTheme="majorBidi" w:cstheme="majorBidi"/>
        </w:rPr>
        <w:t>e logarithm power rule. [W</w:t>
      </w:r>
      <w:r>
        <w:rPr>
          <w:rFonts w:asciiTheme="majorBidi" w:hAnsiTheme="majorBidi" w:cstheme="majorBidi"/>
        </w:rPr>
        <w:t>rite down the steps, centering the equations and using formal mathematical notation, as shown.</w:t>
      </w:r>
      <w:r w:rsidR="003A05A5">
        <w:rPr>
          <w:rFonts w:asciiTheme="majorBidi" w:hAnsiTheme="majorBidi" w:cstheme="majorBidi"/>
        </w:rPr>
        <w:t xml:space="preserve"> Close with a brief summarizing statement or introduction to the next section.</w:t>
      </w:r>
      <w:r>
        <w:rPr>
          <w:rFonts w:asciiTheme="majorBidi" w:hAnsiTheme="majorBidi" w:cstheme="majorBidi"/>
        </w:rPr>
        <w:t>]</w:t>
      </w:r>
    </w:p>
    <w:p w14:paraId="38C06C4F" w14:textId="14757E38" w:rsidR="005868A8" w:rsidRPr="005868A8" w:rsidRDefault="005868A8" w:rsidP="00763998">
      <w:pPr>
        <w:spacing w:line="480" w:lineRule="auto"/>
        <w:rPr>
          <w:rFonts w:asciiTheme="majorBidi" w:hAnsiTheme="majorBidi" w:cstheme="majorBidi"/>
        </w:rPr>
      </w:pPr>
      <m:oMathPara>
        <m:oMath>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x</m:t>
              </m:r>
            </m:sup>
          </m:sSup>
          <m:sSup>
            <m:sSupPr>
              <m:ctrlPr>
                <w:rPr>
                  <w:rFonts w:ascii="Cambria Math" w:hAnsi="Cambria Math" w:cstheme="majorBidi"/>
                  <w:i/>
                </w:rPr>
              </m:ctrlPr>
            </m:sSupPr>
            <m:e>
              <m:r>
                <w:rPr>
                  <w:rFonts w:ascii="Cambria Math" w:hAnsi="Cambria Math" w:cstheme="majorBidi"/>
                </w:rPr>
                <m:t>4</m:t>
              </m:r>
            </m:e>
            <m:sup>
              <m:r>
                <w:rPr>
                  <w:rFonts w:ascii="Cambria Math" w:hAnsi="Cambria Math" w:cstheme="majorBidi"/>
                </w:rPr>
                <m:t>x-1</m:t>
              </m:r>
            </m:sup>
          </m:sSup>
          <m:r>
            <w:rPr>
              <w:rFonts w:ascii="Cambria Math" w:hAnsi="Cambria Math" w:cstheme="majorBidi"/>
            </w:rPr>
            <m:t>=2×</m:t>
          </m:r>
          <m:sSup>
            <m:sSupPr>
              <m:ctrlPr>
                <w:rPr>
                  <w:rFonts w:ascii="Cambria Math" w:hAnsi="Cambria Math" w:cstheme="majorBidi"/>
                  <w:i/>
                </w:rPr>
              </m:ctrlPr>
            </m:sSupPr>
            <m:e>
              <m:r>
                <w:rPr>
                  <w:rFonts w:ascii="Cambria Math" w:hAnsi="Cambria Math" w:cstheme="majorBidi"/>
                </w:rPr>
                <m:t>7</m:t>
              </m:r>
            </m:e>
            <m:sup>
              <m:r>
                <w:rPr>
                  <w:rFonts w:ascii="Cambria Math" w:hAnsi="Cambria Math" w:cstheme="majorBidi"/>
                </w:rPr>
                <m:t>x+2</m:t>
              </m:r>
            </m:sup>
          </m:sSup>
        </m:oMath>
      </m:oMathPara>
    </w:p>
    <w:p w14:paraId="1BEB2061" w14:textId="41F0091D" w:rsidR="005868A8" w:rsidRPr="005868A8" w:rsidRDefault="005868A8" w:rsidP="005868A8">
      <w:pPr>
        <w:spacing w:line="480" w:lineRule="auto"/>
        <w:rPr>
          <w:rFonts w:asciiTheme="majorBidi"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ln</m:t>
              </m:r>
            </m:fName>
            <m:e>
              <m:d>
                <m:dPr>
                  <m:ctrlPr>
                    <w:rPr>
                      <w:rFonts w:ascii="Cambria Math" w:hAnsi="Cambria Math" w:cstheme="majorBidi"/>
                      <w:i/>
                    </w:rPr>
                  </m:ctrlPr>
                </m:dPr>
                <m:e>
                  <m:sSup>
                    <m:sSupPr>
                      <m:ctrlPr>
                        <w:rPr>
                          <w:rFonts w:ascii="Cambria Math" w:hAnsi="Cambria Math" w:cstheme="majorBidi"/>
                          <w:i/>
                        </w:rPr>
                      </m:ctrlPr>
                    </m:sSupPr>
                    <m:e>
                      <m:sSup>
                        <m:sSupPr>
                          <m:ctrlPr>
                            <w:rPr>
                              <w:rFonts w:ascii="Cambria Math" w:hAnsi="Cambria Math" w:cstheme="majorBidi"/>
                              <w:i/>
                            </w:rPr>
                          </m:ctrlPr>
                        </m:sSupPr>
                        <m:e>
                          <m:r>
                            <w:rPr>
                              <w:rFonts w:ascii="Cambria Math" w:hAnsi="Cambria Math" w:cstheme="majorBidi"/>
                            </w:rPr>
                            <m:t>3</m:t>
                          </m:r>
                        </m:e>
                        <m:sup>
                          <m:r>
                            <w:rPr>
                              <w:rFonts w:ascii="Cambria Math" w:hAnsi="Cambria Math" w:cstheme="majorBidi"/>
                            </w:rPr>
                            <m:t>x</m:t>
                          </m:r>
                        </m:sup>
                      </m:sSup>
                      <m:r>
                        <w:rPr>
                          <w:rFonts w:ascii="Cambria Math" w:hAnsi="Cambria Math" w:cstheme="majorBidi"/>
                        </w:rPr>
                        <m:t>4</m:t>
                      </m:r>
                    </m:e>
                    <m:sup>
                      <m:r>
                        <w:rPr>
                          <w:rFonts w:ascii="Cambria Math" w:hAnsi="Cambria Math" w:cstheme="majorBidi"/>
                        </w:rPr>
                        <m:t>x-1</m:t>
                      </m:r>
                    </m:sup>
                  </m:sSup>
                </m:e>
              </m:d>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ln</m:t>
              </m:r>
            </m:fName>
            <m:e>
              <m:d>
                <m:dPr>
                  <m:ctrlPr>
                    <w:rPr>
                      <w:rFonts w:ascii="Cambria Math" w:hAnsi="Cambria Math" w:cstheme="majorBidi"/>
                      <w:i/>
                    </w:rPr>
                  </m:ctrlPr>
                </m:dPr>
                <m:e>
                  <m:r>
                    <w:rPr>
                      <w:rFonts w:ascii="Cambria Math" w:hAnsi="Cambria Math" w:cstheme="majorBidi"/>
                    </w:rPr>
                    <m:t>2×</m:t>
                  </m:r>
                  <m:sSup>
                    <m:sSupPr>
                      <m:ctrlPr>
                        <w:rPr>
                          <w:rFonts w:ascii="Cambria Math" w:hAnsi="Cambria Math" w:cstheme="majorBidi"/>
                          <w:i/>
                        </w:rPr>
                      </m:ctrlPr>
                    </m:sSupPr>
                    <m:e>
                      <m:r>
                        <w:rPr>
                          <w:rFonts w:ascii="Cambria Math" w:hAnsi="Cambria Math" w:cstheme="majorBidi"/>
                        </w:rPr>
                        <m:t>7</m:t>
                      </m:r>
                    </m:e>
                    <m:sup>
                      <m:r>
                        <w:rPr>
                          <w:rFonts w:ascii="Cambria Math" w:hAnsi="Cambria Math" w:cstheme="majorBidi"/>
                        </w:rPr>
                        <m:t>x+2</m:t>
                      </m:r>
                    </m:sup>
                  </m:sSup>
                </m:e>
              </m:d>
            </m:e>
          </m:func>
        </m:oMath>
      </m:oMathPara>
    </w:p>
    <w:p w14:paraId="046E89CA" w14:textId="1C3209DD" w:rsidR="00676C46" w:rsidRDefault="00B80E92" w:rsidP="00B80E92">
      <w:pPr>
        <w:spacing w:line="480" w:lineRule="auto"/>
        <w:jc w:val="center"/>
        <w:rPr>
          <w:rFonts w:asciiTheme="majorBidi" w:hAnsiTheme="majorBidi" w:cstheme="majorBidi"/>
        </w:rPr>
      </w:pPr>
      <w:r>
        <w:rPr>
          <w:rFonts w:asciiTheme="majorBidi" w:hAnsiTheme="majorBidi" w:cstheme="majorBidi"/>
        </w:rPr>
        <w:t>[etc.]</w:t>
      </w:r>
    </w:p>
    <w:p w14:paraId="48A92D74" w14:textId="789B4BBD" w:rsidR="003A05A5" w:rsidRPr="00927E27" w:rsidRDefault="003A05A5" w:rsidP="00763998">
      <w:pPr>
        <w:spacing w:line="480" w:lineRule="auto"/>
        <w:rPr>
          <w:rFonts w:asciiTheme="majorBidi" w:hAnsiTheme="majorBidi" w:cstheme="majorBidi"/>
          <w:b/>
          <w:bCs/>
        </w:rPr>
      </w:pPr>
      <w:r w:rsidRPr="00927E27">
        <w:rPr>
          <w:rFonts w:asciiTheme="majorBidi" w:hAnsiTheme="majorBidi" w:cstheme="majorBidi"/>
          <w:b/>
          <w:bCs/>
        </w:rPr>
        <w:t>Graphical solution using technology</w:t>
      </w:r>
    </w:p>
    <w:p w14:paraId="1D41991A" w14:textId="14973CDE" w:rsidR="003A05A5" w:rsidRDefault="003A05A5" w:rsidP="00763998">
      <w:pPr>
        <w:spacing w:line="480" w:lineRule="auto"/>
        <w:rPr>
          <w:rFonts w:asciiTheme="majorBidi" w:hAnsiTheme="majorBidi" w:cstheme="majorBidi"/>
        </w:rPr>
      </w:pPr>
      <w:r>
        <w:rPr>
          <w:rFonts w:asciiTheme="majorBidi" w:hAnsiTheme="majorBidi" w:cstheme="majorBidi"/>
        </w:rPr>
        <w:tab/>
      </w:r>
      <w:r w:rsidR="000566ED">
        <w:rPr>
          <w:rFonts w:asciiTheme="majorBidi" w:hAnsiTheme="majorBidi" w:cstheme="majorBidi"/>
        </w:rPr>
        <w:t>An alternative to the algebraic methods used above is to solve the equation with technology. In this case, Desmos was used to build graphical models of each side of the equation</w:t>
      </w:r>
      <w:r w:rsidR="00F458D7">
        <w:rPr>
          <w:rFonts w:asciiTheme="majorBidi" w:hAnsiTheme="majorBidi" w:cstheme="majorBidi"/>
        </w:rPr>
        <w:t>, shown in Figure 2</w:t>
      </w:r>
      <w:r w:rsidR="000566ED">
        <w:rPr>
          <w:rFonts w:asciiTheme="majorBidi" w:hAnsiTheme="majorBidi" w:cstheme="majorBidi"/>
        </w:rPr>
        <w:t xml:space="preserve">. The solution is the </w:t>
      </w:r>
      <w:r w:rsidR="000566ED" w:rsidRPr="000566ED">
        <w:rPr>
          <w:rFonts w:asciiTheme="majorBidi" w:hAnsiTheme="majorBidi" w:cstheme="majorBidi"/>
          <w:i/>
          <w:iCs/>
        </w:rPr>
        <w:t>x</w:t>
      </w:r>
      <w:r w:rsidR="000566ED">
        <w:rPr>
          <w:rFonts w:asciiTheme="majorBidi" w:hAnsiTheme="majorBidi" w:cstheme="majorBidi"/>
        </w:rPr>
        <w:t xml:space="preserve"> value of the intersection of the two curves. [note the italicized variable name.]</w:t>
      </w:r>
    </w:p>
    <w:p w14:paraId="13C46AF4" w14:textId="528B2637" w:rsidR="00D36B3F" w:rsidRDefault="00255B4D" w:rsidP="00D36B3F">
      <w:pPr>
        <w:keepNext/>
        <w:spacing w:line="480" w:lineRule="auto"/>
        <w:jc w:val="center"/>
      </w:pPr>
      <w:r w:rsidRPr="00255B4D">
        <w:drawing>
          <wp:inline distT="0" distB="0" distL="0" distR="0" wp14:anchorId="3F45DE2D" wp14:editId="44FDFCF2">
            <wp:extent cx="5537835" cy="2705611"/>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514" cy="2724997"/>
                    </a:xfrm>
                    <a:prstGeom prst="rect">
                      <a:avLst/>
                    </a:prstGeom>
                  </pic:spPr>
                </pic:pic>
              </a:graphicData>
            </a:graphic>
          </wp:inline>
        </w:drawing>
      </w:r>
    </w:p>
    <w:p w14:paraId="22A51E65" w14:textId="152E5324" w:rsidR="009819E3" w:rsidRDefault="00D36B3F" w:rsidP="00D36B3F">
      <w:pPr>
        <w:pStyle w:val="Caption"/>
        <w:jc w:val="center"/>
        <w:rPr>
          <w:rFonts w:asciiTheme="majorBidi" w:hAnsiTheme="majorBidi" w:cstheme="majorBidi"/>
          <w:b/>
          <w:bCs/>
        </w:rPr>
      </w:pPr>
      <w:r>
        <w:t xml:space="preserve">Figure </w:t>
      </w:r>
      <w:fldSimple w:instr=" SEQ Figure \* ARABIC ">
        <w:r w:rsidR="00830A71">
          <w:rPr>
            <w:noProof/>
          </w:rPr>
          <w:t>2</w:t>
        </w:r>
      </w:fldSimple>
      <w:r>
        <w:t xml:space="preserve"> Graph of the two functions (Desmos.com)</w:t>
      </w:r>
    </w:p>
    <w:p w14:paraId="75145B99" w14:textId="135128B3" w:rsidR="009819E3" w:rsidRPr="00927E27" w:rsidRDefault="009819E3" w:rsidP="00830A71">
      <w:pPr>
        <w:spacing w:line="480" w:lineRule="auto"/>
        <w:rPr>
          <w:rFonts w:asciiTheme="majorBidi" w:hAnsiTheme="majorBidi" w:cstheme="majorBidi"/>
          <w:b/>
          <w:bCs/>
        </w:rPr>
      </w:pPr>
      <w:r>
        <w:rPr>
          <w:rFonts w:asciiTheme="majorBidi" w:hAnsiTheme="majorBidi" w:cstheme="majorBidi"/>
          <w:b/>
          <w:bCs/>
        </w:rPr>
        <w:t>Discussion and comparison of results</w:t>
      </w:r>
    </w:p>
    <w:p w14:paraId="6080844B" w14:textId="182E19C6" w:rsidR="00E4227D" w:rsidRDefault="009819E3" w:rsidP="00830A71">
      <w:pPr>
        <w:spacing w:line="480" w:lineRule="auto"/>
        <w:rPr>
          <w:rFonts w:asciiTheme="majorBidi" w:hAnsiTheme="majorBidi" w:cstheme="majorBidi"/>
        </w:rPr>
      </w:pPr>
      <w:r>
        <w:rPr>
          <w:rFonts w:asciiTheme="majorBidi" w:hAnsiTheme="majorBidi" w:cstheme="majorBidi"/>
        </w:rPr>
        <w:tab/>
      </w:r>
      <w:r w:rsidR="0033578E">
        <w:rPr>
          <w:rFonts w:asciiTheme="majorBidi" w:hAnsiTheme="majorBidi" w:cstheme="majorBidi"/>
        </w:rPr>
        <w:t>The two methods produced the same solution, as they should, [state the solution]. [compare the methods in a paragraph or two and conclude the paper.]</w:t>
      </w:r>
      <w:r>
        <w:rPr>
          <w:rFonts w:asciiTheme="majorBidi" w:hAnsiTheme="majorBidi" w:cstheme="majorBidi"/>
        </w:rPr>
        <w:t xml:space="preserve"> </w:t>
      </w:r>
    </w:p>
    <w:p w14:paraId="25E564E2" w14:textId="77777777" w:rsidR="00BA2CAF" w:rsidRDefault="00BA2CAF" w:rsidP="00830A71">
      <w:pPr>
        <w:spacing w:line="480" w:lineRule="auto"/>
        <w:rPr>
          <w:rFonts w:asciiTheme="majorBidi" w:hAnsiTheme="majorBidi" w:cstheme="majorBidi"/>
        </w:rPr>
      </w:pPr>
    </w:p>
    <w:p w14:paraId="2588C99E" w14:textId="306D7A5E" w:rsidR="00676C46" w:rsidRDefault="00E4227D" w:rsidP="00830A71">
      <w:pPr>
        <w:spacing w:line="480" w:lineRule="auto"/>
        <w:rPr>
          <w:rFonts w:asciiTheme="majorBidi" w:hAnsiTheme="majorBidi" w:cstheme="majorBidi"/>
        </w:rPr>
      </w:pPr>
      <w:r>
        <w:rPr>
          <w:rFonts w:asciiTheme="majorBidi" w:hAnsiTheme="majorBidi" w:cstheme="majorBidi"/>
        </w:rPr>
        <w:t>[</w:t>
      </w:r>
      <w:r w:rsidR="00BA2CAF">
        <w:rPr>
          <w:rFonts w:asciiTheme="majorBidi" w:hAnsiTheme="majorBidi" w:cstheme="majorBidi"/>
        </w:rPr>
        <w:t>The last page should be Works Cited. V</w:t>
      </w:r>
      <w:r>
        <w:rPr>
          <w:rFonts w:asciiTheme="majorBidi" w:hAnsiTheme="majorBidi" w:cstheme="majorBidi"/>
        </w:rPr>
        <w:t xml:space="preserve">arious points that you may </w:t>
      </w:r>
      <w:r w:rsidR="00BA2CAF">
        <w:rPr>
          <w:rFonts w:asciiTheme="majorBidi" w:hAnsiTheme="majorBidi" w:cstheme="majorBidi"/>
        </w:rPr>
        <w:t xml:space="preserve">also </w:t>
      </w:r>
      <w:r>
        <w:rPr>
          <w:rFonts w:asciiTheme="majorBidi" w:hAnsiTheme="majorBidi" w:cstheme="majorBidi"/>
        </w:rPr>
        <w:t>want to include</w:t>
      </w:r>
      <w:r w:rsidR="00BA2CAF">
        <w:rPr>
          <w:rFonts w:asciiTheme="majorBidi" w:hAnsiTheme="majorBidi" w:cstheme="majorBidi"/>
        </w:rPr>
        <w:t xml:space="preserve"> are</w:t>
      </w:r>
      <w:r>
        <w:rPr>
          <w:rFonts w:asciiTheme="majorBidi" w:hAnsiTheme="majorBidi" w:cstheme="majorBidi"/>
        </w:rPr>
        <w:t xml:space="preserve">: rounding and accuracy, comparison to a hand-held graphical calculator, </w:t>
      </w:r>
      <w:r w:rsidR="00830A71">
        <w:rPr>
          <w:rFonts w:asciiTheme="majorBidi" w:hAnsiTheme="majorBidi" w:cstheme="majorBidi"/>
        </w:rPr>
        <w:t>etc.</w:t>
      </w:r>
      <w:r>
        <w:rPr>
          <w:rFonts w:asciiTheme="majorBidi" w:hAnsiTheme="majorBidi" w:cstheme="majorBidi"/>
        </w:rPr>
        <w:t>]</w:t>
      </w:r>
      <w:r w:rsidR="00676C46">
        <w:rPr>
          <w:rFonts w:asciiTheme="majorBidi" w:hAnsiTheme="majorBidi" w:cstheme="majorBidi"/>
        </w:rPr>
        <w:br w:type="page"/>
      </w:r>
    </w:p>
    <w:p w14:paraId="5F67C27C" w14:textId="1FA8B086" w:rsidR="00F14872" w:rsidRDefault="00F14872" w:rsidP="00763998">
      <w:pPr>
        <w:spacing w:line="480" w:lineRule="auto"/>
        <w:rPr>
          <w:rFonts w:asciiTheme="majorBidi" w:hAnsiTheme="majorBidi" w:cstheme="majorBidi"/>
        </w:rPr>
      </w:pPr>
      <w:r>
        <w:rPr>
          <w:rFonts w:asciiTheme="majorBidi" w:hAnsiTheme="majorBidi" w:cstheme="majorBidi"/>
        </w:rPr>
        <w:t xml:space="preserve">Use this for your table. It’s neat and </w:t>
      </w:r>
      <w:r w:rsidR="00966AB7">
        <w:rPr>
          <w:rFonts w:asciiTheme="majorBidi" w:hAnsiTheme="majorBidi" w:cstheme="majorBidi"/>
        </w:rPr>
        <w:t>in MLA format. In your text, refer to it as “(see table 1)”</w:t>
      </w:r>
      <w:r w:rsidR="000A7666">
        <w:rPr>
          <w:rFonts w:asciiTheme="majorBidi" w:hAnsiTheme="majorBidi" w:cstheme="majorBidi"/>
        </w:rPr>
        <w:t xml:space="preserve"> or “(see fig. 1).”</w:t>
      </w:r>
    </w:p>
    <w:p w14:paraId="4D698CD5" w14:textId="77777777" w:rsidR="00F14872" w:rsidRDefault="00F14872" w:rsidP="00763998">
      <w:pPr>
        <w:spacing w:line="480" w:lineRule="auto"/>
        <w:rPr>
          <w:rFonts w:asciiTheme="majorBidi" w:hAnsiTheme="majorBidi" w:cstheme="majorBidi"/>
        </w:rPr>
      </w:pPr>
    </w:p>
    <w:p w14:paraId="794CD2D8" w14:textId="5A7D4E62" w:rsidR="00F14872" w:rsidRDefault="00F14872" w:rsidP="00763998">
      <w:pPr>
        <w:keepNext/>
        <w:keepLines/>
        <w:spacing w:line="480" w:lineRule="auto"/>
        <w:rPr>
          <w:rFonts w:asciiTheme="majorBidi" w:hAnsiTheme="majorBidi" w:cstheme="majorBidi"/>
        </w:rPr>
      </w:pPr>
      <w:r>
        <w:rPr>
          <w:rFonts w:asciiTheme="majorBidi" w:hAnsiTheme="majorBidi" w:cstheme="majorBidi"/>
        </w:rPr>
        <w:t>Table 1</w:t>
      </w:r>
    </w:p>
    <w:p w14:paraId="1341B304" w14:textId="74E1D5D8" w:rsidR="00F14872" w:rsidRDefault="00C93101" w:rsidP="00763998">
      <w:pPr>
        <w:keepNext/>
        <w:keepLines/>
        <w:spacing w:line="480" w:lineRule="auto"/>
        <w:rPr>
          <w:rFonts w:asciiTheme="majorBidi" w:hAnsiTheme="majorBidi" w:cstheme="majorBidi"/>
        </w:rPr>
      </w:pPr>
      <w:r>
        <w:rPr>
          <w:rFonts w:asciiTheme="majorBidi" w:hAnsiTheme="majorBidi" w:cstheme="majorBidi"/>
        </w:rPr>
        <w:t>SAT and i</w:t>
      </w:r>
      <w:r w:rsidR="00F14872">
        <w:rPr>
          <w:rFonts w:asciiTheme="majorBidi" w:hAnsiTheme="majorBidi" w:cstheme="majorBidi"/>
        </w:rPr>
        <w:t>ncome for select colleges</w:t>
      </w:r>
    </w:p>
    <w:tbl>
      <w:tblPr>
        <w:tblW w:w="0" w:type="auto"/>
        <w:tblInd w:w="-30" w:type="dxa"/>
        <w:tblLayout w:type="fixed"/>
        <w:tblLook w:val="0000" w:firstRow="0" w:lastRow="0" w:firstColumn="0" w:lastColumn="0" w:noHBand="0" w:noVBand="0"/>
      </w:tblPr>
      <w:tblGrid>
        <w:gridCol w:w="1650"/>
        <w:gridCol w:w="2520"/>
        <w:gridCol w:w="1710"/>
      </w:tblGrid>
      <w:tr w:rsidR="00F14872" w:rsidRPr="00F14872" w14:paraId="13694B8F" w14:textId="77777777" w:rsidTr="00F14872">
        <w:trPr>
          <w:trHeight w:val="520"/>
        </w:trPr>
        <w:tc>
          <w:tcPr>
            <w:tcW w:w="1650" w:type="dxa"/>
            <w:tcBorders>
              <w:top w:val="single" w:sz="4" w:space="0" w:color="auto"/>
              <w:left w:val="nil"/>
              <w:bottom w:val="single" w:sz="4" w:space="0" w:color="auto"/>
              <w:right w:val="nil"/>
            </w:tcBorders>
          </w:tcPr>
          <w:p w14:paraId="3DE57718"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School</w:t>
            </w:r>
          </w:p>
        </w:tc>
        <w:tc>
          <w:tcPr>
            <w:tcW w:w="2520" w:type="dxa"/>
            <w:tcBorders>
              <w:top w:val="single" w:sz="4" w:space="0" w:color="auto"/>
              <w:left w:val="nil"/>
              <w:bottom w:val="single" w:sz="4" w:space="0" w:color="auto"/>
              <w:right w:val="nil"/>
            </w:tcBorders>
          </w:tcPr>
          <w:p w14:paraId="2716ABE9"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SAT (25th percentile)</w:t>
            </w:r>
          </w:p>
        </w:tc>
        <w:tc>
          <w:tcPr>
            <w:tcW w:w="1710" w:type="dxa"/>
            <w:tcBorders>
              <w:top w:val="single" w:sz="4" w:space="0" w:color="auto"/>
              <w:left w:val="nil"/>
              <w:bottom w:val="single" w:sz="4" w:space="0" w:color="auto"/>
              <w:right w:val="nil"/>
            </w:tcBorders>
          </w:tcPr>
          <w:p w14:paraId="2BCDDB78"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Median mid-career salary</w:t>
            </w:r>
          </w:p>
        </w:tc>
      </w:tr>
      <w:tr w:rsidR="00F14872" w:rsidRPr="00F14872" w14:paraId="7590A7CF" w14:textId="77777777" w:rsidTr="00F14872">
        <w:trPr>
          <w:trHeight w:val="340"/>
        </w:trPr>
        <w:tc>
          <w:tcPr>
            <w:tcW w:w="1650" w:type="dxa"/>
            <w:tcBorders>
              <w:top w:val="single" w:sz="4" w:space="0" w:color="auto"/>
              <w:left w:val="nil"/>
              <w:bottom w:val="nil"/>
              <w:right w:val="nil"/>
            </w:tcBorders>
          </w:tcPr>
          <w:p w14:paraId="498472EF"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Adelphi</w:t>
            </w:r>
          </w:p>
        </w:tc>
        <w:tc>
          <w:tcPr>
            <w:tcW w:w="2520" w:type="dxa"/>
            <w:tcBorders>
              <w:top w:val="single" w:sz="4" w:space="0" w:color="auto"/>
              <w:left w:val="nil"/>
              <w:bottom w:val="nil"/>
              <w:right w:val="nil"/>
            </w:tcBorders>
          </w:tcPr>
          <w:p w14:paraId="793A0753"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1480</w:t>
            </w:r>
          </w:p>
        </w:tc>
        <w:tc>
          <w:tcPr>
            <w:tcW w:w="1710" w:type="dxa"/>
            <w:tcBorders>
              <w:top w:val="single" w:sz="4" w:space="0" w:color="auto"/>
              <w:left w:val="nil"/>
              <w:bottom w:val="nil"/>
              <w:right w:val="nil"/>
            </w:tcBorders>
          </w:tcPr>
          <w:p w14:paraId="4237E673" w14:textId="790DFABA"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86,400</w:t>
            </w:r>
          </w:p>
        </w:tc>
      </w:tr>
      <w:tr w:rsidR="00F14872" w:rsidRPr="00F14872" w14:paraId="2FBA6523" w14:textId="77777777" w:rsidTr="00F14872">
        <w:trPr>
          <w:trHeight w:val="340"/>
        </w:trPr>
        <w:tc>
          <w:tcPr>
            <w:tcW w:w="1650" w:type="dxa"/>
            <w:tcBorders>
              <w:top w:val="nil"/>
              <w:left w:val="nil"/>
              <w:bottom w:val="nil"/>
              <w:right w:val="nil"/>
            </w:tcBorders>
          </w:tcPr>
          <w:p w14:paraId="4982AED4" w14:textId="453825E8" w:rsidR="00F14872" w:rsidRPr="00F14872" w:rsidRDefault="00681775" w:rsidP="00763998">
            <w:pPr>
              <w:keepNext/>
              <w:keepLine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Stony B</w:t>
            </w:r>
            <w:r w:rsidR="00F14872" w:rsidRPr="00F14872">
              <w:rPr>
                <w:rFonts w:ascii="Times New Roman" w:hAnsi="Times New Roman" w:cs="Times New Roman"/>
                <w:color w:val="000000"/>
              </w:rPr>
              <w:t>rook</w:t>
            </w:r>
          </w:p>
        </w:tc>
        <w:tc>
          <w:tcPr>
            <w:tcW w:w="2520" w:type="dxa"/>
            <w:tcBorders>
              <w:top w:val="nil"/>
              <w:left w:val="nil"/>
              <w:bottom w:val="nil"/>
              <w:right w:val="nil"/>
            </w:tcBorders>
          </w:tcPr>
          <w:p w14:paraId="3579D3F5"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1660</w:t>
            </w:r>
          </w:p>
        </w:tc>
        <w:tc>
          <w:tcPr>
            <w:tcW w:w="1710" w:type="dxa"/>
            <w:tcBorders>
              <w:top w:val="nil"/>
              <w:left w:val="nil"/>
              <w:bottom w:val="nil"/>
              <w:right w:val="nil"/>
            </w:tcBorders>
          </w:tcPr>
          <w:p w14:paraId="1DC528C9" w14:textId="6DFF06CB"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90,900</w:t>
            </w:r>
          </w:p>
        </w:tc>
      </w:tr>
      <w:tr w:rsidR="00F14872" w:rsidRPr="00F14872" w14:paraId="3678BFC8" w14:textId="77777777" w:rsidTr="00F14872">
        <w:trPr>
          <w:trHeight w:val="340"/>
        </w:trPr>
        <w:tc>
          <w:tcPr>
            <w:tcW w:w="1650" w:type="dxa"/>
            <w:tcBorders>
              <w:top w:val="nil"/>
              <w:left w:val="nil"/>
              <w:bottom w:val="nil"/>
              <w:right w:val="nil"/>
            </w:tcBorders>
          </w:tcPr>
          <w:p w14:paraId="1CC6B972"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Fairfield</w:t>
            </w:r>
          </w:p>
        </w:tc>
        <w:tc>
          <w:tcPr>
            <w:tcW w:w="2520" w:type="dxa"/>
            <w:tcBorders>
              <w:top w:val="nil"/>
              <w:left w:val="nil"/>
              <w:bottom w:val="nil"/>
              <w:right w:val="nil"/>
            </w:tcBorders>
          </w:tcPr>
          <w:p w14:paraId="0EC51A11"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1710</w:t>
            </w:r>
          </w:p>
        </w:tc>
        <w:tc>
          <w:tcPr>
            <w:tcW w:w="1710" w:type="dxa"/>
            <w:tcBorders>
              <w:top w:val="nil"/>
              <w:left w:val="nil"/>
              <w:bottom w:val="nil"/>
              <w:right w:val="nil"/>
            </w:tcBorders>
          </w:tcPr>
          <w:p w14:paraId="3A85B4E0" w14:textId="0A353472"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99,500</w:t>
            </w:r>
          </w:p>
        </w:tc>
      </w:tr>
      <w:tr w:rsidR="00F14872" w:rsidRPr="00F14872" w14:paraId="09474D97" w14:textId="77777777" w:rsidTr="00F14872">
        <w:trPr>
          <w:trHeight w:val="340"/>
        </w:trPr>
        <w:tc>
          <w:tcPr>
            <w:tcW w:w="1650" w:type="dxa"/>
            <w:tcBorders>
              <w:top w:val="nil"/>
              <w:left w:val="nil"/>
              <w:bottom w:val="nil"/>
              <w:right w:val="nil"/>
            </w:tcBorders>
          </w:tcPr>
          <w:p w14:paraId="51621D4B"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Rutgers</w:t>
            </w:r>
          </w:p>
        </w:tc>
        <w:tc>
          <w:tcPr>
            <w:tcW w:w="2520" w:type="dxa"/>
            <w:tcBorders>
              <w:top w:val="nil"/>
              <w:left w:val="nil"/>
              <w:bottom w:val="nil"/>
              <w:right w:val="nil"/>
            </w:tcBorders>
          </w:tcPr>
          <w:p w14:paraId="3C0AA495"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1710</w:t>
            </w:r>
          </w:p>
        </w:tc>
        <w:tc>
          <w:tcPr>
            <w:tcW w:w="1710" w:type="dxa"/>
            <w:tcBorders>
              <w:top w:val="nil"/>
              <w:left w:val="nil"/>
              <w:bottom w:val="nil"/>
              <w:right w:val="nil"/>
            </w:tcBorders>
          </w:tcPr>
          <w:p w14:paraId="7F58B5E7" w14:textId="77397FBD"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91,800</w:t>
            </w:r>
          </w:p>
        </w:tc>
      </w:tr>
      <w:tr w:rsidR="00F14872" w:rsidRPr="00F14872" w14:paraId="3A85E3DD" w14:textId="77777777" w:rsidTr="00F14872">
        <w:trPr>
          <w:trHeight w:val="340"/>
        </w:trPr>
        <w:tc>
          <w:tcPr>
            <w:tcW w:w="1650" w:type="dxa"/>
            <w:tcBorders>
              <w:top w:val="nil"/>
              <w:left w:val="nil"/>
              <w:bottom w:val="nil"/>
              <w:right w:val="nil"/>
            </w:tcBorders>
          </w:tcPr>
          <w:p w14:paraId="0F785846"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Fordham</w:t>
            </w:r>
          </w:p>
        </w:tc>
        <w:tc>
          <w:tcPr>
            <w:tcW w:w="2520" w:type="dxa"/>
            <w:tcBorders>
              <w:top w:val="nil"/>
              <w:left w:val="nil"/>
              <w:bottom w:val="nil"/>
              <w:right w:val="nil"/>
            </w:tcBorders>
          </w:tcPr>
          <w:p w14:paraId="16DF34AC"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1830</w:t>
            </w:r>
          </w:p>
        </w:tc>
        <w:tc>
          <w:tcPr>
            <w:tcW w:w="1710" w:type="dxa"/>
            <w:tcBorders>
              <w:top w:val="nil"/>
              <w:left w:val="nil"/>
              <w:bottom w:val="nil"/>
              <w:right w:val="nil"/>
            </w:tcBorders>
          </w:tcPr>
          <w:p w14:paraId="0BF469A7" w14:textId="6B4A30C5"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90,300</w:t>
            </w:r>
          </w:p>
        </w:tc>
      </w:tr>
      <w:tr w:rsidR="00F14872" w:rsidRPr="00F14872" w14:paraId="551C5F3A" w14:textId="77777777" w:rsidTr="00F14872">
        <w:trPr>
          <w:trHeight w:val="340"/>
        </w:trPr>
        <w:tc>
          <w:tcPr>
            <w:tcW w:w="1650" w:type="dxa"/>
            <w:tcBorders>
              <w:top w:val="nil"/>
              <w:left w:val="nil"/>
              <w:bottom w:val="nil"/>
              <w:right w:val="nil"/>
            </w:tcBorders>
          </w:tcPr>
          <w:p w14:paraId="3D8377F7"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NYU</w:t>
            </w:r>
          </w:p>
        </w:tc>
        <w:tc>
          <w:tcPr>
            <w:tcW w:w="2520" w:type="dxa"/>
            <w:tcBorders>
              <w:top w:val="nil"/>
              <w:left w:val="nil"/>
              <w:bottom w:val="nil"/>
              <w:right w:val="nil"/>
            </w:tcBorders>
          </w:tcPr>
          <w:p w14:paraId="779E2109"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1940</w:t>
            </w:r>
          </w:p>
        </w:tc>
        <w:tc>
          <w:tcPr>
            <w:tcW w:w="1710" w:type="dxa"/>
            <w:tcBorders>
              <w:top w:val="nil"/>
              <w:left w:val="nil"/>
              <w:bottom w:val="nil"/>
              <w:right w:val="nil"/>
            </w:tcBorders>
          </w:tcPr>
          <w:p w14:paraId="08663C1A" w14:textId="1BCB1B29"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88,500</w:t>
            </w:r>
          </w:p>
        </w:tc>
      </w:tr>
      <w:tr w:rsidR="00F14872" w:rsidRPr="00F14872" w14:paraId="44DDB753" w14:textId="77777777" w:rsidTr="00F14872">
        <w:trPr>
          <w:trHeight w:val="340"/>
        </w:trPr>
        <w:tc>
          <w:tcPr>
            <w:tcW w:w="1650" w:type="dxa"/>
            <w:tcBorders>
              <w:top w:val="nil"/>
              <w:left w:val="nil"/>
              <w:bottom w:val="nil"/>
              <w:right w:val="nil"/>
            </w:tcBorders>
          </w:tcPr>
          <w:p w14:paraId="3C7E0D3C"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Columbia</w:t>
            </w:r>
          </w:p>
        </w:tc>
        <w:tc>
          <w:tcPr>
            <w:tcW w:w="2520" w:type="dxa"/>
            <w:tcBorders>
              <w:top w:val="nil"/>
              <w:left w:val="nil"/>
              <w:bottom w:val="nil"/>
              <w:right w:val="nil"/>
            </w:tcBorders>
          </w:tcPr>
          <w:p w14:paraId="4ACE967B"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2100</w:t>
            </w:r>
          </w:p>
        </w:tc>
        <w:tc>
          <w:tcPr>
            <w:tcW w:w="1710" w:type="dxa"/>
            <w:tcBorders>
              <w:top w:val="nil"/>
              <w:left w:val="nil"/>
              <w:bottom w:val="nil"/>
              <w:right w:val="nil"/>
            </w:tcBorders>
          </w:tcPr>
          <w:p w14:paraId="726FC4CC" w14:textId="2A7B75E1"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105,000</w:t>
            </w:r>
          </w:p>
        </w:tc>
      </w:tr>
      <w:tr w:rsidR="00F14872" w:rsidRPr="00F14872" w14:paraId="5BD1746A" w14:textId="77777777" w:rsidTr="00F14872">
        <w:trPr>
          <w:trHeight w:val="340"/>
        </w:trPr>
        <w:tc>
          <w:tcPr>
            <w:tcW w:w="1650" w:type="dxa"/>
            <w:tcBorders>
              <w:top w:val="nil"/>
              <w:left w:val="nil"/>
              <w:bottom w:val="single" w:sz="8" w:space="0" w:color="auto"/>
              <w:right w:val="nil"/>
            </w:tcBorders>
          </w:tcPr>
          <w:p w14:paraId="08CED6AE"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Princeton</w:t>
            </w:r>
          </w:p>
        </w:tc>
        <w:tc>
          <w:tcPr>
            <w:tcW w:w="2520" w:type="dxa"/>
            <w:tcBorders>
              <w:top w:val="nil"/>
              <w:left w:val="nil"/>
              <w:bottom w:val="single" w:sz="8" w:space="0" w:color="auto"/>
              <w:right w:val="nil"/>
            </w:tcBorders>
          </w:tcPr>
          <w:p w14:paraId="020E776E"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2110</w:t>
            </w:r>
          </w:p>
        </w:tc>
        <w:tc>
          <w:tcPr>
            <w:tcW w:w="1710" w:type="dxa"/>
            <w:tcBorders>
              <w:top w:val="nil"/>
              <w:left w:val="nil"/>
              <w:bottom w:val="single" w:sz="8" w:space="0" w:color="auto"/>
              <w:right w:val="nil"/>
            </w:tcBorders>
          </w:tcPr>
          <w:p w14:paraId="00085C81" w14:textId="2DF23FD0"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130,000</w:t>
            </w:r>
          </w:p>
        </w:tc>
      </w:tr>
      <w:tr w:rsidR="00F14872" w:rsidRPr="00F14872" w14:paraId="4EAB0D09" w14:textId="77777777" w:rsidTr="00F14872">
        <w:trPr>
          <w:trHeight w:val="340"/>
        </w:trPr>
        <w:tc>
          <w:tcPr>
            <w:tcW w:w="1650" w:type="dxa"/>
            <w:tcBorders>
              <w:top w:val="single" w:sz="8" w:space="0" w:color="auto"/>
              <w:left w:val="nil"/>
              <w:bottom w:val="single" w:sz="8" w:space="0" w:color="auto"/>
              <w:right w:val="nil"/>
            </w:tcBorders>
          </w:tcPr>
          <w:p w14:paraId="0D6BF626" w14:textId="77777777" w:rsidR="00F14872" w:rsidRPr="00F14872" w:rsidRDefault="00F14872" w:rsidP="00763998">
            <w:pPr>
              <w:keepNext/>
              <w:keepLines/>
              <w:autoSpaceDE w:val="0"/>
              <w:autoSpaceDN w:val="0"/>
              <w:adjustRightInd w:val="0"/>
              <w:spacing w:line="480" w:lineRule="auto"/>
              <w:rPr>
                <w:rFonts w:ascii="Times New Roman" w:hAnsi="Times New Roman" w:cs="Times New Roman"/>
                <w:color w:val="000000"/>
              </w:rPr>
            </w:pPr>
            <w:r w:rsidRPr="00F14872">
              <w:rPr>
                <w:rFonts w:ascii="Times New Roman" w:hAnsi="Times New Roman" w:cs="Times New Roman"/>
                <w:color w:val="000000"/>
              </w:rPr>
              <w:t>Mean</w:t>
            </w:r>
          </w:p>
        </w:tc>
        <w:tc>
          <w:tcPr>
            <w:tcW w:w="2520" w:type="dxa"/>
            <w:tcBorders>
              <w:top w:val="single" w:sz="8" w:space="0" w:color="auto"/>
              <w:left w:val="nil"/>
              <w:bottom w:val="single" w:sz="8" w:space="0" w:color="auto"/>
              <w:right w:val="nil"/>
            </w:tcBorders>
          </w:tcPr>
          <w:p w14:paraId="01CECB14" w14:textId="77777777"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1818</w:t>
            </w:r>
          </w:p>
        </w:tc>
        <w:tc>
          <w:tcPr>
            <w:tcW w:w="1710" w:type="dxa"/>
            <w:tcBorders>
              <w:top w:val="single" w:sz="8" w:space="0" w:color="auto"/>
              <w:left w:val="nil"/>
              <w:bottom w:val="single" w:sz="8" w:space="0" w:color="auto"/>
              <w:right w:val="nil"/>
            </w:tcBorders>
          </w:tcPr>
          <w:p w14:paraId="75516560" w14:textId="6D190569" w:rsidR="00F14872" w:rsidRPr="00F14872" w:rsidRDefault="00F14872" w:rsidP="00763998">
            <w:pPr>
              <w:keepNext/>
              <w:keepLines/>
              <w:autoSpaceDE w:val="0"/>
              <w:autoSpaceDN w:val="0"/>
              <w:adjustRightInd w:val="0"/>
              <w:spacing w:line="480" w:lineRule="auto"/>
              <w:jc w:val="center"/>
              <w:rPr>
                <w:rFonts w:ascii="Times New Roman" w:hAnsi="Times New Roman" w:cs="Times New Roman"/>
                <w:color w:val="000000"/>
              </w:rPr>
            </w:pPr>
            <w:r w:rsidRPr="00F14872">
              <w:rPr>
                <w:rFonts w:ascii="Times New Roman" w:hAnsi="Times New Roman" w:cs="Times New Roman"/>
                <w:color w:val="000000"/>
              </w:rPr>
              <w:t>97,800</w:t>
            </w:r>
          </w:p>
        </w:tc>
      </w:tr>
    </w:tbl>
    <w:p w14:paraId="429358BC" w14:textId="39F7199E" w:rsidR="00C93101" w:rsidRDefault="00C93101" w:rsidP="00763998">
      <w:pPr>
        <w:keepNext/>
        <w:keepLines/>
        <w:spacing w:before="240" w:line="480" w:lineRule="auto"/>
        <w:rPr>
          <w:rFonts w:asciiTheme="majorBidi" w:hAnsiTheme="majorBidi" w:cstheme="majorBidi"/>
        </w:rPr>
      </w:pPr>
      <w:r>
        <w:rPr>
          <w:rFonts w:asciiTheme="majorBidi" w:hAnsiTheme="majorBidi" w:cstheme="majorBidi"/>
        </w:rPr>
        <w:t>Source: Mike McClenathan,</w:t>
      </w:r>
      <w:r w:rsidRPr="0042319A">
        <w:rPr>
          <w:rFonts w:asciiTheme="majorBidi" w:hAnsiTheme="majorBidi" w:cstheme="majorBidi"/>
        </w:rPr>
        <w:t xml:space="preserve"> “How Much Is A High SAT Worth? Up To $100K In Future Earnings.” </w:t>
      </w:r>
      <w:r w:rsidRPr="000A7666">
        <w:rPr>
          <w:rFonts w:asciiTheme="majorBidi" w:hAnsiTheme="majorBidi" w:cstheme="majorBidi"/>
        </w:rPr>
        <w:t>Forbes, Forbes Magazine</w:t>
      </w:r>
      <w:r w:rsidR="00CB5841">
        <w:rPr>
          <w:rFonts w:asciiTheme="majorBidi" w:hAnsiTheme="majorBidi" w:cstheme="majorBidi"/>
        </w:rPr>
        <w:t>, 12</w:t>
      </w:r>
      <w:r w:rsidRPr="0042319A">
        <w:rPr>
          <w:rFonts w:asciiTheme="majorBidi" w:hAnsiTheme="majorBidi" w:cstheme="majorBidi"/>
        </w:rPr>
        <w:t xml:space="preserve"> June 2012</w:t>
      </w:r>
      <w:r>
        <w:rPr>
          <w:rFonts w:asciiTheme="majorBidi" w:hAnsiTheme="majorBidi" w:cstheme="majorBidi"/>
        </w:rPr>
        <w:t>.</w:t>
      </w:r>
    </w:p>
    <w:p w14:paraId="5BF755BD" w14:textId="77777777" w:rsidR="008E3E18" w:rsidRDefault="008E3E18" w:rsidP="00763998">
      <w:pPr>
        <w:spacing w:before="240" w:line="480" w:lineRule="auto"/>
        <w:rPr>
          <w:rFonts w:asciiTheme="majorBidi" w:hAnsiTheme="majorBidi" w:cstheme="majorBidi"/>
        </w:rPr>
      </w:pPr>
    </w:p>
    <w:p w14:paraId="72DF9E9E" w14:textId="342D50DF" w:rsidR="000A7666" w:rsidRDefault="000A7666" w:rsidP="00763998">
      <w:pPr>
        <w:keepNext/>
        <w:keepLines/>
        <w:spacing w:line="480" w:lineRule="auto"/>
        <w:rPr>
          <w:rFonts w:asciiTheme="majorBidi" w:hAnsiTheme="majorBidi" w:cstheme="majorBidi"/>
        </w:rPr>
      </w:pPr>
      <w:r>
        <w:rPr>
          <w:rFonts w:asciiTheme="majorBidi" w:hAnsiTheme="majorBidi" w:cstheme="majorBidi"/>
        </w:rPr>
        <w:t>Figure 1</w:t>
      </w:r>
    </w:p>
    <w:p w14:paraId="7CED3C40" w14:textId="733C91EF" w:rsidR="000A7666" w:rsidRDefault="000A7666" w:rsidP="00763998">
      <w:pPr>
        <w:keepNext/>
        <w:keepLines/>
        <w:spacing w:line="480" w:lineRule="auto"/>
        <w:rPr>
          <w:rFonts w:asciiTheme="majorBidi" w:hAnsiTheme="majorBidi" w:cstheme="majorBidi"/>
        </w:rPr>
      </w:pPr>
      <w:r>
        <w:rPr>
          <w:rFonts w:asciiTheme="majorBidi" w:hAnsiTheme="majorBidi" w:cstheme="majorBidi"/>
        </w:rPr>
        <w:t>Scatter plot of SAT scores versus median mid-career salaries (6 colleges and the mean)</w:t>
      </w:r>
    </w:p>
    <w:p w14:paraId="392A79F5" w14:textId="507772AD" w:rsidR="000A7666" w:rsidRDefault="000A7666" w:rsidP="00763998">
      <w:pPr>
        <w:keepNext/>
        <w:keepLines/>
        <w:spacing w:line="480" w:lineRule="auto"/>
        <w:rPr>
          <w:rFonts w:asciiTheme="majorBidi" w:hAnsiTheme="majorBidi" w:cstheme="majorBidi"/>
        </w:rPr>
      </w:pPr>
      <w:r>
        <w:rPr>
          <w:noProof/>
        </w:rPr>
        <w:drawing>
          <wp:inline distT="0" distB="0" distL="0" distR="0" wp14:anchorId="11772DEB" wp14:editId="5E7E691B">
            <wp:extent cx="4769354" cy="4285108"/>
            <wp:effectExtent l="0" t="0" r="635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FCA15C" w14:textId="22E4A8BF" w:rsidR="00F14872" w:rsidRDefault="00F14872" w:rsidP="00763998">
      <w:pPr>
        <w:spacing w:line="480" w:lineRule="auto"/>
        <w:rPr>
          <w:rFonts w:asciiTheme="majorBidi" w:hAnsiTheme="majorBidi" w:cstheme="majorBidi"/>
        </w:rPr>
      </w:pPr>
      <w:r>
        <w:rPr>
          <w:rFonts w:asciiTheme="majorBidi" w:hAnsiTheme="majorBidi" w:cstheme="majorBidi"/>
        </w:rPr>
        <w:br w:type="page"/>
      </w:r>
    </w:p>
    <w:p w14:paraId="24033781" w14:textId="77777777" w:rsidR="00F14872" w:rsidRDefault="00F14872" w:rsidP="00763998">
      <w:pPr>
        <w:spacing w:line="480" w:lineRule="auto"/>
        <w:rPr>
          <w:rFonts w:asciiTheme="majorBidi" w:hAnsiTheme="majorBidi" w:cstheme="majorBidi"/>
        </w:rPr>
      </w:pPr>
    </w:p>
    <w:p w14:paraId="587A5CCA" w14:textId="77777777" w:rsidR="002F06C0" w:rsidRDefault="002F06C0" w:rsidP="00763998">
      <w:pPr>
        <w:spacing w:line="480" w:lineRule="auto"/>
        <w:jc w:val="center"/>
        <w:rPr>
          <w:rFonts w:asciiTheme="majorBidi" w:hAnsiTheme="majorBidi" w:cstheme="majorBidi"/>
        </w:rPr>
      </w:pPr>
      <w:r>
        <w:rPr>
          <w:rFonts w:asciiTheme="majorBidi" w:hAnsiTheme="majorBidi" w:cstheme="majorBidi"/>
        </w:rPr>
        <w:t>Works Cited</w:t>
      </w:r>
    </w:p>
    <w:p w14:paraId="54B0A059" w14:textId="09F6F84E" w:rsidR="002F06C0" w:rsidRPr="00D70290" w:rsidRDefault="002F06C0" w:rsidP="00763998">
      <w:pPr>
        <w:spacing w:line="480" w:lineRule="auto"/>
        <w:ind w:left="720" w:hanging="720"/>
        <w:rPr>
          <w:rFonts w:asciiTheme="majorBidi" w:hAnsiTheme="majorBidi" w:cstheme="majorBidi"/>
          <w:u w:val="single"/>
        </w:rPr>
      </w:pPr>
      <w:r>
        <w:rPr>
          <w:rFonts w:asciiTheme="majorBidi" w:hAnsiTheme="majorBidi" w:cstheme="majorBidi"/>
        </w:rPr>
        <w:t xml:space="preserve">Buchanan, Laurie, et al. </w:t>
      </w:r>
      <w:r w:rsidR="00C93101" w:rsidRPr="00D70290">
        <w:rPr>
          <w:rFonts w:asciiTheme="majorBidi" w:hAnsiTheme="majorBidi" w:cstheme="majorBidi"/>
          <w:i/>
        </w:rPr>
        <w:t>IB Diploma Programme</w:t>
      </w:r>
      <w:r w:rsidR="00D70290" w:rsidRPr="00D70290">
        <w:rPr>
          <w:rFonts w:asciiTheme="majorBidi" w:hAnsiTheme="majorBidi" w:cstheme="majorBidi"/>
          <w:i/>
        </w:rPr>
        <w:t>:</w:t>
      </w:r>
      <w:r w:rsidR="00C93101" w:rsidRPr="00D70290">
        <w:rPr>
          <w:rFonts w:asciiTheme="majorBidi" w:hAnsiTheme="majorBidi" w:cstheme="majorBidi"/>
          <w:i/>
        </w:rPr>
        <w:t xml:space="preserve"> Mathe</w:t>
      </w:r>
      <w:r w:rsidRPr="00D70290">
        <w:rPr>
          <w:rFonts w:asciiTheme="majorBidi" w:hAnsiTheme="majorBidi" w:cstheme="majorBidi"/>
          <w:i/>
        </w:rPr>
        <w:t>matics Standard Level</w:t>
      </w:r>
      <w:r w:rsidRPr="00D70290">
        <w:rPr>
          <w:rFonts w:asciiTheme="majorBidi" w:hAnsiTheme="majorBidi" w:cstheme="majorBidi"/>
        </w:rPr>
        <w:t xml:space="preserve">. </w:t>
      </w:r>
      <w:r w:rsidR="009B17FB" w:rsidRPr="00D70290">
        <w:rPr>
          <w:rFonts w:asciiTheme="majorBidi" w:hAnsiTheme="majorBidi" w:cstheme="majorBidi"/>
        </w:rPr>
        <w:t>New York: Oxford, 2012.</w:t>
      </w:r>
    </w:p>
    <w:p w14:paraId="0D7D5AD3" w14:textId="166914F5" w:rsidR="00F932DC" w:rsidRPr="00972E31" w:rsidRDefault="00F932DC" w:rsidP="00763998">
      <w:pPr>
        <w:spacing w:line="480" w:lineRule="auto"/>
        <w:rPr>
          <w:rFonts w:asciiTheme="majorBidi" w:hAnsiTheme="majorBidi" w:cstheme="majorBidi"/>
        </w:rPr>
      </w:pPr>
    </w:p>
    <w:sectPr w:rsidR="00F932DC" w:rsidRPr="00972E31" w:rsidSect="007C5D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62325" w14:textId="77777777" w:rsidR="004D51C1" w:rsidRDefault="004D51C1" w:rsidP="00972E31">
      <w:r>
        <w:separator/>
      </w:r>
    </w:p>
  </w:endnote>
  <w:endnote w:type="continuationSeparator" w:id="0">
    <w:p w14:paraId="3E2676E7" w14:textId="77777777" w:rsidR="004D51C1" w:rsidRDefault="004D51C1" w:rsidP="0097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B6BA1" w14:textId="77777777" w:rsidR="004D51C1" w:rsidRDefault="004D51C1" w:rsidP="00972E31">
      <w:r>
        <w:separator/>
      </w:r>
    </w:p>
  </w:footnote>
  <w:footnote w:type="continuationSeparator" w:id="0">
    <w:p w14:paraId="44722642" w14:textId="77777777" w:rsidR="004D51C1" w:rsidRDefault="004D51C1" w:rsidP="00972E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5D97F" w14:textId="65A91297" w:rsidR="00972E31" w:rsidRPr="00972E31" w:rsidRDefault="006D71D6" w:rsidP="006D71D6">
    <w:pPr>
      <w:pStyle w:val="Header"/>
      <w:jc w:val="right"/>
      <w:rPr>
        <w:rFonts w:asciiTheme="majorBidi" w:hAnsiTheme="majorBidi" w:cstheme="majorBidi"/>
      </w:rPr>
    </w:pPr>
    <w:r>
      <w:rPr>
        <w:rFonts w:asciiTheme="majorBidi" w:hAnsiTheme="majorBidi" w:cstheme="majorBidi"/>
      </w:rPr>
      <w:t>[Huson]</w:t>
    </w:r>
    <w:r w:rsidR="00830A71">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PAGE  \* MERGEFORMAT </w:instrText>
    </w:r>
    <w:r>
      <w:rPr>
        <w:rFonts w:asciiTheme="majorBidi" w:hAnsiTheme="majorBidi" w:cstheme="majorBidi"/>
      </w:rPr>
      <w:fldChar w:fldCharType="separate"/>
    </w:r>
    <w:r w:rsidR="004D51C1">
      <w:rPr>
        <w:rFonts w:asciiTheme="majorBidi" w:hAnsiTheme="majorBidi" w:cstheme="majorBidi"/>
        <w:noProof/>
      </w:rPr>
      <w:t>1</w:t>
    </w:r>
    <w:r>
      <w:rPr>
        <w:rFonts w:asciiTheme="majorBidi" w:hAnsiTheme="majorBidi" w:cstheme="majorBid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C5"/>
    <w:rsid w:val="00011896"/>
    <w:rsid w:val="000566ED"/>
    <w:rsid w:val="000A7666"/>
    <w:rsid w:val="00255B4D"/>
    <w:rsid w:val="00286585"/>
    <w:rsid w:val="002F06C0"/>
    <w:rsid w:val="002F65A2"/>
    <w:rsid w:val="003331C5"/>
    <w:rsid w:val="0033578E"/>
    <w:rsid w:val="003452FB"/>
    <w:rsid w:val="00357FBF"/>
    <w:rsid w:val="003A05A5"/>
    <w:rsid w:val="003A5680"/>
    <w:rsid w:val="0042319A"/>
    <w:rsid w:val="00474B75"/>
    <w:rsid w:val="004926D9"/>
    <w:rsid w:val="004D51C1"/>
    <w:rsid w:val="005868A8"/>
    <w:rsid w:val="005F626B"/>
    <w:rsid w:val="0060345B"/>
    <w:rsid w:val="00676C46"/>
    <w:rsid w:val="00681775"/>
    <w:rsid w:val="006D71D6"/>
    <w:rsid w:val="00763998"/>
    <w:rsid w:val="007C5D92"/>
    <w:rsid w:val="00822D2F"/>
    <w:rsid w:val="00830A71"/>
    <w:rsid w:val="00872B10"/>
    <w:rsid w:val="00897BB9"/>
    <w:rsid w:val="008B0783"/>
    <w:rsid w:val="008E06CA"/>
    <w:rsid w:val="008E3E18"/>
    <w:rsid w:val="00927E27"/>
    <w:rsid w:val="00966AB7"/>
    <w:rsid w:val="00972E31"/>
    <w:rsid w:val="009819E3"/>
    <w:rsid w:val="009B17FB"/>
    <w:rsid w:val="00B80E92"/>
    <w:rsid w:val="00BA2CAF"/>
    <w:rsid w:val="00BA4578"/>
    <w:rsid w:val="00BC4EBD"/>
    <w:rsid w:val="00C651C8"/>
    <w:rsid w:val="00C93101"/>
    <w:rsid w:val="00CB5841"/>
    <w:rsid w:val="00D16414"/>
    <w:rsid w:val="00D36B3F"/>
    <w:rsid w:val="00D70290"/>
    <w:rsid w:val="00DA08A9"/>
    <w:rsid w:val="00DD0CC1"/>
    <w:rsid w:val="00E1017C"/>
    <w:rsid w:val="00E4227D"/>
    <w:rsid w:val="00E50E29"/>
    <w:rsid w:val="00F14872"/>
    <w:rsid w:val="00F458D7"/>
    <w:rsid w:val="00F932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ED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E31"/>
    <w:pPr>
      <w:tabs>
        <w:tab w:val="center" w:pos="4680"/>
        <w:tab w:val="right" w:pos="9360"/>
      </w:tabs>
    </w:pPr>
  </w:style>
  <w:style w:type="character" w:customStyle="1" w:styleId="HeaderChar">
    <w:name w:val="Header Char"/>
    <w:basedOn w:val="DefaultParagraphFont"/>
    <w:link w:val="Header"/>
    <w:uiPriority w:val="99"/>
    <w:rsid w:val="00972E31"/>
  </w:style>
  <w:style w:type="paragraph" w:styleId="Footer">
    <w:name w:val="footer"/>
    <w:basedOn w:val="Normal"/>
    <w:link w:val="FooterChar"/>
    <w:uiPriority w:val="99"/>
    <w:unhideWhenUsed/>
    <w:rsid w:val="00972E31"/>
    <w:pPr>
      <w:tabs>
        <w:tab w:val="center" w:pos="4680"/>
        <w:tab w:val="right" w:pos="9360"/>
      </w:tabs>
    </w:pPr>
  </w:style>
  <w:style w:type="character" w:customStyle="1" w:styleId="FooterChar">
    <w:name w:val="Footer Char"/>
    <w:basedOn w:val="DefaultParagraphFont"/>
    <w:link w:val="Footer"/>
    <w:uiPriority w:val="99"/>
    <w:rsid w:val="00972E31"/>
  </w:style>
  <w:style w:type="paragraph" w:styleId="Date">
    <w:name w:val="Date"/>
    <w:basedOn w:val="Normal"/>
    <w:next w:val="Normal"/>
    <w:link w:val="DateChar"/>
    <w:uiPriority w:val="99"/>
    <w:semiHidden/>
    <w:unhideWhenUsed/>
    <w:rsid w:val="00972E31"/>
  </w:style>
  <w:style w:type="character" w:customStyle="1" w:styleId="DateChar">
    <w:name w:val="Date Char"/>
    <w:basedOn w:val="DefaultParagraphFont"/>
    <w:link w:val="Date"/>
    <w:uiPriority w:val="99"/>
    <w:semiHidden/>
    <w:rsid w:val="00972E31"/>
  </w:style>
  <w:style w:type="paragraph" w:styleId="Caption">
    <w:name w:val="caption"/>
    <w:basedOn w:val="Normal"/>
    <w:next w:val="Normal"/>
    <w:uiPriority w:val="35"/>
    <w:unhideWhenUsed/>
    <w:qFormat/>
    <w:rsid w:val="00822D2F"/>
    <w:pPr>
      <w:spacing w:after="200"/>
    </w:pPr>
    <w:rPr>
      <w:i/>
      <w:iCs/>
      <w:color w:val="44546A" w:themeColor="text2"/>
      <w:sz w:val="18"/>
      <w:szCs w:val="18"/>
    </w:rPr>
  </w:style>
  <w:style w:type="character" w:styleId="PlaceholderText">
    <w:name w:val="Placeholder Text"/>
    <w:basedOn w:val="DefaultParagraphFont"/>
    <w:uiPriority w:val="99"/>
    <w:semiHidden/>
    <w:rsid w:val="005868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5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chris/Google%20Drive/BECA/Courses/11.1%20IB%20Math%20SL/11A_Common-files/SAT%20vs%20Income%20Study/SAT%20scores%20and%20NPV%20of%20tuition%20and%20future%20earn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 versus Mid-career Salary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'Worked example'!$C$5</c:f>
              <c:strCache>
                <c:ptCount val="1"/>
                <c:pt idx="0">
                  <c:v>SAT (25th percentile)</c:v>
                </c:pt>
              </c:strCache>
            </c:strRef>
          </c:tx>
          <c:spPr>
            <a:ln w="31750" cap="rnd">
              <a:noFill/>
              <a:round/>
            </a:ln>
            <a:effectLst/>
          </c:spPr>
          <c:marker>
            <c:symbol val="circle"/>
            <c:size val="5"/>
            <c:spPr>
              <a:solidFill>
                <a:schemeClr val="tx1"/>
              </a:solidFill>
              <a:ln w="9525">
                <a:solidFill>
                  <a:schemeClr val="accent1"/>
                </a:solidFill>
              </a:ln>
              <a:effectLst/>
            </c:spPr>
          </c:marker>
          <c:dPt>
            <c:idx val="8"/>
            <c:marker>
              <c:symbol val="x"/>
              <c:size val="7"/>
              <c:spPr>
                <a:noFill/>
                <a:ln w="15875">
                  <a:solidFill>
                    <a:schemeClr val="tx1"/>
                  </a:solidFill>
                </a:ln>
                <a:effectLst/>
              </c:spPr>
            </c:marker>
            <c:bubble3D val="0"/>
          </c:dPt>
          <c:xVal>
            <c:numRef>
              <c:f>'Worked example'!$C$6:$C$14</c:f>
              <c:numCache>
                <c:formatCode>General</c:formatCode>
                <c:ptCount val="9"/>
                <c:pt idx="0">
                  <c:v>1480.0</c:v>
                </c:pt>
                <c:pt idx="1">
                  <c:v>1660.0</c:v>
                </c:pt>
                <c:pt idx="2">
                  <c:v>1710.0</c:v>
                </c:pt>
                <c:pt idx="3">
                  <c:v>1710.0</c:v>
                </c:pt>
                <c:pt idx="4">
                  <c:v>1830.0</c:v>
                </c:pt>
                <c:pt idx="5">
                  <c:v>1940.0</c:v>
                </c:pt>
                <c:pt idx="6">
                  <c:v>2100.0</c:v>
                </c:pt>
                <c:pt idx="7">
                  <c:v>2110.0</c:v>
                </c:pt>
                <c:pt idx="8" formatCode="0">
                  <c:v>1817.5</c:v>
                </c:pt>
              </c:numCache>
            </c:numRef>
          </c:xVal>
          <c:yVal>
            <c:numRef>
              <c:f>'Worked example'!$D$6:$D$14</c:f>
              <c:numCache>
                <c:formatCode>_(* #,##0_);_(* \(#,##0\);_(* "-"??_);_(@_)</c:formatCode>
                <c:ptCount val="9"/>
                <c:pt idx="0">
                  <c:v>86400.0</c:v>
                </c:pt>
                <c:pt idx="1">
                  <c:v>90900.0</c:v>
                </c:pt>
                <c:pt idx="2">
                  <c:v>99500.0</c:v>
                </c:pt>
                <c:pt idx="3">
                  <c:v>91800.0</c:v>
                </c:pt>
                <c:pt idx="4">
                  <c:v>90300.0</c:v>
                </c:pt>
                <c:pt idx="5">
                  <c:v>88500.0</c:v>
                </c:pt>
                <c:pt idx="6">
                  <c:v>105000.0</c:v>
                </c:pt>
                <c:pt idx="7">
                  <c:v>130000.0</c:v>
                </c:pt>
                <c:pt idx="8">
                  <c:v>97800.0</c:v>
                </c:pt>
              </c:numCache>
            </c:numRef>
          </c:yVal>
          <c:smooth val="0"/>
        </c:ser>
        <c:dLbls>
          <c:showLegendKey val="0"/>
          <c:showVal val="0"/>
          <c:showCatName val="0"/>
          <c:showSerName val="0"/>
          <c:showPercent val="0"/>
          <c:showBubbleSize val="0"/>
        </c:dLbls>
        <c:axId val="-1699588608"/>
        <c:axId val="-1763639920"/>
      </c:scatterChart>
      <c:valAx>
        <c:axId val="-1699588608"/>
        <c:scaling>
          <c:orientation val="minMax"/>
          <c:min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Scores</a:t>
                </a:r>
                <a:r>
                  <a:rPr lang="en-US" baseline="0"/>
                  <a:t> (25th Percentile)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639920"/>
        <c:crosses val="autoZero"/>
        <c:crossBetween val="midCat"/>
      </c:valAx>
      <c:valAx>
        <c:axId val="-1763639920"/>
        <c:scaling>
          <c:orientation val="minMax"/>
          <c:max val="140000.0"/>
          <c:min val="7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r>
                  <a:rPr lang="en-US" baseline="0"/>
                  <a:t> Mid-career Salary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58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387</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Huson Christopher</dc:creator>
  <cp:keywords/>
  <dc:description/>
  <cp:lastModifiedBy>Huson Christopher</cp:lastModifiedBy>
  <cp:revision>20</cp:revision>
  <cp:lastPrinted>2017-12-07T16:33:00Z</cp:lastPrinted>
  <dcterms:created xsi:type="dcterms:W3CDTF">2017-12-07T15:35:00Z</dcterms:created>
  <dcterms:modified xsi:type="dcterms:W3CDTF">2017-12-07T16:35:00Z</dcterms:modified>
</cp:coreProperties>
</file>