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8A2B1" w14:textId="77777777" w:rsidR="00E03E61" w:rsidRPr="00E21DE2" w:rsidRDefault="00E03E61" w:rsidP="00785C9C">
      <w:pPr>
        <w:spacing w:line="240" w:lineRule="auto"/>
        <w:ind w:firstLine="0"/>
        <w:jc w:val="center"/>
        <w:rPr>
          <w:rFonts w:ascii="Times New Roman" w:hAnsi="Times New Roman" w:cs="Times New Roman"/>
          <w:b/>
          <w:bCs/>
          <w:sz w:val="32"/>
          <w:szCs w:val="32"/>
        </w:rPr>
      </w:pPr>
      <w:r w:rsidRPr="00E21DE2">
        <w:rPr>
          <w:rFonts w:ascii="Times New Roman" w:hAnsi="Times New Roman" w:cs="Times New Roman"/>
          <w:b/>
          <w:bCs/>
          <w:sz w:val="32"/>
          <w:szCs w:val="32"/>
        </w:rPr>
        <w:t>Predicting College Football Game Winners Using Box Score Histories, Roster Values, and Varying Time Windows with Machine Learning Models</w:t>
      </w:r>
    </w:p>
    <w:p w14:paraId="1C368722" w14:textId="77777777" w:rsidR="00E21DE2" w:rsidRDefault="00E21DE2" w:rsidP="00785C9C">
      <w:pPr>
        <w:spacing w:line="240" w:lineRule="auto"/>
        <w:ind w:firstLine="0"/>
        <w:jc w:val="center"/>
        <w:rPr>
          <w:rFonts w:ascii="Times New Roman" w:hAnsi="Times New Roman" w:cs="Times New Roman"/>
          <w:b/>
          <w:bCs/>
          <w:sz w:val="20"/>
          <w:szCs w:val="20"/>
        </w:rPr>
      </w:pPr>
    </w:p>
    <w:p w14:paraId="26AFADD8" w14:textId="0AC0A996" w:rsidR="00E03E61" w:rsidRPr="00E21DE2" w:rsidRDefault="00E03E61" w:rsidP="00785C9C">
      <w:pPr>
        <w:spacing w:line="240" w:lineRule="auto"/>
        <w:ind w:firstLine="0"/>
        <w:jc w:val="center"/>
        <w:rPr>
          <w:rFonts w:ascii="Times New Roman" w:hAnsi="Times New Roman" w:cs="Times New Roman"/>
          <w:b/>
          <w:bCs/>
          <w:sz w:val="24"/>
          <w:szCs w:val="24"/>
        </w:rPr>
      </w:pPr>
      <w:r w:rsidRPr="00E21DE2">
        <w:rPr>
          <w:rFonts w:ascii="Times New Roman" w:hAnsi="Times New Roman" w:cs="Times New Roman"/>
          <w:b/>
          <w:bCs/>
          <w:sz w:val="24"/>
          <w:szCs w:val="24"/>
        </w:rPr>
        <w:t>Christopher L. Izenour</w:t>
      </w:r>
    </w:p>
    <w:p w14:paraId="4BC13B2B" w14:textId="367FD307" w:rsidR="00E03E61" w:rsidRPr="00E21DE2" w:rsidRDefault="00E03E61" w:rsidP="00785C9C">
      <w:pPr>
        <w:spacing w:line="240" w:lineRule="auto"/>
        <w:ind w:firstLine="0"/>
        <w:jc w:val="center"/>
        <w:rPr>
          <w:rFonts w:ascii="Times New Roman" w:hAnsi="Times New Roman" w:cs="Times New Roman"/>
          <w:sz w:val="24"/>
          <w:szCs w:val="24"/>
        </w:rPr>
      </w:pPr>
      <w:r w:rsidRPr="00E21DE2">
        <w:rPr>
          <w:rFonts w:ascii="Times New Roman" w:hAnsi="Times New Roman" w:cs="Times New Roman"/>
          <w:sz w:val="24"/>
          <w:szCs w:val="24"/>
        </w:rPr>
        <w:t>Department of Industrial and Systems Engineering</w:t>
      </w:r>
    </w:p>
    <w:p w14:paraId="3C33F2BB" w14:textId="71201BFD" w:rsidR="00E03E61" w:rsidRPr="00E21DE2" w:rsidRDefault="00E03E61" w:rsidP="00785C9C">
      <w:pPr>
        <w:spacing w:line="240" w:lineRule="auto"/>
        <w:ind w:firstLine="0"/>
        <w:jc w:val="center"/>
        <w:rPr>
          <w:rFonts w:ascii="Times New Roman" w:hAnsi="Times New Roman" w:cs="Times New Roman"/>
          <w:sz w:val="24"/>
          <w:szCs w:val="24"/>
        </w:rPr>
      </w:pPr>
      <w:r w:rsidRPr="00E21DE2">
        <w:rPr>
          <w:rFonts w:ascii="Times New Roman" w:hAnsi="Times New Roman" w:cs="Times New Roman"/>
          <w:sz w:val="24"/>
          <w:szCs w:val="24"/>
        </w:rPr>
        <w:t>Mississippi State University</w:t>
      </w:r>
    </w:p>
    <w:p w14:paraId="29EB5920" w14:textId="6A72E769" w:rsidR="00E03E61" w:rsidRDefault="00E03E61" w:rsidP="00785C9C">
      <w:pPr>
        <w:spacing w:line="240" w:lineRule="auto"/>
        <w:ind w:firstLine="0"/>
        <w:jc w:val="center"/>
        <w:rPr>
          <w:rFonts w:ascii="Times New Roman" w:hAnsi="Times New Roman" w:cs="Times New Roman"/>
          <w:sz w:val="24"/>
          <w:szCs w:val="24"/>
        </w:rPr>
      </w:pPr>
      <w:r w:rsidRPr="00E21DE2">
        <w:rPr>
          <w:rFonts w:ascii="Times New Roman" w:hAnsi="Times New Roman" w:cs="Times New Roman"/>
          <w:sz w:val="24"/>
          <w:szCs w:val="24"/>
        </w:rPr>
        <w:t xml:space="preserve">Mississippi State, MS 39762 </w:t>
      </w:r>
    </w:p>
    <w:p w14:paraId="077D9A7A" w14:textId="77777777" w:rsidR="00E21DE2" w:rsidRPr="00E21DE2" w:rsidRDefault="00E21DE2" w:rsidP="00785C9C">
      <w:pPr>
        <w:spacing w:line="240" w:lineRule="auto"/>
        <w:ind w:firstLine="0"/>
        <w:jc w:val="center"/>
        <w:rPr>
          <w:rFonts w:ascii="Times New Roman" w:hAnsi="Times New Roman" w:cs="Times New Roman"/>
          <w:sz w:val="24"/>
          <w:szCs w:val="24"/>
        </w:rPr>
      </w:pPr>
    </w:p>
    <w:p w14:paraId="2572718D" w14:textId="7173E798" w:rsidR="00A81D90" w:rsidRPr="00E03E61" w:rsidRDefault="00A81D90" w:rsidP="00785C9C">
      <w:pPr>
        <w:spacing w:line="240" w:lineRule="auto"/>
        <w:ind w:firstLine="0"/>
        <w:jc w:val="center"/>
        <w:rPr>
          <w:rFonts w:ascii="Times New Roman" w:hAnsi="Times New Roman" w:cs="Times New Roman"/>
          <w:b/>
          <w:bCs/>
          <w:sz w:val="24"/>
          <w:szCs w:val="24"/>
        </w:rPr>
      </w:pPr>
      <w:r w:rsidRPr="00E03E61">
        <w:rPr>
          <w:rFonts w:ascii="Times New Roman" w:hAnsi="Times New Roman" w:cs="Times New Roman"/>
          <w:b/>
          <w:bCs/>
          <w:sz w:val="24"/>
          <w:szCs w:val="24"/>
        </w:rPr>
        <w:t>Abstract</w:t>
      </w:r>
    </w:p>
    <w:p w14:paraId="0E83395E" w14:textId="77777777" w:rsidR="00E21DE2" w:rsidRDefault="00E21DE2" w:rsidP="00785C9C">
      <w:pPr>
        <w:spacing w:line="240" w:lineRule="auto"/>
        <w:ind w:firstLine="0"/>
        <w:jc w:val="both"/>
        <w:rPr>
          <w:rFonts w:ascii="Times New Roman" w:hAnsi="Times New Roman" w:cs="Times New Roman"/>
          <w:sz w:val="20"/>
          <w:szCs w:val="20"/>
        </w:rPr>
      </w:pPr>
    </w:p>
    <w:p w14:paraId="3BA8044B" w14:textId="2FDF4FF9" w:rsidR="00012199" w:rsidRDefault="00E03E61" w:rsidP="00785C9C">
      <w:pPr>
        <w:spacing w:line="240" w:lineRule="auto"/>
        <w:ind w:firstLine="0"/>
        <w:jc w:val="both"/>
        <w:rPr>
          <w:rFonts w:ascii="Times New Roman" w:hAnsi="Times New Roman" w:cs="Times New Roman"/>
          <w:sz w:val="20"/>
          <w:szCs w:val="20"/>
        </w:rPr>
      </w:pPr>
      <w:r>
        <w:rPr>
          <w:rFonts w:ascii="Times New Roman" w:hAnsi="Times New Roman" w:cs="Times New Roman"/>
          <w:sz w:val="20"/>
          <w:szCs w:val="20"/>
        </w:rPr>
        <w:t xml:space="preserve">This </w:t>
      </w:r>
      <w:r w:rsidR="00785C9C">
        <w:rPr>
          <w:rFonts w:ascii="Times New Roman" w:hAnsi="Times New Roman" w:cs="Times New Roman"/>
          <w:sz w:val="20"/>
          <w:szCs w:val="20"/>
        </w:rPr>
        <w:t>analysis</w:t>
      </w:r>
      <w:r>
        <w:rPr>
          <w:rFonts w:ascii="Times New Roman" w:hAnsi="Times New Roman" w:cs="Times New Roman"/>
          <w:sz w:val="20"/>
          <w:szCs w:val="20"/>
        </w:rPr>
        <w:t xml:space="preserve"> </w:t>
      </w:r>
      <w:r w:rsidR="00012199">
        <w:rPr>
          <w:rFonts w:ascii="Times New Roman" w:hAnsi="Times New Roman" w:cs="Times New Roman"/>
          <w:sz w:val="20"/>
          <w:szCs w:val="20"/>
        </w:rPr>
        <w:t>asks which pregame features best predict college football winners using only information available before kickoff.</w:t>
      </w:r>
      <w:r>
        <w:rPr>
          <w:rFonts w:ascii="Times New Roman" w:hAnsi="Times New Roman" w:cs="Times New Roman"/>
          <w:sz w:val="20"/>
          <w:szCs w:val="20"/>
        </w:rPr>
        <w:t xml:space="preserve"> </w:t>
      </w:r>
      <w:r w:rsidR="00C12F2E">
        <w:rPr>
          <w:rFonts w:ascii="Times New Roman" w:hAnsi="Times New Roman" w:cs="Times New Roman"/>
          <w:sz w:val="20"/>
          <w:szCs w:val="20"/>
        </w:rPr>
        <w:t xml:space="preserve">Using </w:t>
      </w:r>
      <w:r w:rsidR="00012199">
        <w:rPr>
          <w:rFonts w:ascii="Times New Roman" w:hAnsi="Times New Roman" w:cs="Times New Roman"/>
          <w:sz w:val="20"/>
          <w:szCs w:val="20"/>
        </w:rPr>
        <w:t xml:space="preserve">2014-2025 </w:t>
      </w:r>
      <w:r>
        <w:rPr>
          <w:rFonts w:ascii="Times New Roman" w:hAnsi="Times New Roman" w:cs="Times New Roman"/>
          <w:sz w:val="20"/>
          <w:szCs w:val="20"/>
        </w:rPr>
        <w:t>regular-season games</w:t>
      </w:r>
      <w:r w:rsidR="00354B2C">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{"citationID":"BWkxq5Zq","properties":{"formattedCitation":"[1]","plainCitation":"[1]","noteIndex":0},"citationItems":[{"id":263,"uris":["http://zotero.org/users/14744311/items/PWUA9JB5"],"itemData":{"id":263,"type":"dataset","title":"College Football Game Stats | 2022 to January 2026","URL":"https://www.kaggle.com/datasets/cviaxmiwnptr/college-football-team-stats-2002-to-january-2024?resource=download","author":[{"family":"CVIAXMIWNPTR","given":""}],"accessed":{"date-parts":[["2026",3,7]]}}}],"schema":"https://github.com/citation-style-language/schema/raw/master/csl-citation.json"} </w:instrText>
      </w:r>
      <w:r w:rsidR="00354B2C">
        <w:rPr>
          <w:rFonts w:ascii="Times New Roman" w:hAnsi="Times New Roman" w:cs="Times New Roman"/>
          <w:sz w:val="20"/>
          <w:szCs w:val="20"/>
        </w:rPr>
        <w:fldChar w:fldCharType="separate"/>
      </w:r>
      <w:r w:rsidR="00354B2C">
        <w:rPr>
          <w:rFonts w:ascii="Times New Roman" w:hAnsi="Times New Roman" w:cs="Times New Roman"/>
          <w:noProof/>
          <w:sz w:val="20"/>
          <w:szCs w:val="20"/>
        </w:rPr>
        <w:t>[1]</w:t>
      </w:r>
      <w:r w:rsidR="00354B2C">
        <w:rPr>
          <w:rFonts w:ascii="Times New Roman" w:hAnsi="Times New Roman" w:cs="Times New Roman"/>
          <w:sz w:val="20"/>
          <w:szCs w:val="20"/>
        </w:rPr>
        <w:fldChar w:fldCharType="end"/>
      </w:r>
      <w:r w:rsidR="00500FB2">
        <w:rPr>
          <w:rFonts w:ascii="Times New Roman" w:hAnsi="Times New Roman" w:cs="Times New Roman"/>
          <w:sz w:val="20"/>
          <w:szCs w:val="20"/>
        </w:rPr>
        <w:t xml:space="preserve"> for</w:t>
      </w:r>
      <w:r w:rsidR="00012199">
        <w:rPr>
          <w:rFonts w:ascii="Times New Roman" w:hAnsi="Times New Roman" w:cs="Times New Roman"/>
          <w:sz w:val="20"/>
          <w:szCs w:val="20"/>
        </w:rPr>
        <w:t xml:space="preserve"> upper-echelon FBS </w:t>
      </w:r>
      <w:r w:rsidR="00500FB2">
        <w:rPr>
          <w:rFonts w:ascii="Times New Roman" w:hAnsi="Times New Roman" w:cs="Times New Roman"/>
          <w:sz w:val="20"/>
          <w:szCs w:val="20"/>
        </w:rPr>
        <w:t>teams</w:t>
      </w:r>
      <w:r w:rsidR="00354B2C">
        <w:rPr>
          <w:rFonts w:ascii="Times New Roman" w:hAnsi="Times New Roman" w:cs="Times New Roman"/>
          <w:sz w:val="20"/>
          <w:szCs w:val="20"/>
        </w:rPr>
        <w:fldChar w:fldCharType="begin"/>
      </w:r>
      <w:r w:rsidR="00354B2C">
        <w:rPr>
          <w:rFonts w:ascii="Times New Roman" w:hAnsi="Times New Roman" w:cs="Times New Roman"/>
          <w:sz w:val="20"/>
          <w:szCs w:val="20"/>
        </w:rPr>
        <w:instrText xml:space="preserve"> ADDIN ZOTERO_ITEM CSL_CITATION {"citationID":"R310b1q5","properties":{"formattedCitation":"[2]","plainCitation":"[2]","noteIndex":0},"citationItems":[{"id":264,"uris":["http://zotero.org/users/14744311/items/WF2UGKTF"],"itemData":{"id":264,"type":"dataset","title":"College Football Teams","URL":"https://www.espn.com/college-football/teams","accessed":{"date-parts":[["2026",3,7]]}}}],"schema":"https://github.com/citation-style-language/schema/raw/master/csl-citation.json"} </w:instrText>
      </w:r>
      <w:r w:rsidR="00354B2C">
        <w:rPr>
          <w:rFonts w:ascii="Times New Roman" w:hAnsi="Times New Roman" w:cs="Times New Roman"/>
          <w:sz w:val="20"/>
          <w:szCs w:val="20"/>
        </w:rPr>
        <w:fldChar w:fldCharType="separate"/>
      </w:r>
      <w:r w:rsidR="00354B2C">
        <w:rPr>
          <w:rFonts w:ascii="Times New Roman" w:hAnsi="Times New Roman" w:cs="Times New Roman"/>
          <w:noProof/>
          <w:sz w:val="20"/>
          <w:szCs w:val="20"/>
        </w:rPr>
        <w:t>[2]</w:t>
      </w:r>
      <w:r w:rsidR="00354B2C">
        <w:rPr>
          <w:rFonts w:ascii="Times New Roman" w:hAnsi="Times New Roman" w:cs="Times New Roman"/>
          <w:sz w:val="20"/>
          <w:szCs w:val="20"/>
        </w:rPr>
        <w:fldChar w:fldCharType="end"/>
      </w:r>
      <w:r>
        <w:rPr>
          <w:rFonts w:ascii="Times New Roman" w:hAnsi="Times New Roman" w:cs="Times New Roman"/>
          <w:sz w:val="20"/>
          <w:szCs w:val="20"/>
        </w:rPr>
        <w:t>, recruiting rankings from 247Sports</w:t>
      </w:r>
      <w:r w:rsidR="00354B2C">
        <w:rPr>
          <w:rFonts w:ascii="Times New Roman" w:hAnsi="Times New Roman" w:cs="Times New Roman"/>
          <w:sz w:val="20"/>
          <w:szCs w:val="20"/>
        </w:rPr>
        <w:fldChar w:fldCharType="begin"/>
      </w:r>
      <w:r w:rsidR="00354B2C">
        <w:rPr>
          <w:rFonts w:ascii="Times New Roman" w:hAnsi="Times New Roman" w:cs="Times New Roman"/>
          <w:sz w:val="20"/>
          <w:szCs w:val="20"/>
        </w:rPr>
        <w:instrText xml:space="preserve"> ADDIN ZOTERO_ITEM CSL_CITATION {"citationID":"fzcKhAhm","properties":{"formattedCitation":"[3]","plainCitation":"[3]","noteIndex":0},"citationItems":[{"id":265,"uris":["http://zotero.org/users/14744311/items/P3NN3BUY"],"itemData":{"id":265,"type":"dataset","title":"Recruit Football Composite Team Rankings","URL":"https://247sports.com/season/{year}-football/compositeteamranki","accessed":{"date-parts":[["2026",3,5]]}}}],"schema":"https://github.com/citation-style-language/schema/raw/master/csl-citation.json"} </w:instrText>
      </w:r>
      <w:r w:rsidR="00354B2C">
        <w:rPr>
          <w:rFonts w:ascii="Times New Roman" w:hAnsi="Times New Roman" w:cs="Times New Roman"/>
          <w:sz w:val="20"/>
          <w:szCs w:val="20"/>
        </w:rPr>
        <w:fldChar w:fldCharType="separate"/>
      </w:r>
      <w:r w:rsidR="00354B2C">
        <w:rPr>
          <w:rFonts w:ascii="Times New Roman" w:hAnsi="Times New Roman" w:cs="Times New Roman"/>
          <w:noProof/>
          <w:sz w:val="20"/>
          <w:szCs w:val="20"/>
        </w:rPr>
        <w:t>[3]</w:t>
      </w:r>
      <w:r w:rsidR="00354B2C">
        <w:rPr>
          <w:rFonts w:ascii="Times New Roman" w:hAnsi="Times New Roman" w:cs="Times New Roman"/>
          <w:sz w:val="20"/>
          <w:szCs w:val="20"/>
        </w:rPr>
        <w:fldChar w:fldCharType="end"/>
      </w:r>
      <w:r>
        <w:rPr>
          <w:rFonts w:ascii="Times New Roman" w:hAnsi="Times New Roman" w:cs="Times New Roman"/>
          <w:sz w:val="20"/>
          <w:szCs w:val="20"/>
        </w:rPr>
        <w:t>, season-to-date team performance data, and offense-vs.-defense matchup features</w:t>
      </w:r>
      <w:r w:rsidR="00C12F2E">
        <w:rPr>
          <w:rFonts w:ascii="Times New Roman" w:hAnsi="Times New Roman" w:cs="Times New Roman"/>
          <w:sz w:val="20"/>
          <w:szCs w:val="20"/>
        </w:rPr>
        <w:t xml:space="preserve">, </w:t>
      </w:r>
      <w:r w:rsidR="00012199">
        <w:rPr>
          <w:rFonts w:ascii="Times New Roman" w:hAnsi="Times New Roman" w:cs="Times New Roman"/>
          <w:sz w:val="20"/>
          <w:szCs w:val="20"/>
        </w:rPr>
        <w:t>t</w:t>
      </w:r>
      <w:r w:rsidR="00CC3F45" w:rsidRPr="00CC3F45">
        <w:rPr>
          <w:rFonts w:ascii="Times New Roman" w:hAnsi="Times New Roman" w:cs="Times New Roman"/>
          <w:sz w:val="20"/>
          <w:szCs w:val="20"/>
        </w:rPr>
        <w:t xml:space="preserve">he </w:t>
      </w:r>
      <w:r w:rsidR="00B3000F">
        <w:rPr>
          <w:rFonts w:ascii="Times New Roman" w:hAnsi="Times New Roman" w:cs="Times New Roman"/>
          <w:sz w:val="20"/>
          <w:szCs w:val="20"/>
        </w:rPr>
        <w:t>analysis</w:t>
      </w:r>
      <w:r w:rsidR="00CC3F45" w:rsidRPr="00CC3F45">
        <w:rPr>
          <w:rFonts w:ascii="Times New Roman" w:hAnsi="Times New Roman" w:cs="Times New Roman"/>
          <w:sz w:val="20"/>
          <w:szCs w:val="20"/>
        </w:rPr>
        <w:t xml:space="preserve"> </w:t>
      </w:r>
      <w:r w:rsidR="00012199">
        <w:rPr>
          <w:rFonts w:ascii="Times New Roman" w:hAnsi="Times New Roman" w:cs="Times New Roman"/>
          <w:sz w:val="20"/>
          <w:szCs w:val="20"/>
        </w:rPr>
        <w:t>compares six feature tiers under an expanding-window design and then retests the two preferred regularized logistic models under fixed 3-season and fixed 5-season windows. Logistic L2 achieved the best held-out AUC on the full tier</w:t>
      </w:r>
      <w:r w:rsidR="00D00F68">
        <w:rPr>
          <w:rFonts w:ascii="Times New Roman" w:hAnsi="Times New Roman" w:cs="Times New Roman"/>
          <w:sz w:val="20"/>
          <w:szCs w:val="20"/>
        </w:rPr>
        <w:t xml:space="preserve"> and </w:t>
      </w:r>
      <w:r w:rsidR="00012199">
        <w:rPr>
          <w:rFonts w:ascii="Times New Roman" w:hAnsi="Times New Roman" w:cs="Times New Roman"/>
          <w:sz w:val="20"/>
          <w:szCs w:val="20"/>
        </w:rPr>
        <w:t xml:space="preserve">Logistic </w:t>
      </w:r>
      <w:proofErr w:type="spellStart"/>
      <w:r w:rsidR="00012199">
        <w:rPr>
          <w:rFonts w:ascii="Times New Roman" w:hAnsi="Times New Roman" w:cs="Times New Roman"/>
          <w:sz w:val="20"/>
          <w:szCs w:val="20"/>
        </w:rPr>
        <w:t>ElasticNet</w:t>
      </w:r>
      <w:proofErr w:type="spellEnd"/>
      <w:r w:rsidR="00012199">
        <w:rPr>
          <w:rFonts w:ascii="Times New Roman" w:hAnsi="Times New Roman" w:cs="Times New Roman"/>
          <w:sz w:val="20"/>
          <w:szCs w:val="20"/>
        </w:rPr>
        <w:t xml:space="preserve"> was nearly tied</w:t>
      </w:r>
      <w:r w:rsidR="00D00F68">
        <w:rPr>
          <w:rFonts w:ascii="Times New Roman" w:hAnsi="Times New Roman" w:cs="Times New Roman"/>
          <w:sz w:val="20"/>
          <w:szCs w:val="20"/>
        </w:rPr>
        <w:t>. S</w:t>
      </w:r>
      <w:r w:rsidR="00012199">
        <w:rPr>
          <w:rFonts w:ascii="Times New Roman" w:hAnsi="Times New Roman" w:cs="Times New Roman"/>
          <w:sz w:val="20"/>
          <w:szCs w:val="20"/>
        </w:rPr>
        <w:t>eason-to-date performance provided the largest predictive lift. Roster talent added a meaningful secondary value. Fixed-width windows did not improve upon expanding-windows.</w:t>
      </w:r>
    </w:p>
    <w:p w14:paraId="493B0396" w14:textId="77777777" w:rsidR="00E21DE2" w:rsidRDefault="00E21DE2" w:rsidP="00785C9C">
      <w:pPr>
        <w:spacing w:line="240" w:lineRule="auto"/>
        <w:ind w:firstLine="0"/>
        <w:jc w:val="both"/>
        <w:rPr>
          <w:rFonts w:ascii="Times New Roman" w:hAnsi="Times New Roman" w:cs="Times New Roman"/>
          <w:sz w:val="20"/>
          <w:szCs w:val="20"/>
        </w:rPr>
      </w:pPr>
    </w:p>
    <w:p w14:paraId="68E58C2D" w14:textId="751BF7E5" w:rsidR="00500FB2" w:rsidRDefault="00500FB2" w:rsidP="00785C9C">
      <w:pPr>
        <w:spacing w:line="240" w:lineRule="auto"/>
        <w:ind w:firstLine="0"/>
        <w:jc w:val="both"/>
        <w:rPr>
          <w:rFonts w:ascii="Times New Roman" w:hAnsi="Times New Roman" w:cs="Times New Roman"/>
          <w:sz w:val="20"/>
          <w:szCs w:val="20"/>
        </w:rPr>
      </w:pPr>
      <w:r w:rsidRPr="00500FB2">
        <w:rPr>
          <w:rFonts w:ascii="Times New Roman" w:hAnsi="Times New Roman" w:cs="Times New Roman"/>
          <w:b/>
          <w:bCs/>
          <w:sz w:val="24"/>
          <w:szCs w:val="24"/>
        </w:rPr>
        <w:t>Keywords</w:t>
      </w:r>
      <w:r w:rsidR="009770F3">
        <w:rPr>
          <w:rFonts w:ascii="Times New Roman" w:hAnsi="Times New Roman" w:cs="Times New Roman"/>
          <w:b/>
          <w:bCs/>
          <w:sz w:val="24"/>
          <w:szCs w:val="24"/>
        </w:rPr>
        <w:t xml:space="preserve">: </w:t>
      </w:r>
      <w:r w:rsidR="009770F3" w:rsidRPr="009770F3">
        <w:rPr>
          <w:rFonts w:ascii="Times New Roman" w:hAnsi="Times New Roman" w:cs="Times New Roman"/>
          <w:sz w:val="20"/>
          <w:szCs w:val="20"/>
        </w:rPr>
        <w:t>m</w:t>
      </w:r>
      <w:r>
        <w:rPr>
          <w:rFonts w:ascii="Times New Roman" w:hAnsi="Times New Roman" w:cs="Times New Roman"/>
          <w:sz w:val="20"/>
          <w:szCs w:val="20"/>
        </w:rPr>
        <w:t>achine learning, predictive analytics, college football, power conferences</w:t>
      </w:r>
      <w:r w:rsidR="00AA22F5">
        <w:rPr>
          <w:rFonts w:ascii="Times New Roman" w:hAnsi="Times New Roman" w:cs="Times New Roman"/>
          <w:sz w:val="20"/>
          <w:szCs w:val="20"/>
        </w:rPr>
        <w:t>, matchup winners</w:t>
      </w:r>
    </w:p>
    <w:p w14:paraId="04F5F668" w14:textId="77777777" w:rsidR="00E21DE2" w:rsidRPr="00E03E61" w:rsidRDefault="00E21DE2" w:rsidP="00785C9C">
      <w:pPr>
        <w:spacing w:line="240" w:lineRule="auto"/>
        <w:ind w:firstLine="0"/>
        <w:jc w:val="both"/>
        <w:rPr>
          <w:rFonts w:ascii="Times New Roman" w:hAnsi="Times New Roman" w:cs="Times New Roman"/>
          <w:sz w:val="20"/>
          <w:szCs w:val="20"/>
        </w:rPr>
      </w:pPr>
    </w:p>
    <w:p w14:paraId="3349502F" w14:textId="487C7EC2" w:rsidR="0047223A" w:rsidRPr="00AA22F5" w:rsidRDefault="00AA22F5" w:rsidP="00AA22F5">
      <w:pPr>
        <w:spacing w:line="240" w:lineRule="auto"/>
        <w:ind w:firstLine="0"/>
        <w:rPr>
          <w:rFonts w:ascii="Times New Roman" w:hAnsi="Times New Roman" w:cs="Times New Roman"/>
          <w:b/>
          <w:bCs/>
          <w:sz w:val="24"/>
          <w:szCs w:val="24"/>
        </w:rPr>
      </w:pPr>
      <w:r w:rsidRPr="00AA22F5">
        <w:rPr>
          <w:rFonts w:ascii="Times New Roman" w:hAnsi="Times New Roman" w:cs="Times New Roman"/>
          <w:b/>
          <w:bCs/>
          <w:sz w:val="24"/>
          <w:szCs w:val="24"/>
        </w:rPr>
        <w:t>1.</w:t>
      </w:r>
      <w:r>
        <w:rPr>
          <w:rFonts w:ascii="Times New Roman" w:hAnsi="Times New Roman" w:cs="Times New Roman"/>
          <w:b/>
          <w:bCs/>
          <w:sz w:val="24"/>
          <w:szCs w:val="24"/>
        </w:rPr>
        <w:t xml:space="preserve"> </w:t>
      </w:r>
      <w:r w:rsidR="0047223A" w:rsidRPr="00AA22F5">
        <w:rPr>
          <w:rFonts w:ascii="Times New Roman" w:hAnsi="Times New Roman" w:cs="Times New Roman"/>
          <w:b/>
          <w:bCs/>
          <w:sz w:val="24"/>
          <w:szCs w:val="24"/>
        </w:rPr>
        <w:t>Introduction</w:t>
      </w:r>
      <w:r w:rsidR="00A81D90" w:rsidRPr="00AA22F5">
        <w:rPr>
          <w:rFonts w:ascii="Times New Roman" w:hAnsi="Times New Roman" w:cs="Times New Roman"/>
          <w:b/>
          <w:bCs/>
          <w:sz w:val="24"/>
          <w:szCs w:val="24"/>
        </w:rPr>
        <w:t xml:space="preserve"> and Background</w:t>
      </w:r>
    </w:p>
    <w:p w14:paraId="2B90B06D" w14:textId="77777777" w:rsidR="00E21DE2" w:rsidRPr="00E03E61" w:rsidRDefault="00E21DE2" w:rsidP="00785C9C">
      <w:pPr>
        <w:spacing w:line="240" w:lineRule="auto"/>
        <w:ind w:firstLine="0"/>
        <w:jc w:val="center"/>
        <w:rPr>
          <w:rFonts w:ascii="Times New Roman" w:hAnsi="Times New Roman" w:cs="Times New Roman"/>
          <w:b/>
          <w:bCs/>
          <w:sz w:val="24"/>
          <w:szCs w:val="24"/>
        </w:rPr>
      </w:pPr>
    </w:p>
    <w:p w14:paraId="32EC6DF5" w14:textId="369CC96A" w:rsidR="000B0DCC" w:rsidRDefault="00C12F2E" w:rsidP="00785C9C">
      <w:pPr>
        <w:spacing w:line="240" w:lineRule="auto"/>
        <w:ind w:firstLine="0"/>
        <w:rPr>
          <w:rFonts w:ascii="Times New Roman" w:hAnsi="Times New Roman" w:cs="Times New Roman"/>
          <w:sz w:val="20"/>
          <w:szCs w:val="20"/>
        </w:rPr>
      </w:pPr>
      <w:r w:rsidRPr="00C12F2E">
        <w:rPr>
          <w:rFonts w:ascii="Times New Roman" w:hAnsi="Times New Roman" w:cs="Times New Roman"/>
          <w:sz w:val="20"/>
          <w:szCs w:val="20"/>
        </w:rPr>
        <w:t xml:space="preserve">This analysis addresses a practical sports analytics problem: given only the information available at kickoff, which </w:t>
      </w:r>
      <w:r w:rsidR="00CA7749">
        <w:rPr>
          <w:rFonts w:ascii="Times New Roman" w:hAnsi="Times New Roman" w:cs="Times New Roman"/>
          <w:sz w:val="20"/>
          <w:szCs w:val="20"/>
        </w:rPr>
        <w:t>pregame features best</w:t>
      </w:r>
      <w:r w:rsidRPr="00C12F2E">
        <w:rPr>
          <w:rFonts w:ascii="Times New Roman" w:hAnsi="Times New Roman" w:cs="Times New Roman"/>
          <w:sz w:val="20"/>
          <w:szCs w:val="20"/>
        </w:rPr>
        <w:t xml:space="preserve"> predict the winner of a college football game? College football is on</w:t>
      </w:r>
      <w:r>
        <w:rPr>
          <w:rFonts w:ascii="Times New Roman" w:hAnsi="Times New Roman" w:cs="Times New Roman"/>
          <w:sz w:val="20"/>
          <w:szCs w:val="20"/>
        </w:rPr>
        <w:t xml:space="preserve">e </w:t>
      </w:r>
      <w:r w:rsidR="00785C9C">
        <w:rPr>
          <w:rFonts w:ascii="Times New Roman" w:hAnsi="Times New Roman" w:cs="Times New Roman"/>
          <w:sz w:val="20"/>
          <w:szCs w:val="20"/>
        </w:rPr>
        <w:t>of the most popular</w:t>
      </w:r>
      <w:r w:rsidR="00354B2C">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{"citationID":"tv6sqXyc","properties":{"formattedCitation":"[4]","plainCitation":"[4]","noteIndex":0},"citationItems":[{"id":238,"uris":["http://zotero.org/users/14744311/items/BM645WGK"],"itemData":{"id":238,"type":"post-weblog","abstract":"College football establishes new attendance records for the bowl and regular seasons. DALLAS, March 23, 2011- The National Football Foundation &amp; Col ...","title":"College Football Continues to Build Unprecedented Interest with Record Attendance and Stellar Ratings | Military Bowl","URL":"https://militarybowl.org/college-football-continues-to-build-unprecedented-interest-with-record-attendance-and-stellar-ratings/","accessed":{"date-parts":[["2026",4,10]]},"issued":{"date-parts":[["2011",3,23]]}}}],"schema":"https://github.com/citation-style-language/schema/raw/master/csl-citation.json"} </w:instrText>
      </w:r>
      <w:r w:rsidR="00354B2C">
        <w:rPr>
          <w:rFonts w:ascii="Times New Roman" w:hAnsi="Times New Roman" w:cs="Times New Roman"/>
          <w:sz w:val="20"/>
          <w:szCs w:val="20"/>
        </w:rPr>
        <w:fldChar w:fldCharType="separate"/>
      </w:r>
      <w:r w:rsidR="00BD1687">
        <w:rPr>
          <w:rFonts w:ascii="Times New Roman" w:hAnsi="Times New Roman" w:cs="Times New Roman"/>
          <w:noProof/>
          <w:sz w:val="20"/>
          <w:szCs w:val="20"/>
        </w:rPr>
        <w:t>[4]</w:t>
      </w:r>
      <w:r w:rsidR="00354B2C">
        <w:rPr>
          <w:rFonts w:ascii="Times New Roman" w:hAnsi="Times New Roman" w:cs="Times New Roman"/>
          <w:sz w:val="20"/>
          <w:szCs w:val="20"/>
        </w:rPr>
        <w:fldChar w:fldCharType="end"/>
      </w:r>
      <w:r w:rsidR="00785C9C">
        <w:rPr>
          <w:rFonts w:ascii="Times New Roman" w:hAnsi="Times New Roman" w:cs="Times New Roman"/>
          <w:sz w:val="20"/>
          <w:szCs w:val="20"/>
        </w:rPr>
        <w:t>, most watched</w:t>
      </w:r>
      <w:r w:rsidR="00354B2C">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{"citationID":"A0IuZz6L","properties":{"formattedCitation":"[5]","plainCitation":"[5]","noteIndex":0},"citationItems":[{"id":240,"uris":["http://zotero.org/users/14744311/items/GXG29S5V"],"itemData":{"id":240,"type":"webpage","abstract":"College football had a record year of viewership, no doubt helped by full out-of-home and Big Data viewership changes.","container-title":"Sports Business Journal","language":"en","title":"College football rides wave to new audience records for the sport","URL":"https://www.sportsbusinessjournal.com/Articles/2025/12/08/college-football-rides-wave-to-new-audience-records-for-the-sport/","author":[{"family":"Karp","given":"Austin"}],"accessed":{"date-parts":[["2026",4,10]]},"issued":{"date-parts":[["2026",4,10]]}}}],"schema":"https://github.com/citation-style-language/schema/raw/master/csl-citation.json"} </w:instrText>
      </w:r>
      <w:r w:rsidR="00354B2C">
        <w:rPr>
          <w:rFonts w:ascii="Times New Roman" w:hAnsi="Times New Roman" w:cs="Times New Roman"/>
          <w:sz w:val="20"/>
          <w:szCs w:val="20"/>
        </w:rPr>
        <w:fldChar w:fldCharType="separate"/>
      </w:r>
      <w:r w:rsidR="00BD1687">
        <w:rPr>
          <w:rFonts w:ascii="Times New Roman" w:hAnsi="Times New Roman" w:cs="Times New Roman"/>
          <w:noProof/>
          <w:sz w:val="20"/>
          <w:szCs w:val="20"/>
        </w:rPr>
        <w:t>[5]</w:t>
      </w:r>
      <w:r w:rsidR="00354B2C">
        <w:rPr>
          <w:rFonts w:ascii="Times New Roman" w:hAnsi="Times New Roman" w:cs="Times New Roman"/>
          <w:sz w:val="20"/>
          <w:szCs w:val="20"/>
        </w:rPr>
        <w:fldChar w:fldCharType="end"/>
      </w:r>
      <w:r w:rsidR="00785C9C">
        <w:rPr>
          <w:rFonts w:ascii="Times New Roman" w:hAnsi="Times New Roman" w:cs="Times New Roman"/>
          <w:sz w:val="20"/>
          <w:szCs w:val="20"/>
        </w:rPr>
        <w:t>, and most gambled-on sports in the United States</w:t>
      </w:r>
      <w:r w:rsidR="00354B2C">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{"citationID":"pT9USIwf","properties":{"formattedCitation":"[6]","plainCitation":"[6]","noteIndex":0},"citationItems":[{"id":244,"uris":["http://zotero.org/users/14744311/items/TJA83F9Y"],"itemData":{"id":244,"type":"post-weblog","abstract":"One of the fastest-growing signals of fan engagement is wagering-related data.","container-title":"Business of College Sports®","language":"en-US","title":"College Sports Betting Data Is Increasingly Influencing Media and Sponsorship Valuations","URL":"https://businessofcollegesports.com/sports-betting/college-sports-betting-data-is-increasingly-influencing-media-and-sponsorship-valuations/","author":[{"family":"bcsguestwriter","given":""}],"accessed":{"date-parts":[["2026",4,10]]},"issued":{"date-parts":[["2026",1,19]]}}}],"schema":"https://github.com/citation-style-language/schema/raw/master/csl-citation.json"} </w:instrText>
      </w:r>
      <w:r w:rsidR="00354B2C">
        <w:rPr>
          <w:rFonts w:ascii="Times New Roman" w:hAnsi="Times New Roman" w:cs="Times New Roman"/>
          <w:sz w:val="20"/>
          <w:szCs w:val="20"/>
        </w:rPr>
        <w:fldChar w:fldCharType="separate"/>
      </w:r>
      <w:r w:rsidR="00BD1687">
        <w:rPr>
          <w:rFonts w:ascii="Times New Roman" w:hAnsi="Times New Roman" w:cs="Times New Roman"/>
          <w:noProof/>
          <w:sz w:val="20"/>
          <w:szCs w:val="20"/>
        </w:rPr>
        <w:t>[6]</w:t>
      </w:r>
      <w:r w:rsidR="00354B2C">
        <w:rPr>
          <w:rFonts w:ascii="Times New Roman" w:hAnsi="Times New Roman" w:cs="Times New Roman"/>
          <w:sz w:val="20"/>
          <w:szCs w:val="20"/>
        </w:rPr>
        <w:fldChar w:fldCharType="end"/>
      </w:r>
      <w:r w:rsidR="00785C9C">
        <w:rPr>
          <w:rFonts w:ascii="Times New Roman" w:hAnsi="Times New Roman" w:cs="Times New Roman"/>
          <w:sz w:val="20"/>
          <w:szCs w:val="20"/>
        </w:rPr>
        <w:t xml:space="preserve">. </w:t>
      </w:r>
      <w:r w:rsidR="00B06B12">
        <w:rPr>
          <w:rFonts w:ascii="Times New Roman" w:hAnsi="Times New Roman" w:cs="Times New Roman"/>
          <w:sz w:val="20"/>
          <w:szCs w:val="20"/>
        </w:rPr>
        <w:t>c</w:t>
      </w:r>
      <w:r w:rsidRPr="00C12F2E">
        <w:rPr>
          <w:rFonts w:ascii="Times New Roman" w:hAnsi="Times New Roman" w:cs="Times New Roman"/>
          <w:sz w:val="20"/>
          <w:szCs w:val="20"/>
        </w:rPr>
        <w:t>reat</w:t>
      </w:r>
      <w:r w:rsidR="00B06B12">
        <w:rPr>
          <w:rFonts w:ascii="Times New Roman" w:hAnsi="Times New Roman" w:cs="Times New Roman"/>
          <w:sz w:val="20"/>
          <w:szCs w:val="20"/>
        </w:rPr>
        <w:t>ing</w:t>
      </w:r>
      <w:r w:rsidRPr="00C12F2E">
        <w:rPr>
          <w:rFonts w:ascii="Times New Roman" w:hAnsi="Times New Roman" w:cs="Times New Roman"/>
          <w:sz w:val="20"/>
          <w:szCs w:val="20"/>
        </w:rPr>
        <w:t xml:space="preserve"> strong interest in forecasting matchup outcomes. </w:t>
      </w:r>
      <w:r w:rsidR="00CA7749" w:rsidRPr="00CA7749">
        <w:rPr>
          <w:rFonts w:ascii="Times New Roman" w:hAnsi="Times New Roman" w:cs="Times New Roman"/>
          <w:sz w:val="20"/>
          <w:szCs w:val="20"/>
        </w:rPr>
        <w:t xml:space="preserve">Methodologically, the analysis avoids random train-test splits that mix seasons together and instead uses walk-forward, season-aware evaluation. The modeling table is framed from the home-team perspective with </w:t>
      </w:r>
      <w:proofErr w:type="spellStart"/>
      <w:r w:rsidR="00CA7749" w:rsidRPr="00CA7749">
        <w:rPr>
          <w:rFonts w:ascii="Times New Roman" w:hAnsi="Times New Roman" w:cs="Times New Roman"/>
          <w:sz w:val="20"/>
          <w:szCs w:val="20"/>
        </w:rPr>
        <w:t>home_win</w:t>
      </w:r>
      <w:proofErr w:type="spellEnd"/>
      <w:r w:rsidR="00CA7749" w:rsidRPr="00CA7749">
        <w:rPr>
          <w:rFonts w:ascii="Times New Roman" w:hAnsi="Times New Roman" w:cs="Times New Roman"/>
          <w:sz w:val="20"/>
          <w:szCs w:val="20"/>
        </w:rPr>
        <w:t xml:space="preserve"> as the binary target, and the sample is restricted to circa-2025 Power 4 teams plus Notre Dame, Oregon State, and Washington State to create a more homogeneous competitive environment.</w:t>
      </w:r>
      <w:r w:rsidR="00631E77">
        <w:rPr>
          <w:rFonts w:ascii="Times New Roman" w:hAnsi="Times New Roman" w:cs="Times New Roman"/>
          <w:sz w:val="20"/>
          <w:szCs w:val="20"/>
        </w:rPr>
        <w:t xml:space="preserve"> </w:t>
      </w:r>
      <w:r w:rsidR="00907CAC">
        <w:rPr>
          <w:rFonts w:ascii="Times New Roman" w:hAnsi="Times New Roman" w:cs="Times New Roman"/>
          <w:sz w:val="20"/>
          <w:szCs w:val="20"/>
        </w:rPr>
        <w:t>This analysis contributes to college football analytics in several ways:</w:t>
      </w:r>
    </w:p>
    <w:p w14:paraId="42D7E273" w14:textId="6B006B13" w:rsidR="00907CAC" w:rsidRPr="00CE45ED" w:rsidRDefault="00C12F2E" w:rsidP="00CE45ED">
      <w:pPr>
        <w:pStyle w:val="ListParagraph"/>
        <w:numPr>
          <w:ilvl w:val="0"/>
          <w:numId w:val="11"/>
        </w:numPr>
        <w:spacing w:line="240" w:lineRule="auto"/>
        <w:rPr>
          <w:rFonts w:ascii="Times New Roman" w:hAnsi="Times New Roman" w:cs="Times New Roman"/>
          <w:sz w:val="20"/>
          <w:szCs w:val="20"/>
        </w:rPr>
      </w:pPr>
      <w:r>
        <w:rPr>
          <w:rFonts w:ascii="Times New Roman" w:hAnsi="Times New Roman" w:cs="Times New Roman"/>
          <w:sz w:val="20"/>
          <w:szCs w:val="20"/>
        </w:rPr>
        <w:t>E</w:t>
      </w:r>
      <w:r w:rsidR="001D06E9">
        <w:rPr>
          <w:rFonts w:ascii="Times New Roman" w:hAnsi="Times New Roman" w:cs="Times New Roman"/>
          <w:sz w:val="20"/>
          <w:szCs w:val="20"/>
        </w:rPr>
        <w:t>valuates tiered feature sets that separate context, roster talent, to-date performance, and matchup structure</w:t>
      </w:r>
    </w:p>
    <w:p w14:paraId="6D9ABE4D" w14:textId="03CFFAF3" w:rsidR="00907CAC" w:rsidRPr="00CE45ED" w:rsidRDefault="00C12F2E" w:rsidP="00CE45ED">
      <w:pPr>
        <w:pStyle w:val="ListParagraph"/>
        <w:numPr>
          <w:ilvl w:val="0"/>
          <w:numId w:val="11"/>
        </w:numPr>
        <w:spacing w:line="240" w:lineRule="auto"/>
        <w:rPr>
          <w:rFonts w:ascii="Times New Roman" w:hAnsi="Times New Roman" w:cs="Times New Roman"/>
          <w:sz w:val="20"/>
          <w:szCs w:val="20"/>
        </w:rPr>
      </w:pPr>
      <w:r>
        <w:rPr>
          <w:rFonts w:ascii="Times New Roman" w:hAnsi="Times New Roman" w:cs="Times New Roman"/>
          <w:sz w:val="20"/>
          <w:szCs w:val="20"/>
        </w:rPr>
        <w:t>C</w:t>
      </w:r>
      <w:r w:rsidR="001D06E9">
        <w:rPr>
          <w:rFonts w:ascii="Times New Roman" w:hAnsi="Times New Roman" w:cs="Times New Roman"/>
          <w:sz w:val="20"/>
          <w:szCs w:val="20"/>
        </w:rPr>
        <w:t>ompares m</w:t>
      </w:r>
      <w:r w:rsidR="00907CAC" w:rsidRPr="00CE45ED">
        <w:rPr>
          <w:rFonts w:ascii="Times New Roman" w:hAnsi="Times New Roman" w:cs="Times New Roman"/>
          <w:sz w:val="20"/>
          <w:szCs w:val="20"/>
        </w:rPr>
        <w:t xml:space="preserve">odel families </w:t>
      </w:r>
      <w:r w:rsidR="00411A94">
        <w:rPr>
          <w:rFonts w:ascii="Times New Roman" w:hAnsi="Times New Roman" w:cs="Times New Roman"/>
          <w:sz w:val="20"/>
          <w:szCs w:val="20"/>
        </w:rPr>
        <w:t xml:space="preserve">by </w:t>
      </w:r>
      <w:r>
        <w:rPr>
          <w:rFonts w:ascii="Times New Roman" w:hAnsi="Times New Roman" w:cs="Times New Roman"/>
          <w:sz w:val="20"/>
          <w:szCs w:val="20"/>
        </w:rPr>
        <w:t>utilizing several modeling evaluation criteria</w:t>
      </w:r>
      <w:r w:rsidR="00411A94">
        <w:rPr>
          <w:rFonts w:ascii="Times New Roman" w:hAnsi="Times New Roman" w:cs="Times New Roman"/>
          <w:sz w:val="20"/>
          <w:szCs w:val="20"/>
        </w:rPr>
        <w:t xml:space="preserve"> and train-test gaps</w:t>
      </w:r>
    </w:p>
    <w:p w14:paraId="20F64149" w14:textId="4F32792C" w:rsidR="00907CAC" w:rsidRDefault="00C12F2E" w:rsidP="00CE45ED">
      <w:pPr>
        <w:pStyle w:val="ListParagraph"/>
        <w:numPr>
          <w:ilvl w:val="0"/>
          <w:numId w:val="11"/>
        </w:numPr>
        <w:spacing w:line="240" w:lineRule="auto"/>
        <w:rPr>
          <w:rFonts w:ascii="Times New Roman" w:hAnsi="Times New Roman" w:cs="Times New Roman"/>
          <w:sz w:val="20"/>
          <w:szCs w:val="20"/>
        </w:rPr>
      </w:pPr>
      <w:r>
        <w:rPr>
          <w:rFonts w:ascii="Times New Roman" w:hAnsi="Times New Roman" w:cs="Times New Roman"/>
          <w:sz w:val="20"/>
          <w:szCs w:val="20"/>
        </w:rPr>
        <w:t>T</w:t>
      </w:r>
      <w:r w:rsidR="001D06E9">
        <w:rPr>
          <w:rFonts w:ascii="Times New Roman" w:hAnsi="Times New Roman" w:cs="Times New Roman"/>
          <w:sz w:val="20"/>
          <w:szCs w:val="20"/>
        </w:rPr>
        <w:t>ests whether the ordering of feature-tier usefulness remains stable</w:t>
      </w:r>
      <w:r>
        <w:rPr>
          <w:rFonts w:ascii="Times New Roman" w:hAnsi="Times New Roman" w:cs="Times New Roman"/>
          <w:sz w:val="20"/>
          <w:szCs w:val="20"/>
        </w:rPr>
        <w:t xml:space="preserve"> across window designs</w:t>
      </w:r>
    </w:p>
    <w:p w14:paraId="05720816" w14:textId="235B8FAC" w:rsidR="001D06E9" w:rsidRDefault="00C12F2E" w:rsidP="00CE45ED">
      <w:pPr>
        <w:pStyle w:val="ListParagraph"/>
        <w:numPr>
          <w:ilvl w:val="0"/>
          <w:numId w:val="11"/>
        </w:numPr>
        <w:spacing w:line="240" w:lineRule="auto"/>
        <w:rPr>
          <w:rFonts w:ascii="Times New Roman" w:hAnsi="Times New Roman" w:cs="Times New Roman"/>
          <w:sz w:val="20"/>
          <w:szCs w:val="20"/>
        </w:rPr>
      </w:pPr>
      <w:r>
        <w:rPr>
          <w:rFonts w:ascii="Times New Roman" w:hAnsi="Times New Roman" w:cs="Times New Roman"/>
          <w:sz w:val="20"/>
          <w:szCs w:val="20"/>
        </w:rPr>
        <w:t>T</w:t>
      </w:r>
      <w:r w:rsidR="001D06E9">
        <w:rPr>
          <w:rFonts w:ascii="Times New Roman" w:hAnsi="Times New Roman" w:cs="Times New Roman"/>
          <w:sz w:val="20"/>
          <w:szCs w:val="20"/>
        </w:rPr>
        <w:t>ests whether restricting training data to the most recent seasons improves predict</w:t>
      </w:r>
      <w:r w:rsidR="00D00F68">
        <w:rPr>
          <w:rFonts w:ascii="Times New Roman" w:hAnsi="Times New Roman" w:cs="Times New Roman"/>
          <w:sz w:val="20"/>
          <w:szCs w:val="20"/>
        </w:rPr>
        <w:t>ive capability</w:t>
      </w:r>
    </w:p>
    <w:p w14:paraId="34563A2D" w14:textId="77777777" w:rsidR="001D06E9" w:rsidRDefault="001D06E9" w:rsidP="001D06E9">
      <w:pPr>
        <w:pStyle w:val="ListParagraph"/>
        <w:spacing w:line="240" w:lineRule="auto"/>
        <w:ind w:firstLine="0"/>
        <w:rPr>
          <w:rFonts w:ascii="Times New Roman" w:hAnsi="Times New Roman" w:cs="Times New Roman"/>
          <w:sz w:val="20"/>
          <w:szCs w:val="20"/>
        </w:rPr>
      </w:pPr>
    </w:p>
    <w:p w14:paraId="0AC90C5D" w14:textId="1684C9B0" w:rsidR="004B5F1A" w:rsidRPr="004B5F1A" w:rsidRDefault="004B5F1A" w:rsidP="004B5F1A">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This analysis </w:t>
      </w:r>
      <w:r w:rsidR="00CA7749">
        <w:rPr>
          <w:rFonts w:ascii="Times New Roman" w:hAnsi="Times New Roman" w:cs="Times New Roman"/>
          <w:sz w:val="20"/>
          <w:szCs w:val="20"/>
        </w:rPr>
        <w:t xml:space="preserve">sits at the </w:t>
      </w:r>
      <w:r>
        <w:rPr>
          <w:rFonts w:ascii="Times New Roman" w:hAnsi="Times New Roman" w:cs="Times New Roman"/>
          <w:sz w:val="20"/>
          <w:szCs w:val="20"/>
        </w:rPr>
        <w:t xml:space="preserve">intersection of several threads found within existing literature. Like South and </w:t>
      </w:r>
      <w:proofErr w:type="spellStart"/>
      <w:r>
        <w:rPr>
          <w:rFonts w:ascii="Times New Roman" w:hAnsi="Times New Roman" w:cs="Times New Roman"/>
          <w:sz w:val="20"/>
          <w:szCs w:val="20"/>
        </w:rPr>
        <w:t>Egros</w:t>
      </w:r>
      <w:proofErr w:type="spellEnd"/>
      <w:r>
        <w:rPr>
          <w:rFonts w:ascii="Times New Roman" w:hAnsi="Times New Roman" w:cs="Times New Roman"/>
          <w:sz w:val="20"/>
          <w:szCs w:val="20"/>
        </w:rPr>
        <w:t>, it used box score histories with recruiting priors</w:t>
      </w:r>
      <w:r w:rsidR="0061236B">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{"citationID":"Xpz08DrB","properties":{"formattedCitation":"[7]","plainCitation":"[7]","noteIndex":0},"citationItems":[{"id":223,"uris":["http://zotero.org/users/14744311/items/S44BHPXS"],"itemData":{"id":223,"type":"article-journal","abstract":"There are many reasons why data scientists and fans of college football would want to forecast the outcome of games – gambling, game preparation and academic research, for example. As advanced statistical methods become more readily accessible, so do the opportunities to develop robust forecasting models. Using data from the 2011 to 2014 seasons, we implemented a variety of advanced modeling techniques to determine which best forecasts the outcome of games. These methods included ridge regression, the lasso, the elastic net, neural networks, random forests, k-nearest neighbors, stochastic gradient boosting, and a Bayesian regression model. To evaluate the efﬁcacy of the proposed models, we tested them on data from the 2015 season. The top performers – lasso regression, a Bayesian regression with team-speciﬁc variances, stochastic gradient boosting, and random forests – predicted the correct outcome over 70% of the time, and the lasso model proved most accurate at predicting win-loss outcomes in the 2015 test data set.","container-title":"Journal of Sports Analytics","DOI":"10.3233/JSA-190314","ISSN":"2215-020X, 2215-0218","issue":"1","journalAbbreviation":"Journal of Sports Analytics","language":"en","page":"25-33","source":"DOI.org (Crossref)","title":"Forecasting college football game outcomes using modern modeling techniques","URL":"https://journals.sagepub.com/doi/10.3233/JSA-190314","volume":"6","author":[{"family":"South","given":"Charles"},{"family":"Egros","given":"Edward"}],"accessed":{"date-parts":[["2026",2,17]]},"issued":{"date-parts":[["2020",2,27]]}}}],"schema":"https://github.com/citation-style-language/schema/raw/master/csl-citation.json"} </w:instrText>
      </w:r>
      <w:r w:rsidR="0061236B">
        <w:rPr>
          <w:rFonts w:ascii="Times New Roman" w:hAnsi="Times New Roman" w:cs="Times New Roman"/>
          <w:sz w:val="20"/>
          <w:szCs w:val="20"/>
        </w:rPr>
        <w:fldChar w:fldCharType="separate"/>
      </w:r>
      <w:r w:rsidR="00BD1687">
        <w:rPr>
          <w:rFonts w:ascii="Times New Roman" w:hAnsi="Times New Roman" w:cs="Times New Roman"/>
          <w:noProof/>
          <w:sz w:val="20"/>
          <w:szCs w:val="20"/>
        </w:rPr>
        <w:t>[7]</w:t>
      </w:r>
      <w:r w:rsidR="0061236B">
        <w:rPr>
          <w:rFonts w:ascii="Times New Roman" w:hAnsi="Times New Roman" w:cs="Times New Roman"/>
          <w:sz w:val="20"/>
          <w:szCs w:val="20"/>
        </w:rPr>
        <w:fldChar w:fldCharType="end"/>
      </w:r>
      <w:r>
        <w:rPr>
          <w:rFonts w:ascii="Times New Roman" w:hAnsi="Times New Roman" w:cs="Times New Roman"/>
          <w:sz w:val="20"/>
          <w:szCs w:val="20"/>
        </w:rPr>
        <w:t>. Like Delen</w:t>
      </w:r>
      <w:r w:rsidR="00CA7749">
        <w:rPr>
          <w:rFonts w:ascii="Times New Roman" w:hAnsi="Times New Roman" w:cs="Times New Roman"/>
          <w:sz w:val="20"/>
          <w:szCs w:val="20"/>
        </w:rPr>
        <w:t xml:space="preserve"> et al.,</w:t>
      </w:r>
      <w:r>
        <w:rPr>
          <w:rFonts w:ascii="Times New Roman" w:hAnsi="Times New Roman" w:cs="Times New Roman"/>
          <w:sz w:val="20"/>
          <w:szCs w:val="20"/>
        </w:rPr>
        <w:t xml:space="preserve"> it compares multiple model families and treats winner prediction as a machine learning task</w:t>
      </w:r>
      <w:r w:rsidR="0061236B">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{"citationID":"mDAtk1UB","properties":{"formattedCitation":"[8]","plainCitation":"[8]","noteIndex":0},"citationItems":[{"id":225,"uris":["http://zotero.org/users/14744311/items/EBBJ7CLQ"],"itemData":{"id":225,"type":"article-journal","abstract":"Predicting the outcome of a college football game is an interesting and challenging problem. Most previous studies have concentrated on ranking the bowl-eligible teams according to their perceived strengths, and using these rankings to predict the winner of a specific bowl game. In this study, using eight years of data and three popular data mining techniques (namely artificial neural networks, decision trees and support vector machines), we have developed both classification- and regression-type models in order to assess the predictive abilities of different methodologies (classification versus regression-based classification) and techniques. In the end, the results showed that the classification-type models predict the game outcomes better than regression-based classification models, and of the three classification techniques, decision trees produced the best results, with better than an 85% prediction accuracy on the 10-fold holdout sample. The sensitivity analysis on trained models revealed that the non-conference team winning percentage and average margin of victory are the two most important variables among the 28 that were used in this study.","container-title":"International Journal of Forecasting","DOI":"10.1016/j.ijforecast.2011.05.002","ISSN":"01692070","issue":"2","journalAbbreviation":"International Journal of Forecasting","language":"en","license":"https://www.elsevier.com/tdm/userlicense/1.0/","page":"543-552","source":"DOI.org (Crossref)","title":"A comparative analysis of data mining methods in predicting NCAA bowl outcomes","URL":"https://linkinghub.elsevier.com/retrieve/pii/S0169207011000914","volume":"28","author":[{"family":"Delen","given":"Dursun"},{"family":"Cogdell","given":"Douglas"},{"family":"Kasap","given":"Nihat"}],"accessed":{"date-parts":[["2026",2,17]]},"issued":{"date-parts":[["2012",4]]}}}],"schema":"https://github.com/citation-style-language/schema/raw/master/csl-citation.json"} </w:instrText>
      </w:r>
      <w:r w:rsidR="0061236B">
        <w:rPr>
          <w:rFonts w:ascii="Times New Roman" w:hAnsi="Times New Roman" w:cs="Times New Roman"/>
          <w:sz w:val="20"/>
          <w:szCs w:val="20"/>
        </w:rPr>
        <w:fldChar w:fldCharType="separate"/>
      </w:r>
      <w:r w:rsidR="00BD1687">
        <w:rPr>
          <w:rFonts w:ascii="Times New Roman" w:hAnsi="Times New Roman" w:cs="Times New Roman"/>
          <w:noProof/>
          <w:sz w:val="20"/>
          <w:szCs w:val="20"/>
        </w:rPr>
        <w:t>[8]</w:t>
      </w:r>
      <w:r w:rsidR="0061236B">
        <w:rPr>
          <w:rFonts w:ascii="Times New Roman" w:hAnsi="Times New Roman" w:cs="Times New Roman"/>
          <w:sz w:val="20"/>
          <w:szCs w:val="20"/>
        </w:rPr>
        <w:fldChar w:fldCharType="end"/>
      </w:r>
      <w:r>
        <w:rPr>
          <w:rFonts w:ascii="Times New Roman" w:hAnsi="Times New Roman" w:cs="Times New Roman"/>
          <w:sz w:val="20"/>
          <w:szCs w:val="20"/>
        </w:rPr>
        <w:t>. Like Leung and Joseph, it is interested in whether historical structure can be used as a practical predictive model</w:t>
      </w:r>
      <w:r w:rsidR="0061236B">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{"citationID":"wTglMiO3","properties":{"formattedCitation":"[9]","plainCitation":"[9]","noteIndex":0},"citationItems":[{"id":227,"uris":["http://zotero.org/users/14744311/items/SV9XQB8W"],"itemData":{"id":227,"type":"article-journal","abstract":"In many real-life sports games, spectators are interested in predicting the outcomes and watching the games to verify their predictions. Traditional approaches include subjective prediction, objective prediction, and simple statistical methods. However, these approaches may not be too reliable in many situations. In this paper, we present a sports data mining approach, which helps discover interesting knowledge and predict outcomes of sports games such as college football. Our approach makes predictions based on a combination of four different measures on the historical results of the games. Evaluation results on real-life college football data shows that our approach leads to relatively high accuracy in result prediction.","container-title":"Procedia Computer Science","DOI":"10.1016/j.procs.2014.08.153","ISSN":"18770509","journalAbbreviation":"Procedia Computer Science","language":"en","page":"710-719","source":"DOI.org (Crossref)","title":"Sports Data Mining: Predicting Results for the College Football Games","title-short":"Sports Data Mining","URL":"https://linkinghub.elsevier.com/retrieve/pii/S1877050914011181","volume":"35","author":[{"family":"Leung","given":"Carson K."},{"family":"Joseph","given":"Kyle W."}],"accessed":{"date-parts":[["2026",2,17]]},"issued":{"date-parts":[["2014"]]}}}],"schema":"https://github.com/citation-style-language/schema/raw/master/csl-citation.json"} </w:instrText>
      </w:r>
      <w:r w:rsidR="0061236B">
        <w:rPr>
          <w:rFonts w:ascii="Times New Roman" w:hAnsi="Times New Roman" w:cs="Times New Roman"/>
          <w:sz w:val="20"/>
          <w:szCs w:val="20"/>
        </w:rPr>
        <w:fldChar w:fldCharType="separate"/>
      </w:r>
      <w:r w:rsidR="00BD1687">
        <w:rPr>
          <w:rFonts w:ascii="Times New Roman" w:hAnsi="Times New Roman" w:cs="Times New Roman"/>
          <w:noProof/>
          <w:sz w:val="20"/>
          <w:szCs w:val="20"/>
        </w:rPr>
        <w:t>[9]</w:t>
      </w:r>
      <w:r w:rsidR="0061236B">
        <w:rPr>
          <w:rFonts w:ascii="Times New Roman" w:hAnsi="Times New Roman" w:cs="Times New Roman"/>
          <w:sz w:val="20"/>
          <w:szCs w:val="20"/>
        </w:rPr>
        <w:fldChar w:fldCharType="end"/>
      </w:r>
      <w:r>
        <w:rPr>
          <w:rFonts w:ascii="Times New Roman" w:hAnsi="Times New Roman" w:cs="Times New Roman"/>
          <w:sz w:val="20"/>
          <w:szCs w:val="20"/>
        </w:rPr>
        <w:t>. Like Coleman, it evaluates forecasting quality</w:t>
      </w:r>
      <w:r w:rsidR="0061236B">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{"citationID":"RuPSSyKn","properties":{"formattedCitation":"[10]","plainCitation":"[10]","noteIndex":0},"citationItems":[{"id":221,"uris":["http://zotero.org/users/14744311/items/FH8HDWBD"],"itemData":{"id":221,"type":"article-journal","abstract":"Despite the large number of systems that have been developed for rating and ranking major college football teams in the United States, only two prior studies have attempted to identify an ensemble of those models – i.e., a metamodel – that is most predictive of future game results. Using 29 college football rating systems, data for 5925 games during 2016–24, and a k-fold cross-validation process focused on model predictiveness, a ﬁve-system metamodel is developed to predict the victory margin for games in the ensuing week. The model achieves strong results vis-à-vis the opening, midweek, and closing betting lines, and is statistically signiﬁcant in the presence of the opening line in validation and test samples. The model is potentially useful for the College Football Playoff committee, media, fans, the betting market, and oddsmakers, and provides a benchmark against which future rating systems can be assessed.","container-title":"Journal of Sports Analytics","DOI":"10.1177/22150218251365223","ISSN":"2215-020X, 2215-0218","journalAbbreviation":"Journal of Sports Analytics","language":"en","page":"22150218251365223","source":"DOI.org (Crossref)","title":"A predictive metamodel for college football","URL":"https://journals.sagepub.com/doi/10.1177/22150218251365223","volume":"11","author":[{"family":"Coleman","given":"B Jay"}],"accessed":{"date-parts":[["2026",2,17]]},"issued":{"date-parts":[["2025",10]]}}}],"schema":"https://github.com/citation-style-language/schema/raw/master/csl-citation.json"} </w:instrText>
      </w:r>
      <w:r w:rsidR="0061236B">
        <w:rPr>
          <w:rFonts w:ascii="Times New Roman" w:hAnsi="Times New Roman" w:cs="Times New Roman"/>
          <w:sz w:val="20"/>
          <w:szCs w:val="20"/>
        </w:rPr>
        <w:fldChar w:fldCharType="separate"/>
      </w:r>
      <w:r w:rsidR="00BD1687">
        <w:rPr>
          <w:rFonts w:ascii="Times New Roman" w:hAnsi="Times New Roman" w:cs="Times New Roman"/>
          <w:noProof/>
          <w:sz w:val="20"/>
          <w:szCs w:val="20"/>
        </w:rPr>
        <w:t>[10]</w:t>
      </w:r>
      <w:r w:rsidR="0061236B">
        <w:rPr>
          <w:rFonts w:ascii="Times New Roman" w:hAnsi="Times New Roman" w:cs="Times New Roman"/>
          <w:sz w:val="20"/>
          <w:szCs w:val="20"/>
        </w:rPr>
        <w:fldChar w:fldCharType="end"/>
      </w:r>
      <w:r>
        <w:rPr>
          <w:rFonts w:ascii="Times New Roman" w:hAnsi="Times New Roman" w:cs="Times New Roman"/>
          <w:sz w:val="20"/>
          <w:szCs w:val="20"/>
        </w:rPr>
        <w:t xml:space="preserve">. This analysis sought to integrate these ideas into a pipeline that compares context, talent, and performance under expanding and fixed-width season windows. </w:t>
      </w:r>
    </w:p>
    <w:p w14:paraId="20C5D727" w14:textId="77777777" w:rsidR="00E21DE2" w:rsidRPr="00E03E61" w:rsidRDefault="00E21DE2" w:rsidP="00785C9C">
      <w:pPr>
        <w:spacing w:line="240" w:lineRule="auto"/>
        <w:ind w:firstLine="0"/>
        <w:rPr>
          <w:rFonts w:ascii="Times New Roman" w:hAnsi="Times New Roman" w:cs="Times New Roman"/>
          <w:sz w:val="20"/>
          <w:szCs w:val="20"/>
        </w:rPr>
      </w:pPr>
    </w:p>
    <w:p w14:paraId="2F81E9CA" w14:textId="1B996ADA" w:rsidR="00A81D90" w:rsidRPr="00E03E61" w:rsidRDefault="00E21DE2" w:rsidP="00E21DE2">
      <w:pPr>
        <w:spacing w:line="24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2. </w:t>
      </w:r>
      <w:r w:rsidR="00A81D90" w:rsidRPr="00E03E61">
        <w:rPr>
          <w:rFonts w:ascii="Times New Roman" w:hAnsi="Times New Roman" w:cs="Times New Roman"/>
          <w:b/>
          <w:bCs/>
          <w:sz w:val="24"/>
          <w:szCs w:val="24"/>
        </w:rPr>
        <w:t>Literature Review</w:t>
      </w:r>
    </w:p>
    <w:p w14:paraId="15EAE028" w14:textId="77777777" w:rsidR="00E21DE2" w:rsidRDefault="00E21DE2" w:rsidP="00785C9C">
      <w:pPr>
        <w:spacing w:line="240" w:lineRule="auto"/>
        <w:ind w:firstLine="0"/>
        <w:rPr>
          <w:rFonts w:ascii="Times New Roman" w:hAnsi="Times New Roman" w:cs="Times New Roman"/>
          <w:sz w:val="20"/>
          <w:szCs w:val="20"/>
        </w:rPr>
      </w:pPr>
    </w:p>
    <w:p w14:paraId="6D9F1331" w14:textId="04D8B043" w:rsidR="000E74E9" w:rsidRDefault="007A40B9"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South and </w:t>
      </w:r>
      <w:proofErr w:type="spellStart"/>
      <w:r w:rsidR="0061236B">
        <w:rPr>
          <w:rFonts w:ascii="Times New Roman" w:hAnsi="Times New Roman" w:cs="Times New Roman"/>
          <w:sz w:val="20"/>
          <w:szCs w:val="20"/>
        </w:rPr>
        <w:t>Egros</w:t>
      </w:r>
      <w:proofErr w:type="spellEnd"/>
      <w:r w:rsidR="0061236B">
        <w:rPr>
          <w:rFonts w:ascii="Times New Roman" w:hAnsi="Times New Roman" w:cs="Times New Roman"/>
          <w:sz w:val="20"/>
          <w:szCs w:val="20"/>
        </w:rPr>
        <w:t xml:space="preserve"> are especially relevant to this analysis because they combined college football box scores with recruiting data, transformed game histories into season-long moving averages, engineered offense-vs-defense features, and compared multiple models. They used three seasons (2011-2014) for training and 2015 for testing. They found that lasso regression was the most accurate at predicting game outcomes</w:t>
      </w:r>
      <w:r w:rsidR="0061236B">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{"citationID":"7F3Iyj7D","properties":{"formattedCitation":"[7]","plainCitation":"[7]","noteIndex":0},"citationItems":[{"id":223,"uris":["http://zotero.org/users/14744311/items/S44BHPXS"],"itemData":{"id":223,"type":"article-journal","abstract":"There are many reasons why data scientists and fans of college football would want to forecast the outcome of games – gambling, game preparation and academic research, for example. As advanced statistical methods become more readily accessible, so do the opportunities to develop robust forecasting models. Using data from the 2011 to 2014 seasons, we implemented a variety of advanced modeling techniques to determine which best forecasts the outcome of games. These methods included ridge regression, the lasso, the elastic net, neural networks, random forests, k-nearest neighbors, stochastic gradient boosting, and a Bayesian regression model. To evaluate the efﬁcacy of the proposed models, we tested them on data from the 2015 season. The top performers – lasso regression, a Bayesian regression with team-speciﬁc variances, stochastic gradient boosting, and random forests – predicted the correct outcome over 70% of the time, and the lasso model proved most accurate at predicting win-loss outcomes in the 2015 test data set.","container-title":"Journal of Sports Analytics","DOI":"10.3233/JSA-190314","ISSN":"2215-020X, 2215-0218","issue":"1","journalAbbreviation":"Journal of Sports Analytics","language":"en","page":"25-33","source":"DOI.org (Crossref)","title":"Forecasting college football game outcomes using modern modeling techniques","URL":"https://journals.sagepub.com/doi/10.3233/JSA-190314","volume":"6","author":[{"family":"South","given":"Charles"},{"family":"Egros","given":"Edward"}],"accessed":{"date-parts":[["2026",2,17]]},"issued":{"date-parts":[["2020",2,27]]}}}],"schema":"https://github.com/citation-style-language/schema/raw/master/csl-citation.json"} </w:instrText>
      </w:r>
      <w:r w:rsidR="0061236B">
        <w:rPr>
          <w:rFonts w:ascii="Times New Roman" w:hAnsi="Times New Roman" w:cs="Times New Roman"/>
          <w:sz w:val="20"/>
          <w:szCs w:val="20"/>
        </w:rPr>
        <w:fldChar w:fldCharType="separate"/>
      </w:r>
      <w:r w:rsidR="00BD1687">
        <w:rPr>
          <w:rFonts w:ascii="Times New Roman" w:hAnsi="Times New Roman" w:cs="Times New Roman"/>
          <w:noProof/>
          <w:sz w:val="20"/>
          <w:szCs w:val="20"/>
        </w:rPr>
        <w:t>[7]</w:t>
      </w:r>
      <w:r w:rsidR="0061236B">
        <w:rPr>
          <w:rFonts w:ascii="Times New Roman" w:hAnsi="Times New Roman" w:cs="Times New Roman"/>
          <w:sz w:val="20"/>
          <w:szCs w:val="20"/>
        </w:rPr>
        <w:fldChar w:fldCharType="end"/>
      </w:r>
      <w:r w:rsidR="0061236B">
        <w:rPr>
          <w:rFonts w:ascii="Times New Roman" w:hAnsi="Times New Roman" w:cs="Times New Roman"/>
          <w:sz w:val="20"/>
          <w:szCs w:val="20"/>
        </w:rPr>
        <w:t xml:space="preserve">. Their design anticipated core ideas in this analysis, particularly the use of rolling pregame summaries and recruiting priors, but it remained centered on a single future test season rather than a sequence of walk-forward evaluation windows. </w:t>
      </w:r>
    </w:p>
    <w:p w14:paraId="3181939E" w14:textId="77777777" w:rsidR="0061236B" w:rsidRDefault="0061236B" w:rsidP="00785C9C">
      <w:pPr>
        <w:spacing w:line="240" w:lineRule="auto"/>
        <w:ind w:firstLine="0"/>
        <w:rPr>
          <w:rFonts w:ascii="Times New Roman" w:hAnsi="Times New Roman" w:cs="Times New Roman"/>
          <w:sz w:val="20"/>
          <w:szCs w:val="20"/>
        </w:rPr>
      </w:pPr>
    </w:p>
    <w:p w14:paraId="193B053D" w14:textId="580C56C8" w:rsidR="0061236B" w:rsidRDefault="0061236B"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lastRenderedPageBreak/>
        <w:t>Delen et al. used 8 seasons of bowl game data and compared neural networks, decision tre</w:t>
      </w:r>
      <w:r w:rsidR="00411A94">
        <w:rPr>
          <w:rFonts w:ascii="Times New Roman" w:hAnsi="Times New Roman" w:cs="Times New Roman"/>
          <w:sz w:val="20"/>
          <w:szCs w:val="20"/>
        </w:rPr>
        <w:t>e</w:t>
      </w:r>
      <w:r>
        <w:rPr>
          <w:rFonts w:ascii="Times New Roman" w:hAnsi="Times New Roman" w:cs="Times New Roman"/>
          <w:sz w:val="20"/>
          <w:szCs w:val="20"/>
        </w:rPr>
        <w:t>s, and support vector machines in both classification and regression-based classification settings. They found that direct classification outperformed regression-based classification and that decision trees achieved the strongest reported bowl game accuracy. They also reported that non-conference winning percentage and average margin of victory emerged as important variables</w:t>
      </w:r>
      <w:r>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{"citationID":"6LdILvC1","properties":{"formattedCitation":"[8]","plainCitation":"[8]","noteIndex":0},"citationItems":[{"id":225,"uris":["http://zotero.org/users/14744311/items/EBBJ7CLQ"],"itemData":{"id":225,"type":"article-journal","abstract":"Predicting the outcome of a college football game is an interesting and challenging problem. Most previous studies have concentrated on ranking the bowl-eligible teams according to their perceived strengths, and using these rankings to predict the winner of a specific bowl game. In this study, using eight years of data and three popular data mining techniques (namely artificial neural networks, decision trees and support vector machines), we have developed both classification- and regression-type models in order to assess the predictive abilities of different methodologies (classification versus regression-based classification) and techniques. In the end, the results showed that the classification-type models predict the game outcomes better than regression-based classification models, and of the three classification techniques, decision trees produced the best results, with better than an 85% prediction accuracy on the 10-fold holdout sample. The sensitivity analysis on trained models revealed that the non-conference team winning percentage and average margin of victory are the two most important variables among the 28 that were used in this study.","container-title":"International Journal of Forecasting","DOI":"10.1016/j.ijforecast.2011.05.002","ISSN":"01692070","issue":"2","journalAbbreviation":"International Journal of Forecasting","language":"en","license":"https://www.elsevier.com/tdm/userlicense/1.0/","page":"543-552","source":"DOI.org (Crossref)","title":"A comparative analysis of data mining methods in predicting NCAA bowl outcomes","URL":"https://linkinghub.elsevier.com/retrieve/pii/S0169207011000914","volume":"28","author":[{"family":"Delen","given":"Dursun"},{"family":"Cogdell","given":"Douglas"},{"family":"Kasap","given":"Nihat"}],"accessed":{"date-parts":[["2026",2,17]]},"issued":{"date-parts":[["2012",4]]}}}],"schema":"https://github.com/citation-style-language/schema/raw/master/csl-citation.json"} </w:instrText>
      </w:r>
      <w:r>
        <w:rPr>
          <w:rFonts w:ascii="Times New Roman" w:hAnsi="Times New Roman" w:cs="Times New Roman"/>
          <w:sz w:val="20"/>
          <w:szCs w:val="20"/>
        </w:rPr>
        <w:fldChar w:fldCharType="separate"/>
      </w:r>
      <w:r w:rsidR="00BD1687">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w:t>
      </w:r>
    </w:p>
    <w:p w14:paraId="2E3586AB" w14:textId="77777777" w:rsidR="0061236B" w:rsidRDefault="0061236B" w:rsidP="00785C9C">
      <w:pPr>
        <w:spacing w:line="240" w:lineRule="auto"/>
        <w:ind w:firstLine="0"/>
        <w:rPr>
          <w:rFonts w:ascii="Times New Roman" w:hAnsi="Times New Roman" w:cs="Times New Roman"/>
          <w:sz w:val="20"/>
          <w:szCs w:val="20"/>
        </w:rPr>
      </w:pPr>
    </w:p>
    <w:p w14:paraId="71EDF2DE" w14:textId="6ECE6256" w:rsidR="0061236B" w:rsidRDefault="0061236B"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Leung and Joseph took a different approach to using box scores or team summary predictors. They </w:t>
      </w:r>
      <w:r w:rsidR="00CB4436">
        <w:rPr>
          <w:rFonts w:ascii="Times New Roman" w:hAnsi="Times New Roman" w:cs="Times New Roman"/>
          <w:sz w:val="20"/>
          <w:szCs w:val="20"/>
        </w:rPr>
        <w:t>used a sports data mining approach where each team was represented in a four-dimensional space. They matched each team to similar teams and used historical results among those similar teams to infer the likely outcome. They reported high accuracy for selected seasons and substantially exceeded several benchmark methods in their comparisons</w:t>
      </w:r>
      <w:r w:rsidR="00CB4436">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{"citationID":"wesIrXGT","properties":{"formattedCitation":"[9]","plainCitation":"[9]","noteIndex":0},"citationItems":[{"id":227,"uris":["http://zotero.org/users/14744311/items/SV9XQB8W"],"itemData":{"id":227,"type":"article-journal","abstract":"In many real-life sports games, spectators are interested in predicting the outcomes and watching the games to verify their predictions. Traditional approaches include subjective prediction, objective prediction, and simple statistical methods. However, these approaches may not be too reliable in many situations. In this paper, we present a sports data mining approach, which helps discover interesting knowledge and predict outcomes of sports games such as college football. Our approach makes predictions based on a combination of four different measures on the historical results of the games. Evaluation results on real-life college football data shows that our approach leads to relatively high accuracy in result prediction.","container-title":"Procedia Computer Science","DOI":"10.1016/j.procs.2014.08.153","ISSN":"18770509","journalAbbreviation":"Procedia Computer Science","language":"en","page":"710-719","source":"DOI.org (Crossref)","title":"Sports Data Mining: Predicting Results for the College Football Games","title-short":"Sports Data Mining","URL":"https://linkinghub.elsevier.com/retrieve/pii/S1877050914011181","volume":"35","author":[{"family":"Leung","given":"Carson K."},{"family":"Joseph","given":"Kyle W."}],"accessed":{"date-parts":[["2026",2,17]]},"issued":{"date-parts":[["2014"]]}}}],"schema":"https://github.com/citation-style-language/schema/raw/master/csl-citation.json"} </w:instrText>
      </w:r>
      <w:r w:rsidR="00CB4436">
        <w:rPr>
          <w:rFonts w:ascii="Times New Roman" w:hAnsi="Times New Roman" w:cs="Times New Roman"/>
          <w:sz w:val="20"/>
          <w:szCs w:val="20"/>
        </w:rPr>
        <w:fldChar w:fldCharType="separate"/>
      </w:r>
      <w:r w:rsidR="00BD1687">
        <w:rPr>
          <w:rFonts w:ascii="Times New Roman" w:hAnsi="Times New Roman" w:cs="Times New Roman"/>
          <w:noProof/>
          <w:sz w:val="20"/>
          <w:szCs w:val="20"/>
        </w:rPr>
        <w:t>[9]</w:t>
      </w:r>
      <w:r w:rsidR="00CB4436">
        <w:rPr>
          <w:rFonts w:ascii="Times New Roman" w:hAnsi="Times New Roman" w:cs="Times New Roman"/>
          <w:sz w:val="20"/>
          <w:szCs w:val="20"/>
        </w:rPr>
        <w:fldChar w:fldCharType="end"/>
      </w:r>
      <w:r w:rsidR="00CB4436">
        <w:rPr>
          <w:rFonts w:ascii="Times New Roman" w:hAnsi="Times New Roman" w:cs="Times New Roman"/>
          <w:sz w:val="20"/>
          <w:szCs w:val="20"/>
        </w:rPr>
        <w:t>.</w:t>
      </w:r>
    </w:p>
    <w:p w14:paraId="7425D585" w14:textId="77777777" w:rsidR="007A40B9" w:rsidRDefault="007A40B9" w:rsidP="00785C9C">
      <w:pPr>
        <w:spacing w:line="240" w:lineRule="auto"/>
        <w:ind w:firstLine="0"/>
        <w:rPr>
          <w:rFonts w:ascii="Times New Roman" w:hAnsi="Times New Roman" w:cs="Times New Roman"/>
          <w:sz w:val="20"/>
          <w:szCs w:val="20"/>
        </w:rPr>
      </w:pPr>
    </w:p>
    <w:p w14:paraId="626C4990" w14:textId="2A9680AE" w:rsidR="007A40B9" w:rsidRDefault="007A40B9"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Coleman</w:t>
      </w:r>
      <w:r w:rsidR="00CB4436">
        <w:rPr>
          <w:rFonts w:ascii="Times New Roman" w:hAnsi="Times New Roman" w:cs="Times New Roman"/>
          <w:sz w:val="20"/>
          <w:szCs w:val="20"/>
        </w:rPr>
        <w:t>’s approach focused on model aggregation. He developed a predictive metamodel by combining projected victory margins from 29 rating systems across 5,925 games from 2016-2024. Coleman identified a five-system ensemble that performed strongly relative to various betting lines</w:t>
      </w:r>
      <w:r w:rsidR="00CB4436">
        <w:rPr>
          <w:rFonts w:ascii="Times New Roman" w:hAnsi="Times New Roman" w:cs="Times New Roman"/>
          <w:sz w:val="20"/>
          <w:szCs w:val="20"/>
        </w:rPr>
        <w:fldChar w:fldCharType="begin"/>
      </w:r>
      <w:r w:rsidR="00BD1687">
        <w:rPr>
          <w:rFonts w:ascii="Times New Roman" w:hAnsi="Times New Roman" w:cs="Times New Roman"/>
          <w:sz w:val="20"/>
          <w:szCs w:val="20"/>
        </w:rPr>
        <w:instrText xml:space="preserve"> ADDIN ZOTERO_ITEM CSL_CITATION {"citationID":"dNQZgpRt","properties":{"formattedCitation":"[10]","plainCitation":"[10]","noteIndex":0},"citationItems":[{"id":221,"uris":["http://zotero.org/users/14744311/items/FH8HDWBD"],"itemData":{"id":221,"type":"article-journal","abstract":"Despite the large number of systems that have been developed for rating and ranking major college football teams in the United States, only two prior studies have attempted to identify an ensemble of those models – i.e., a metamodel – that is most predictive of future game results. Using 29 college football rating systems, data for 5925 games during 2016–24, and a k-fold cross-validation process focused on model predictiveness, a ﬁve-system metamodel is developed to predict the victory margin for games in the ensuing week. The model achieves strong results vis-à-vis the opening, midweek, and closing betting lines, and is statistically signiﬁcant in the presence of the opening line in validation and test samples. The model is potentially useful for the College Football Playoff committee, media, fans, the betting market, and oddsmakers, and provides a benchmark against which future rating systems can be assessed.","container-title":"Journal of Sports Analytics","DOI":"10.1177/22150218251365223","ISSN":"2215-020X, 2215-0218","journalAbbreviation":"Journal of Sports Analytics","language":"en","page":"22150218251365223","source":"DOI.org (Crossref)","title":"A predictive metamodel for college football","URL":"https://journals.sagepub.com/doi/10.1177/22150218251365223","volume":"11","author":[{"family":"Coleman","given":"B Jay"}],"accessed":{"date-parts":[["2026",2,17]]},"issued":{"date-parts":[["2025",10]]}}}],"schema":"https://github.com/citation-style-language/schema/raw/master/csl-citation.json"} </w:instrText>
      </w:r>
      <w:r w:rsidR="00CB4436">
        <w:rPr>
          <w:rFonts w:ascii="Times New Roman" w:hAnsi="Times New Roman" w:cs="Times New Roman"/>
          <w:sz w:val="20"/>
          <w:szCs w:val="20"/>
        </w:rPr>
        <w:fldChar w:fldCharType="separate"/>
      </w:r>
      <w:r w:rsidR="00BD1687">
        <w:rPr>
          <w:rFonts w:ascii="Times New Roman" w:hAnsi="Times New Roman" w:cs="Times New Roman"/>
          <w:noProof/>
          <w:sz w:val="20"/>
          <w:szCs w:val="20"/>
        </w:rPr>
        <w:t>[10]</w:t>
      </w:r>
      <w:r w:rsidR="00CB4436">
        <w:rPr>
          <w:rFonts w:ascii="Times New Roman" w:hAnsi="Times New Roman" w:cs="Times New Roman"/>
          <w:sz w:val="20"/>
          <w:szCs w:val="20"/>
        </w:rPr>
        <w:fldChar w:fldCharType="end"/>
      </w:r>
      <w:r w:rsidR="00CB4436">
        <w:rPr>
          <w:rFonts w:ascii="Times New Roman" w:hAnsi="Times New Roman" w:cs="Times New Roman"/>
          <w:sz w:val="20"/>
          <w:szCs w:val="20"/>
        </w:rPr>
        <w:t>.</w:t>
      </w:r>
    </w:p>
    <w:p w14:paraId="1710D1A4" w14:textId="77777777" w:rsidR="00CB4436" w:rsidRDefault="00CB4436" w:rsidP="00785C9C">
      <w:pPr>
        <w:spacing w:line="240" w:lineRule="auto"/>
        <w:ind w:firstLine="0"/>
        <w:rPr>
          <w:rFonts w:ascii="Times New Roman" w:hAnsi="Times New Roman" w:cs="Times New Roman"/>
          <w:sz w:val="20"/>
          <w:szCs w:val="20"/>
        </w:rPr>
      </w:pPr>
    </w:p>
    <w:p w14:paraId="768224CC" w14:textId="45C47C2A" w:rsidR="00CB4436" w:rsidRPr="00E03E61" w:rsidRDefault="00D00F68"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Taken together, these studies show that college football forecasting has been assessed through box score modeling, similarity-based methods, and ensemble frameworks. </w:t>
      </w:r>
      <w:proofErr w:type="gramStart"/>
      <w:r w:rsidR="00C12F2E" w:rsidRPr="00C12F2E">
        <w:rPr>
          <w:rFonts w:ascii="Times New Roman" w:hAnsi="Times New Roman" w:cs="Times New Roman"/>
          <w:sz w:val="20"/>
          <w:szCs w:val="20"/>
        </w:rPr>
        <w:t>These</w:t>
      </w:r>
      <w:proofErr w:type="gramEnd"/>
      <w:r w:rsidR="00C12F2E" w:rsidRPr="00C12F2E">
        <w:rPr>
          <w:rFonts w:ascii="Times New Roman" w:hAnsi="Times New Roman" w:cs="Times New Roman"/>
          <w:sz w:val="20"/>
          <w:szCs w:val="20"/>
        </w:rPr>
        <w:t xml:space="preserve"> studies demonstrate that college football outcomes can be forecast</w:t>
      </w:r>
      <w:r w:rsidR="00B06B12">
        <w:rPr>
          <w:rFonts w:ascii="Times New Roman" w:hAnsi="Times New Roman" w:cs="Times New Roman"/>
          <w:sz w:val="20"/>
          <w:szCs w:val="20"/>
        </w:rPr>
        <w:t>ed</w:t>
      </w:r>
      <w:r w:rsidR="00C12F2E" w:rsidRPr="00C12F2E">
        <w:rPr>
          <w:rFonts w:ascii="Times New Roman" w:hAnsi="Times New Roman" w:cs="Times New Roman"/>
          <w:sz w:val="20"/>
          <w:szCs w:val="20"/>
        </w:rPr>
        <w:t xml:space="preserve"> from multiple analytical perspectives, but they also leave gaps. </w:t>
      </w:r>
      <w:r w:rsidR="00B06B12">
        <w:rPr>
          <w:rFonts w:ascii="Times New Roman" w:hAnsi="Times New Roman" w:cs="Times New Roman"/>
          <w:sz w:val="20"/>
          <w:szCs w:val="20"/>
        </w:rPr>
        <w:t>T</w:t>
      </w:r>
      <w:r w:rsidR="00C12F2E" w:rsidRPr="00C12F2E">
        <w:rPr>
          <w:rFonts w:ascii="Times New Roman" w:hAnsi="Times New Roman" w:cs="Times New Roman"/>
          <w:sz w:val="20"/>
          <w:szCs w:val="20"/>
        </w:rPr>
        <w:t>he literature emphasizes bowl games, single test seasons, or conventional cross-validation rather than regular-season prediction with repeated future-season evaluation. The present study addresses those gaps</w:t>
      </w:r>
      <w:r w:rsidR="00B06B12">
        <w:rPr>
          <w:rFonts w:ascii="Times New Roman" w:hAnsi="Times New Roman" w:cs="Times New Roman"/>
          <w:sz w:val="20"/>
          <w:szCs w:val="20"/>
        </w:rPr>
        <w:t>.</w:t>
      </w:r>
    </w:p>
    <w:p w14:paraId="7572185C" w14:textId="77777777" w:rsidR="00E21DE2" w:rsidRDefault="00E21DE2" w:rsidP="00785C9C">
      <w:pPr>
        <w:spacing w:line="240" w:lineRule="auto"/>
        <w:ind w:firstLine="0"/>
        <w:jc w:val="center"/>
        <w:rPr>
          <w:rFonts w:ascii="Times New Roman" w:hAnsi="Times New Roman" w:cs="Times New Roman"/>
          <w:b/>
          <w:bCs/>
          <w:sz w:val="24"/>
          <w:szCs w:val="24"/>
        </w:rPr>
      </w:pPr>
    </w:p>
    <w:p w14:paraId="20DC1CD6" w14:textId="6E5301F4" w:rsidR="00A81D90" w:rsidRPr="00E03E61" w:rsidRDefault="00E21DE2" w:rsidP="00E21DE2">
      <w:pPr>
        <w:spacing w:line="24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3. </w:t>
      </w:r>
      <w:r w:rsidR="00A81D90" w:rsidRPr="00E03E61">
        <w:rPr>
          <w:rFonts w:ascii="Times New Roman" w:hAnsi="Times New Roman" w:cs="Times New Roman"/>
          <w:b/>
          <w:bCs/>
          <w:sz w:val="24"/>
          <w:szCs w:val="24"/>
        </w:rPr>
        <w:t>Proposed Model</w:t>
      </w:r>
    </w:p>
    <w:p w14:paraId="7D0FCDDE" w14:textId="77777777" w:rsidR="00E21DE2" w:rsidRDefault="00E21DE2" w:rsidP="00785C9C">
      <w:pPr>
        <w:spacing w:line="240" w:lineRule="auto"/>
        <w:ind w:firstLine="0"/>
        <w:rPr>
          <w:rFonts w:ascii="Times New Roman" w:hAnsi="Times New Roman" w:cs="Times New Roman"/>
          <w:sz w:val="20"/>
          <w:szCs w:val="20"/>
        </w:rPr>
      </w:pPr>
    </w:p>
    <w:p w14:paraId="2CF77D6A" w14:textId="633DE84D" w:rsidR="00A81D90" w:rsidRDefault="00CE45ED"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The analysis </w:t>
      </w:r>
      <w:r w:rsidR="00B06B12">
        <w:rPr>
          <w:rFonts w:ascii="Times New Roman" w:hAnsi="Times New Roman" w:cs="Times New Roman"/>
          <w:sz w:val="20"/>
          <w:szCs w:val="20"/>
        </w:rPr>
        <w:t>accessed</w:t>
      </w:r>
      <w:r>
        <w:rPr>
          <w:rFonts w:ascii="Times New Roman" w:hAnsi="Times New Roman" w:cs="Times New Roman"/>
          <w:sz w:val="20"/>
          <w:szCs w:val="20"/>
        </w:rPr>
        <w:t xml:space="preserve"> </w:t>
      </w:r>
      <w:r w:rsidR="00C12F2E">
        <w:rPr>
          <w:rFonts w:ascii="Times New Roman" w:hAnsi="Times New Roman" w:cs="Times New Roman"/>
          <w:sz w:val="20"/>
          <w:szCs w:val="20"/>
        </w:rPr>
        <w:t xml:space="preserve">19,843 </w:t>
      </w:r>
      <w:r w:rsidR="00B06B12">
        <w:rPr>
          <w:rFonts w:ascii="Times New Roman" w:hAnsi="Times New Roman" w:cs="Times New Roman"/>
          <w:sz w:val="20"/>
          <w:szCs w:val="20"/>
        </w:rPr>
        <w:t xml:space="preserve">raw </w:t>
      </w:r>
      <w:r>
        <w:rPr>
          <w:rFonts w:ascii="Times New Roman" w:hAnsi="Times New Roman" w:cs="Times New Roman"/>
          <w:sz w:val="20"/>
          <w:szCs w:val="20"/>
        </w:rPr>
        <w:t>box scores</w:t>
      </w:r>
      <w:r w:rsidR="00C12F2E">
        <w:rPr>
          <w:rFonts w:ascii="Times New Roman" w:hAnsi="Times New Roman" w:cs="Times New Roman"/>
          <w:sz w:val="20"/>
          <w:szCs w:val="20"/>
        </w:rPr>
        <w:fldChar w:fldCharType="begin"/>
      </w:r>
      <w:r w:rsidR="00C12F2E">
        <w:rPr>
          <w:rFonts w:ascii="Times New Roman" w:hAnsi="Times New Roman" w:cs="Times New Roman"/>
          <w:sz w:val="20"/>
          <w:szCs w:val="20"/>
        </w:rPr>
        <w:instrText xml:space="preserve"> ADDIN ZOTERO_ITEM CSL_CITATION {"citationID":"0yfzh5Dy","properties":{"formattedCitation":"[1]","plainCitation":"[1]","noteIndex":0},"citationItems":[{"id":263,"uris":["http://zotero.org/users/14744311/items/PWUA9JB5"],"itemData":{"id":263,"type":"dataset","title":"College Football Game Stats | 2022 to January 2026","URL":"https://www.kaggle.com/datasets/cviaxmiwnptr/college-football-team-stats-2002-to-january-2024?resource=download","author":[{"family":"CVIAXMIWNPTR","given":""}],"accessed":{"date-parts":[["2026",3,7]]}}}],"schema":"https://github.com/citation-style-language/schema/raw/master/csl-citation.json"} </w:instrText>
      </w:r>
      <w:r w:rsidR="00C12F2E">
        <w:rPr>
          <w:rFonts w:ascii="Times New Roman" w:hAnsi="Times New Roman" w:cs="Times New Roman"/>
          <w:sz w:val="20"/>
          <w:szCs w:val="20"/>
        </w:rPr>
        <w:fldChar w:fldCharType="separate"/>
      </w:r>
      <w:r w:rsidR="00C12F2E">
        <w:rPr>
          <w:rFonts w:ascii="Times New Roman" w:hAnsi="Times New Roman" w:cs="Times New Roman"/>
          <w:noProof/>
          <w:sz w:val="20"/>
          <w:szCs w:val="20"/>
        </w:rPr>
        <w:t>[1]</w:t>
      </w:r>
      <w:r w:rsidR="00C12F2E">
        <w:rPr>
          <w:rFonts w:ascii="Times New Roman" w:hAnsi="Times New Roman" w:cs="Times New Roman"/>
          <w:sz w:val="20"/>
          <w:szCs w:val="20"/>
        </w:rPr>
        <w:fldChar w:fldCharType="end"/>
      </w:r>
      <w:r w:rsidR="00CA7749">
        <w:rPr>
          <w:rFonts w:ascii="Times New Roman" w:hAnsi="Times New Roman" w:cs="Times New Roman"/>
          <w:sz w:val="20"/>
          <w:szCs w:val="20"/>
        </w:rPr>
        <w:t>, recruiting data</w:t>
      </w:r>
      <w:r w:rsidR="00C12F2E">
        <w:rPr>
          <w:rFonts w:ascii="Times New Roman" w:hAnsi="Times New Roman" w:cs="Times New Roman"/>
          <w:sz w:val="20"/>
          <w:szCs w:val="20"/>
        </w:rPr>
        <w:fldChar w:fldCharType="begin"/>
      </w:r>
      <w:r w:rsidR="00C12F2E">
        <w:rPr>
          <w:rFonts w:ascii="Times New Roman" w:hAnsi="Times New Roman" w:cs="Times New Roman"/>
          <w:sz w:val="20"/>
          <w:szCs w:val="20"/>
        </w:rPr>
        <w:instrText xml:space="preserve"> ADDIN ZOTERO_ITEM CSL_CITATION {"citationID":"iqELRNFr","properties":{"formattedCitation":"[3]","plainCitation":"[3]","noteIndex":0},"citationItems":[{"id":265,"uris":["http://zotero.org/users/14744311/items/P3NN3BUY"],"itemData":{"id":265,"type":"dataset","title":"Recruit Football Composite Team Rankings","URL":"https://247sports.com/season/{year}-football/compositeteamranki","accessed":{"date-parts":[["2026",3,5]]}}}],"schema":"https://github.com/citation-style-language/schema/raw/master/csl-citation.json"} </w:instrText>
      </w:r>
      <w:r w:rsidR="00C12F2E">
        <w:rPr>
          <w:rFonts w:ascii="Times New Roman" w:hAnsi="Times New Roman" w:cs="Times New Roman"/>
          <w:sz w:val="20"/>
          <w:szCs w:val="20"/>
        </w:rPr>
        <w:fldChar w:fldCharType="separate"/>
      </w:r>
      <w:r w:rsidR="00C12F2E">
        <w:rPr>
          <w:rFonts w:ascii="Times New Roman" w:hAnsi="Times New Roman" w:cs="Times New Roman"/>
          <w:noProof/>
          <w:sz w:val="20"/>
          <w:szCs w:val="20"/>
        </w:rPr>
        <w:t>[3]</w:t>
      </w:r>
      <w:r w:rsidR="00C12F2E">
        <w:rPr>
          <w:rFonts w:ascii="Times New Roman" w:hAnsi="Times New Roman" w:cs="Times New Roman"/>
          <w:sz w:val="20"/>
          <w:szCs w:val="20"/>
        </w:rPr>
        <w:fldChar w:fldCharType="end"/>
      </w:r>
      <w:r w:rsidR="00CA7749">
        <w:rPr>
          <w:rFonts w:ascii="Times New Roman" w:hAnsi="Times New Roman" w:cs="Times New Roman"/>
          <w:sz w:val="20"/>
          <w:szCs w:val="20"/>
        </w:rPr>
        <w:t xml:space="preserve">, and  present-day </w:t>
      </w:r>
      <w:r>
        <w:rPr>
          <w:rFonts w:ascii="Times New Roman" w:hAnsi="Times New Roman" w:cs="Times New Roman"/>
          <w:sz w:val="20"/>
          <w:szCs w:val="20"/>
        </w:rPr>
        <w:t>conference affilia</w:t>
      </w:r>
      <w:r w:rsidR="00B06B12">
        <w:rPr>
          <w:rFonts w:ascii="Times New Roman" w:hAnsi="Times New Roman" w:cs="Times New Roman"/>
          <w:sz w:val="20"/>
          <w:szCs w:val="20"/>
        </w:rPr>
        <w:t>tions</w:t>
      </w:r>
      <w:r w:rsidR="00C12F2E">
        <w:rPr>
          <w:rFonts w:ascii="Times New Roman" w:hAnsi="Times New Roman" w:cs="Times New Roman"/>
          <w:sz w:val="20"/>
          <w:szCs w:val="20"/>
        </w:rPr>
        <w:fldChar w:fldCharType="begin"/>
      </w:r>
      <w:r w:rsidR="00C12F2E">
        <w:rPr>
          <w:rFonts w:ascii="Times New Roman" w:hAnsi="Times New Roman" w:cs="Times New Roman"/>
          <w:sz w:val="20"/>
          <w:szCs w:val="20"/>
        </w:rPr>
        <w:instrText xml:space="preserve"> ADDIN ZOTERO_ITEM CSL_CITATION {"citationID":"S8WFXO7n","properties":{"formattedCitation":"[2]","plainCitation":"[2]","noteIndex":0},"citationItems":[{"id":264,"uris":["http://zotero.org/users/14744311/items/WF2UGKTF"],"itemData":{"id":264,"type":"dataset","title":"College Football Teams","URL":"https://www.espn.com/college-football/teams","accessed":{"date-parts":[["2026",3,7]]}}}],"schema":"https://github.com/citation-style-language/schema/raw/master/csl-citation.json"} </w:instrText>
      </w:r>
      <w:r w:rsidR="00C12F2E">
        <w:rPr>
          <w:rFonts w:ascii="Times New Roman" w:hAnsi="Times New Roman" w:cs="Times New Roman"/>
          <w:sz w:val="20"/>
          <w:szCs w:val="20"/>
        </w:rPr>
        <w:fldChar w:fldCharType="separate"/>
      </w:r>
      <w:r w:rsidR="00C12F2E">
        <w:rPr>
          <w:rFonts w:ascii="Times New Roman" w:hAnsi="Times New Roman" w:cs="Times New Roman"/>
          <w:noProof/>
          <w:sz w:val="20"/>
          <w:szCs w:val="20"/>
        </w:rPr>
        <w:t>[2]</w:t>
      </w:r>
      <w:r w:rsidR="00C12F2E">
        <w:rPr>
          <w:rFonts w:ascii="Times New Roman" w:hAnsi="Times New Roman" w:cs="Times New Roman"/>
          <w:sz w:val="20"/>
          <w:szCs w:val="20"/>
        </w:rPr>
        <w:fldChar w:fldCharType="end"/>
      </w:r>
      <w:r>
        <w:rPr>
          <w:rFonts w:ascii="Times New Roman" w:hAnsi="Times New Roman" w:cs="Times New Roman"/>
          <w:sz w:val="20"/>
          <w:szCs w:val="20"/>
        </w:rPr>
        <w:t xml:space="preserve">. Team names are normalized, game dates aligned to football seasons, and January games are assigned to the prior season so that postseason timing does not affect season labeling. </w:t>
      </w:r>
      <w:r w:rsidR="00CA7749">
        <w:rPr>
          <w:rFonts w:ascii="Times New Roman" w:hAnsi="Times New Roman" w:cs="Times New Roman"/>
          <w:sz w:val="20"/>
          <w:szCs w:val="20"/>
        </w:rPr>
        <w:t xml:space="preserve">Each </w:t>
      </w:r>
      <w:r>
        <w:rPr>
          <w:rFonts w:ascii="Times New Roman" w:hAnsi="Times New Roman" w:cs="Times New Roman"/>
          <w:sz w:val="20"/>
          <w:szCs w:val="20"/>
        </w:rPr>
        <w:t xml:space="preserve">team’s pregame state </w:t>
      </w:r>
      <w:r w:rsidR="00CA7749">
        <w:rPr>
          <w:rFonts w:ascii="Times New Roman" w:hAnsi="Times New Roman" w:cs="Times New Roman"/>
          <w:sz w:val="20"/>
          <w:szCs w:val="20"/>
        </w:rPr>
        <w:t xml:space="preserve">is </w:t>
      </w:r>
      <w:r>
        <w:rPr>
          <w:rFonts w:ascii="Times New Roman" w:hAnsi="Times New Roman" w:cs="Times New Roman"/>
          <w:sz w:val="20"/>
          <w:szCs w:val="20"/>
        </w:rPr>
        <w:t xml:space="preserve">summarized consistently from prior games only. Team-level summaries are merged back into a one-row-per-game table, and most engineered features are expressed as home-minus-away differences, so that positive values </w:t>
      </w:r>
      <w:r w:rsidR="00B15C10">
        <w:rPr>
          <w:rFonts w:ascii="Times New Roman" w:hAnsi="Times New Roman" w:cs="Times New Roman"/>
          <w:sz w:val="20"/>
          <w:szCs w:val="20"/>
        </w:rPr>
        <w:t>indicate a home-team advantage.</w:t>
      </w:r>
      <w:r w:rsidR="00C12F2E">
        <w:rPr>
          <w:rFonts w:ascii="Times New Roman" w:hAnsi="Times New Roman" w:cs="Times New Roman"/>
          <w:sz w:val="20"/>
          <w:szCs w:val="20"/>
        </w:rPr>
        <w:t xml:space="preserve"> The final dataset contains 3,304 box scores and 69 teams.</w:t>
      </w:r>
    </w:p>
    <w:p w14:paraId="2C2D6D0C" w14:textId="77777777" w:rsidR="00B15C10" w:rsidRDefault="00B15C10" w:rsidP="00785C9C">
      <w:pPr>
        <w:spacing w:line="240" w:lineRule="auto"/>
        <w:ind w:firstLine="0"/>
        <w:rPr>
          <w:rFonts w:ascii="Times New Roman" w:hAnsi="Times New Roman" w:cs="Times New Roman"/>
          <w:sz w:val="20"/>
          <w:szCs w:val="20"/>
        </w:rPr>
      </w:pPr>
    </w:p>
    <w:p w14:paraId="7169375F" w14:textId="6999D0B1" w:rsidR="00CA7749" w:rsidRDefault="00B15C10"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This dataset is layered</w:t>
      </w:r>
      <w:r w:rsidR="00C12F2E">
        <w:rPr>
          <w:rFonts w:ascii="Times New Roman" w:hAnsi="Times New Roman" w:cs="Times New Roman"/>
          <w:sz w:val="20"/>
          <w:szCs w:val="20"/>
        </w:rPr>
        <w:t xml:space="preserve"> (see </w:t>
      </w:r>
      <w:r w:rsidR="00105CAA">
        <w:rPr>
          <w:rFonts w:ascii="Times New Roman" w:hAnsi="Times New Roman" w:cs="Times New Roman"/>
          <w:b/>
          <w:bCs/>
          <w:sz w:val="20"/>
          <w:szCs w:val="20"/>
        </w:rPr>
        <w:t>Table</w:t>
      </w:r>
      <w:r w:rsidR="00C12F2E" w:rsidRPr="00C12F2E">
        <w:rPr>
          <w:rFonts w:ascii="Times New Roman" w:hAnsi="Times New Roman" w:cs="Times New Roman"/>
          <w:b/>
          <w:bCs/>
          <w:sz w:val="20"/>
          <w:szCs w:val="20"/>
        </w:rPr>
        <w:t xml:space="preserve"> 1</w:t>
      </w:r>
      <w:r w:rsidR="00C12F2E">
        <w:rPr>
          <w:rFonts w:ascii="Times New Roman" w:hAnsi="Times New Roman" w:cs="Times New Roman"/>
          <w:sz w:val="20"/>
          <w:szCs w:val="20"/>
        </w:rPr>
        <w:t>)</w:t>
      </w:r>
      <w:r>
        <w:rPr>
          <w:rFonts w:ascii="Times New Roman" w:hAnsi="Times New Roman" w:cs="Times New Roman"/>
          <w:sz w:val="20"/>
          <w:szCs w:val="20"/>
        </w:rPr>
        <w:t xml:space="preserve">. </w:t>
      </w:r>
      <w:r w:rsidR="00CA7749">
        <w:rPr>
          <w:rFonts w:ascii="Times New Roman" w:hAnsi="Times New Roman" w:cs="Times New Roman"/>
          <w:sz w:val="20"/>
          <w:szCs w:val="20"/>
        </w:rPr>
        <w:t xml:space="preserve">These layers were evaluated both separately and cumulatively through six feature tiers (see </w:t>
      </w:r>
      <w:r w:rsidR="00105CAA">
        <w:rPr>
          <w:rFonts w:ascii="Times New Roman" w:hAnsi="Times New Roman" w:cs="Times New Roman"/>
          <w:b/>
          <w:bCs/>
          <w:sz w:val="20"/>
          <w:szCs w:val="20"/>
        </w:rPr>
        <w:t>Table</w:t>
      </w:r>
      <w:r w:rsidR="00CA7749" w:rsidRPr="00CA7749">
        <w:rPr>
          <w:rFonts w:ascii="Times New Roman" w:hAnsi="Times New Roman" w:cs="Times New Roman"/>
          <w:b/>
          <w:bCs/>
          <w:sz w:val="20"/>
          <w:szCs w:val="20"/>
        </w:rPr>
        <w:t xml:space="preserve"> 1</w:t>
      </w:r>
      <w:r w:rsidR="00CA7749">
        <w:rPr>
          <w:rFonts w:ascii="Times New Roman" w:hAnsi="Times New Roman" w:cs="Times New Roman"/>
          <w:sz w:val="20"/>
          <w:szCs w:val="20"/>
        </w:rPr>
        <w:t xml:space="preserve">). </w:t>
      </w:r>
      <w:r w:rsidR="00CA7749" w:rsidRPr="00CA7749">
        <w:rPr>
          <w:rFonts w:ascii="Times New Roman" w:hAnsi="Times New Roman" w:cs="Times New Roman"/>
          <w:b/>
          <w:bCs/>
          <w:sz w:val="20"/>
          <w:szCs w:val="20"/>
        </w:rPr>
        <w:t>Figure 2</w:t>
      </w:r>
      <w:r w:rsidR="00CA7749">
        <w:rPr>
          <w:rFonts w:ascii="Times New Roman" w:hAnsi="Times New Roman" w:cs="Times New Roman"/>
          <w:sz w:val="20"/>
          <w:szCs w:val="20"/>
        </w:rPr>
        <w:t xml:space="preserve"> summarizes the end-to-end workflow from raw data through lagged feature engineering, tuning, and future season evaluation.</w:t>
      </w:r>
    </w:p>
    <w:p w14:paraId="1AF7CA95" w14:textId="61F29FBA" w:rsidR="002652D6" w:rsidRDefault="002652D6" w:rsidP="00785C9C">
      <w:pPr>
        <w:spacing w:line="240" w:lineRule="auto"/>
        <w:ind w:firstLine="0"/>
        <w:rPr>
          <w:rFonts w:ascii="Times New Roman" w:hAnsi="Times New Roman" w:cs="Times New Roman"/>
          <w:sz w:val="20"/>
          <w:szCs w:val="20"/>
        </w:rPr>
      </w:pPr>
    </w:p>
    <w:p w14:paraId="2FD49090" w14:textId="3A32B1EE" w:rsidR="00AA22F5" w:rsidRDefault="00B8418D" w:rsidP="00D31110">
      <w:pPr>
        <w:spacing w:line="240" w:lineRule="auto"/>
        <w:ind w:firstLine="0"/>
        <w:jc w:val="center"/>
        <w:rPr>
          <w:rFonts w:ascii="Times New Roman" w:hAnsi="Times New Roman" w:cs="Times New Roman"/>
          <w:sz w:val="20"/>
          <w:szCs w:val="20"/>
        </w:rPr>
      </w:pPr>
      <w:r w:rsidRPr="00B8418D">
        <w:rPr>
          <w:rFonts w:ascii="Times New Roman" w:hAnsi="Times New Roman" w:cs="Times New Roman"/>
          <w:noProof/>
          <w:sz w:val="20"/>
          <w:szCs w:val="20"/>
        </w:rPr>
        <w:drawing>
          <wp:inline distT="0" distB="0" distL="0" distR="0" wp14:anchorId="45E0C22A" wp14:editId="10070A57">
            <wp:extent cx="4745620" cy="1508975"/>
            <wp:effectExtent l="0" t="0" r="4445" b="2540"/>
            <wp:docPr id="120587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71273" name=""/>
                    <pic:cNvPicPr/>
                  </pic:nvPicPr>
                  <pic:blipFill>
                    <a:blip r:embed="rId10"/>
                    <a:stretch>
                      <a:fillRect/>
                    </a:stretch>
                  </pic:blipFill>
                  <pic:spPr>
                    <a:xfrm>
                      <a:off x="0" y="0"/>
                      <a:ext cx="4874024" cy="1549804"/>
                    </a:xfrm>
                    <a:prstGeom prst="rect">
                      <a:avLst/>
                    </a:prstGeom>
                  </pic:spPr>
                </pic:pic>
              </a:graphicData>
            </a:graphic>
          </wp:inline>
        </w:drawing>
      </w:r>
    </w:p>
    <w:p w14:paraId="22869BD3" w14:textId="77777777" w:rsidR="00AA22F5" w:rsidRDefault="00AA22F5" w:rsidP="00AA22F5">
      <w:pPr>
        <w:spacing w:line="240" w:lineRule="auto"/>
        <w:ind w:firstLine="0"/>
        <w:jc w:val="center"/>
        <w:rPr>
          <w:rFonts w:ascii="Times New Roman" w:hAnsi="Times New Roman" w:cs="Times New Roman"/>
          <w:sz w:val="20"/>
          <w:szCs w:val="20"/>
        </w:rPr>
      </w:pPr>
    </w:p>
    <w:p w14:paraId="1F00434A" w14:textId="44EB8F02" w:rsidR="00AA22F5" w:rsidRDefault="00105CAA" w:rsidP="00AA22F5">
      <w:pPr>
        <w:spacing w:line="240" w:lineRule="auto"/>
        <w:ind w:firstLine="0"/>
        <w:jc w:val="center"/>
        <w:rPr>
          <w:rFonts w:ascii="Times New Roman" w:hAnsi="Times New Roman" w:cs="Times New Roman"/>
          <w:sz w:val="20"/>
          <w:szCs w:val="20"/>
        </w:rPr>
      </w:pPr>
      <w:r>
        <w:rPr>
          <w:rFonts w:ascii="Times New Roman" w:hAnsi="Times New Roman" w:cs="Times New Roman"/>
          <w:b/>
          <w:bCs/>
          <w:sz w:val="20"/>
          <w:szCs w:val="20"/>
        </w:rPr>
        <w:t>Table</w:t>
      </w:r>
      <w:r w:rsidR="00AA22F5" w:rsidRPr="00AA22F5">
        <w:rPr>
          <w:rFonts w:ascii="Times New Roman" w:hAnsi="Times New Roman" w:cs="Times New Roman"/>
          <w:b/>
          <w:bCs/>
          <w:sz w:val="20"/>
          <w:szCs w:val="20"/>
        </w:rPr>
        <w:t xml:space="preserve"> 1</w:t>
      </w:r>
      <w:r w:rsidR="00AA22F5">
        <w:rPr>
          <w:rFonts w:ascii="Times New Roman" w:hAnsi="Times New Roman" w:cs="Times New Roman"/>
          <w:sz w:val="20"/>
          <w:szCs w:val="20"/>
        </w:rPr>
        <w:t>: Graphical depiction of tiered feature sets.</w:t>
      </w:r>
    </w:p>
    <w:p w14:paraId="5A766B82" w14:textId="4ED699F2" w:rsidR="007704A3" w:rsidRDefault="002652D6" w:rsidP="00785C9C">
      <w:pPr>
        <w:spacing w:line="240" w:lineRule="auto"/>
        <w:ind w:firstLine="0"/>
        <w:rPr>
          <w:rFonts w:ascii="Times New Roman" w:hAnsi="Times New Roman" w:cs="Times New Roman"/>
          <w:sz w:val="20"/>
          <w:szCs w:val="20"/>
        </w:rPr>
      </w:pPr>
      <w:r w:rsidRPr="003652E4">
        <w:rPr>
          <w:rFonts w:ascii="Times New Roman" w:hAnsi="Times New Roman" w:cs="Times New Roman"/>
          <w:noProof/>
          <w:sz w:val="20"/>
          <w:szCs w:val="20"/>
        </w:rPr>
        <w:drawing>
          <wp:inline distT="0" distB="0" distL="0" distR="0" wp14:anchorId="19DCC710" wp14:editId="48712FB6">
            <wp:extent cx="5381103" cy="544010"/>
            <wp:effectExtent l="12700" t="0" r="16510" b="0"/>
            <wp:docPr id="1030915203" name="Diagram 1">
              <a:extLst xmlns:a="http://schemas.openxmlformats.org/drawingml/2006/main">
                <a:ext uri="{FF2B5EF4-FFF2-40B4-BE49-F238E27FC236}">
                  <a16:creationId xmlns:a16="http://schemas.microsoft.com/office/drawing/2014/main" id="{F673C91B-F1C8-FDCF-18F9-B2EE45FB835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80BCEF3" w14:textId="1B1AC0D9" w:rsidR="00E21DE2" w:rsidRDefault="00AA22F5" w:rsidP="00AA22F5">
      <w:pPr>
        <w:spacing w:line="240" w:lineRule="auto"/>
        <w:ind w:firstLine="0"/>
        <w:jc w:val="center"/>
        <w:rPr>
          <w:rFonts w:ascii="Times New Roman" w:hAnsi="Times New Roman" w:cs="Times New Roman"/>
          <w:sz w:val="20"/>
          <w:szCs w:val="20"/>
        </w:rPr>
      </w:pPr>
      <w:r w:rsidRPr="00AA22F5">
        <w:rPr>
          <w:rFonts w:ascii="Times New Roman" w:hAnsi="Times New Roman" w:cs="Times New Roman"/>
          <w:b/>
          <w:bCs/>
          <w:sz w:val="20"/>
          <w:szCs w:val="20"/>
        </w:rPr>
        <w:t>Figure 2</w:t>
      </w:r>
      <w:r>
        <w:rPr>
          <w:rFonts w:ascii="Times New Roman" w:hAnsi="Times New Roman" w:cs="Times New Roman"/>
          <w:sz w:val="20"/>
          <w:szCs w:val="20"/>
        </w:rPr>
        <w:t>: Flowchart depicting methodology used for conducting analysis.</w:t>
      </w:r>
    </w:p>
    <w:p w14:paraId="32FCD80E" w14:textId="77777777" w:rsidR="00AA22F5" w:rsidRDefault="00AA22F5" w:rsidP="00785C9C">
      <w:pPr>
        <w:spacing w:line="240" w:lineRule="auto"/>
        <w:ind w:firstLine="0"/>
        <w:rPr>
          <w:rFonts w:ascii="Times New Roman" w:hAnsi="Times New Roman" w:cs="Times New Roman"/>
          <w:sz w:val="20"/>
          <w:szCs w:val="20"/>
        </w:rPr>
      </w:pPr>
    </w:p>
    <w:p w14:paraId="405D1047" w14:textId="3B283510" w:rsidR="00A81D90" w:rsidRPr="00E03E61" w:rsidRDefault="00E21DE2" w:rsidP="00E21DE2">
      <w:pPr>
        <w:spacing w:line="24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4. </w:t>
      </w:r>
      <w:r w:rsidR="00A81D90" w:rsidRPr="00E03E61">
        <w:rPr>
          <w:rFonts w:ascii="Times New Roman" w:hAnsi="Times New Roman" w:cs="Times New Roman"/>
          <w:b/>
          <w:bCs/>
          <w:sz w:val="24"/>
          <w:szCs w:val="24"/>
        </w:rPr>
        <w:t>Experimental Results</w:t>
      </w:r>
    </w:p>
    <w:p w14:paraId="5DC82ED7" w14:textId="77777777" w:rsidR="00E21DE2" w:rsidRDefault="00E21DE2" w:rsidP="00785C9C">
      <w:pPr>
        <w:spacing w:line="240" w:lineRule="auto"/>
        <w:ind w:firstLine="0"/>
        <w:rPr>
          <w:rFonts w:ascii="Times New Roman" w:hAnsi="Times New Roman" w:cs="Times New Roman"/>
          <w:sz w:val="20"/>
          <w:szCs w:val="20"/>
        </w:rPr>
      </w:pPr>
    </w:p>
    <w:p w14:paraId="264471A3" w14:textId="44302028" w:rsidR="00A81D90" w:rsidRPr="004524A7" w:rsidRDefault="007704A3" w:rsidP="00785C9C">
      <w:pPr>
        <w:spacing w:line="240" w:lineRule="auto"/>
        <w:ind w:firstLine="0"/>
        <w:rPr>
          <w:rFonts w:ascii="Times New Roman" w:hAnsi="Times New Roman" w:cs="Times New Roman"/>
          <w:b/>
          <w:bCs/>
          <w:sz w:val="20"/>
          <w:szCs w:val="20"/>
        </w:rPr>
      </w:pPr>
      <w:r w:rsidRPr="004524A7">
        <w:rPr>
          <w:rFonts w:ascii="Times New Roman" w:hAnsi="Times New Roman" w:cs="Times New Roman"/>
          <w:b/>
          <w:bCs/>
          <w:sz w:val="20"/>
          <w:szCs w:val="20"/>
        </w:rPr>
        <w:t>4.1 The Data</w:t>
      </w:r>
    </w:p>
    <w:p w14:paraId="63588BFD" w14:textId="77777777" w:rsidR="00D31110" w:rsidRDefault="00D31110" w:rsidP="00785C9C">
      <w:pPr>
        <w:spacing w:line="240" w:lineRule="auto"/>
        <w:ind w:firstLine="0"/>
        <w:rPr>
          <w:rFonts w:ascii="Times New Roman" w:hAnsi="Times New Roman" w:cs="Times New Roman"/>
          <w:sz w:val="20"/>
          <w:szCs w:val="20"/>
        </w:rPr>
      </w:pPr>
    </w:p>
    <w:p w14:paraId="460183CB" w14:textId="0982C9FC" w:rsidR="00411A94" w:rsidRDefault="00D31110" w:rsidP="00785C9C">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A descriptive look at the final modeling table provides context for the prediction problem. Home teams won 55.7% of games overall, confirming a modest home-field edge</w:t>
      </w:r>
      <w:r>
        <w:rPr>
          <w:rFonts w:ascii="Times New Roman" w:hAnsi="Times New Roman" w:cs="Times New Roman"/>
          <w:sz w:val="20"/>
          <w:szCs w:val="20"/>
        </w:rPr>
        <w:t xml:space="preserve"> (see</w:t>
      </w:r>
      <w:r w:rsidRPr="00D31110">
        <w:rPr>
          <w:rFonts w:ascii="Times New Roman" w:hAnsi="Times New Roman" w:cs="Times New Roman"/>
          <w:b/>
          <w:bCs/>
          <w:sz w:val="20"/>
          <w:szCs w:val="20"/>
        </w:rPr>
        <w:t xml:space="preserve"> Table </w:t>
      </w:r>
      <w:r w:rsidR="00105CAA">
        <w:rPr>
          <w:rFonts w:ascii="Times New Roman" w:hAnsi="Times New Roman" w:cs="Times New Roman"/>
          <w:b/>
          <w:bCs/>
          <w:sz w:val="20"/>
          <w:szCs w:val="20"/>
        </w:rPr>
        <w:t>2</w:t>
      </w:r>
      <w:r>
        <w:rPr>
          <w:rFonts w:ascii="Times New Roman" w:hAnsi="Times New Roman" w:cs="Times New Roman"/>
          <w:sz w:val="20"/>
          <w:szCs w:val="20"/>
        </w:rPr>
        <w:t xml:space="preserve">). </w:t>
      </w:r>
      <w:r w:rsidR="00C12F2E" w:rsidRPr="00C12F2E">
        <w:rPr>
          <w:rFonts w:ascii="Times New Roman" w:hAnsi="Times New Roman" w:cs="Times New Roman"/>
          <w:b/>
          <w:bCs/>
          <w:sz w:val="20"/>
          <w:szCs w:val="20"/>
        </w:rPr>
        <w:t xml:space="preserve">Table </w:t>
      </w:r>
      <w:r w:rsidR="00105CAA">
        <w:rPr>
          <w:rFonts w:ascii="Times New Roman" w:hAnsi="Times New Roman" w:cs="Times New Roman"/>
          <w:b/>
          <w:bCs/>
          <w:sz w:val="20"/>
          <w:szCs w:val="20"/>
        </w:rPr>
        <w:t>2</w:t>
      </w:r>
      <w:r w:rsidR="00C12F2E">
        <w:rPr>
          <w:rFonts w:ascii="Times New Roman" w:hAnsi="Times New Roman" w:cs="Times New Roman"/>
          <w:sz w:val="20"/>
          <w:szCs w:val="20"/>
        </w:rPr>
        <w:t xml:space="preserve"> shows th</w:t>
      </w:r>
      <w:r w:rsidR="00C12F2E" w:rsidRPr="00C12F2E">
        <w:rPr>
          <w:rFonts w:ascii="Times New Roman" w:hAnsi="Times New Roman" w:cs="Times New Roman"/>
          <w:sz w:val="20"/>
          <w:szCs w:val="20"/>
        </w:rPr>
        <w:t>e home win rate stayed generally in the mid-50% range by season, but rank status sharpened the pattern: when the home team was higher ranked, the home win rate was roughly 74%–89%, whereas it dropped to roughly 22%–41% when the away team was higher ranked. Conference-game status mattered much less in aggregate</w:t>
      </w:r>
      <w:r w:rsidR="00C12F2E">
        <w:rPr>
          <w:rFonts w:ascii="Times New Roman" w:hAnsi="Times New Roman" w:cs="Times New Roman"/>
          <w:sz w:val="20"/>
          <w:szCs w:val="20"/>
        </w:rPr>
        <w:t>. Regardless of conference</w:t>
      </w:r>
      <w:r w:rsidR="004C3883">
        <w:rPr>
          <w:rFonts w:ascii="Times New Roman" w:hAnsi="Times New Roman" w:cs="Times New Roman"/>
          <w:sz w:val="20"/>
          <w:szCs w:val="20"/>
        </w:rPr>
        <w:t>-game status</w:t>
      </w:r>
      <w:r w:rsidR="00C12F2E">
        <w:rPr>
          <w:rFonts w:ascii="Times New Roman" w:hAnsi="Times New Roman" w:cs="Times New Roman"/>
          <w:sz w:val="20"/>
          <w:szCs w:val="20"/>
        </w:rPr>
        <w:t>, home team win rates average 56%</w:t>
      </w:r>
      <w:r w:rsidR="00C12F2E" w:rsidRPr="00C12F2E">
        <w:rPr>
          <w:rFonts w:ascii="Times New Roman" w:hAnsi="Times New Roman" w:cs="Times New Roman"/>
          <w:sz w:val="20"/>
          <w:szCs w:val="20"/>
        </w:rPr>
        <w:t xml:space="preserve">. </w:t>
      </w:r>
    </w:p>
    <w:p w14:paraId="14A37D0A" w14:textId="77777777" w:rsidR="00AA22F5" w:rsidRDefault="00AA22F5" w:rsidP="00785C9C">
      <w:pPr>
        <w:spacing w:line="240" w:lineRule="auto"/>
        <w:ind w:firstLine="0"/>
        <w:rPr>
          <w:rFonts w:ascii="Times New Roman" w:hAnsi="Times New Roman" w:cs="Times New Roman"/>
          <w:sz w:val="20"/>
          <w:szCs w:val="20"/>
        </w:rPr>
      </w:pPr>
    </w:p>
    <w:p w14:paraId="33F0812D" w14:textId="79804890" w:rsidR="00AA22F5" w:rsidRDefault="00AA22F5" w:rsidP="00AA22F5">
      <w:pPr>
        <w:spacing w:line="240" w:lineRule="auto"/>
        <w:ind w:firstLine="0"/>
        <w:jc w:val="center"/>
        <w:rPr>
          <w:rFonts w:ascii="Times New Roman" w:hAnsi="Times New Roman" w:cs="Times New Roman"/>
          <w:sz w:val="20"/>
          <w:szCs w:val="20"/>
        </w:rPr>
      </w:pPr>
      <w:r w:rsidRPr="00AA22F5">
        <w:rPr>
          <w:rFonts w:ascii="Times New Roman" w:hAnsi="Times New Roman" w:cs="Times New Roman"/>
          <w:b/>
          <w:bCs/>
          <w:sz w:val="20"/>
          <w:szCs w:val="20"/>
        </w:rPr>
        <w:t xml:space="preserve">Table </w:t>
      </w:r>
      <w:r w:rsidR="00105CAA">
        <w:rPr>
          <w:rFonts w:ascii="Times New Roman" w:hAnsi="Times New Roman" w:cs="Times New Roman"/>
          <w:b/>
          <w:bCs/>
          <w:sz w:val="20"/>
          <w:szCs w:val="20"/>
        </w:rPr>
        <w:t>2</w:t>
      </w:r>
      <w:r>
        <w:rPr>
          <w:rFonts w:ascii="Times New Roman" w:hAnsi="Times New Roman" w:cs="Times New Roman"/>
          <w:sz w:val="20"/>
          <w:szCs w:val="20"/>
        </w:rPr>
        <w:t>: Home team win rates aggregated by season and by Rank Context</w:t>
      </w:r>
    </w:p>
    <w:p w14:paraId="217B7727" w14:textId="77777777" w:rsidR="001E653E" w:rsidRDefault="001E653E" w:rsidP="00785C9C">
      <w:pPr>
        <w:spacing w:line="240" w:lineRule="auto"/>
        <w:ind w:firstLine="0"/>
        <w:rPr>
          <w:rFonts w:ascii="Times New Roman" w:hAnsi="Times New Roman" w:cs="Times New Roman"/>
          <w:sz w:val="20"/>
          <w:szCs w:val="20"/>
        </w:rPr>
      </w:pPr>
    </w:p>
    <w:p w14:paraId="24190016" w14:textId="7CAEDB70" w:rsidR="001E653E" w:rsidRDefault="001E653E" w:rsidP="00AA22F5">
      <w:pPr>
        <w:spacing w:line="240" w:lineRule="auto"/>
        <w:ind w:firstLine="0"/>
        <w:jc w:val="center"/>
        <w:rPr>
          <w:rFonts w:ascii="Times New Roman" w:hAnsi="Times New Roman" w:cs="Times New Roman"/>
          <w:sz w:val="20"/>
          <w:szCs w:val="20"/>
        </w:rPr>
      </w:pPr>
      <w:r w:rsidRPr="001E653E">
        <w:rPr>
          <w:rFonts w:ascii="Times New Roman" w:hAnsi="Times New Roman" w:cs="Times New Roman"/>
          <w:noProof/>
          <w:sz w:val="20"/>
          <w:szCs w:val="20"/>
        </w:rPr>
        <w:drawing>
          <wp:inline distT="0" distB="0" distL="0" distR="0" wp14:anchorId="5B2547EE" wp14:editId="6836715B">
            <wp:extent cx="3020992" cy="1536894"/>
            <wp:effectExtent l="0" t="0" r="1905" b="0"/>
            <wp:docPr id="3044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8836" name="Picture 1"/>
                    <pic:cNvPicPr/>
                  </pic:nvPicPr>
                  <pic:blipFill>
                    <a:blip r:embed="rId16"/>
                    <a:stretch>
                      <a:fillRect/>
                    </a:stretch>
                  </pic:blipFill>
                  <pic:spPr>
                    <a:xfrm>
                      <a:off x="0" y="0"/>
                      <a:ext cx="3080000" cy="1566914"/>
                    </a:xfrm>
                    <a:prstGeom prst="rect">
                      <a:avLst/>
                    </a:prstGeom>
                  </pic:spPr>
                </pic:pic>
              </a:graphicData>
            </a:graphic>
          </wp:inline>
        </w:drawing>
      </w:r>
    </w:p>
    <w:p w14:paraId="12BE455D" w14:textId="77777777" w:rsidR="007704A3" w:rsidRDefault="007704A3" w:rsidP="00785C9C">
      <w:pPr>
        <w:spacing w:line="240" w:lineRule="auto"/>
        <w:ind w:firstLine="0"/>
        <w:rPr>
          <w:rFonts w:ascii="Times New Roman" w:hAnsi="Times New Roman" w:cs="Times New Roman"/>
          <w:sz w:val="20"/>
          <w:szCs w:val="20"/>
        </w:rPr>
      </w:pPr>
    </w:p>
    <w:p w14:paraId="16421DDF" w14:textId="1A91CCF9" w:rsidR="007704A3" w:rsidRDefault="00402E6F"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A key aspect of the analysis is that every rolling predictor is built from prior games only. The final modeling table is one row per game with columns representing aspects of context, roster-talent, season-to-date performance summaries, matchup variables, and home-minus-away differentials. The target variable is </w:t>
      </w:r>
      <w:proofErr w:type="spellStart"/>
      <w:r>
        <w:rPr>
          <w:rFonts w:ascii="Times New Roman" w:hAnsi="Times New Roman" w:cs="Times New Roman"/>
          <w:sz w:val="20"/>
          <w:szCs w:val="20"/>
        </w:rPr>
        <w:t>home_win</w:t>
      </w:r>
      <w:proofErr w:type="spellEnd"/>
      <w:r>
        <w:rPr>
          <w:rFonts w:ascii="Times New Roman" w:hAnsi="Times New Roman" w:cs="Times New Roman"/>
          <w:sz w:val="20"/>
          <w:szCs w:val="20"/>
        </w:rPr>
        <w:t>.</w:t>
      </w:r>
    </w:p>
    <w:p w14:paraId="2DA7F4EC" w14:textId="77777777" w:rsidR="00402E6F" w:rsidRDefault="00402E6F" w:rsidP="00785C9C">
      <w:pPr>
        <w:spacing w:line="240" w:lineRule="auto"/>
        <w:ind w:firstLine="0"/>
        <w:rPr>
          <w:rFonts w:ascii="Times New Roman" w:hAnsi="Times New Roman" w:cs="Times New Roman"/>
          <w:sz w:val="20"/>
          <w:szCs w:val="20"/>
        </w:rPr>
      </w:pPr>
    </w:p>
    <w:p w14:paraId="071E503A" w14:textId="71B2B09E" w:rsidR="00402E6F" w:rsidRPr="004524A7" w:rsidRDefault="00402E6F" w:rsidP="00785C9C">
      <w:pPr>
        <w:spacing w:line="240" w:lineRule="auto"/>
        <w:ind w:firstLine="0"/>
        <w:rPr>
          <w:rFonts w:ascii="Times New Roman" w:hAnsi="Times New Roman" w:cs="Times New Roman"/>
          <w:b/>
          <w:bCs/>
          <w:sz w:val="20"/>
          <w:szCs w:val="20"/>
        </w:rPr>
      </w:pPr>
      <w:r w:rsidRPr="004524A7">
        <w:rPr>
          <w:rFonts w:ascii="Times New Roman" w:hAnsi="Times New Roman" w:cs="Times New Roman"/>
          <w:b/>
          <w:bCs/>
          <w:sz w:val="20"/>
          <w:szCs w:val="20"/>
        </w:rPr>
        <w:t>4.2 Experimental Design</w:t>
      </w:r>
    </w:p>
    <w:p w14:paraId="6641FE14" w14:textId="77777777" w:rsidR="00402E6F" w:rsidRDefault="00402E6F" w:rsidP="00785C9C">
      <w:pPr>
        <w:spacing w:line="240" w:lineRule="auto"/>
        <w:ind w:firstLine="0"/>
        <w:rPr>
          <w:rFonts w:ascii="Times New Roman" w:hAnsi="Times New Roman" w:cs="Times New Roman"/>
          <w:sz w:val="20"/>
          <w:szCs w:val="20"/>
        </w:rPr>
      </w:pPr>
    </w:p>
    <w:p w14:paraId="0E7B59F5" w14:textId="0C893BCD"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The primary experiment used a walk-forward, expanding season-rollover design (</w:t>
      </w:r>
      <w:r>
        <w:rPr>
          <w:rFonts w:ascii="Times New Roman" w:hAnsi="Times New Roman" w:cs="Times New Roman"/>
          <w:sz w:val="20"/>
          <w:szCs w:val="20"/>
        </w:rPr>
        <w:t xml:space="preserve">see </w:t>
      </w:r>
      <w:r w:rsidRPr="00D31110">
        <w:rPr>
          <w:rFonts w:ascii="Times New Roman" w:hAnsi="Times New Roman" w:cs="Times New Roman"/>
          <w:b/>
          <w:bCs/>
          <w:sz w:val="20"/>
          <w:szCs w:val="20"/>
        </w:rPr>
        <w:t>Figure 3a</w:t>
      </w:r>
      <w:r w:rsidRPr="00D31110">
        <w:rPr>
          <w:rFonts w:ascii="Times New Roman" w:hAnsi="Times New Roman" w:cs="Times New Roman"/>
          <w:sz w:val="20"/>
          <w:szCs w:val="20"/>
        </w:rPr>
        <w:t>). In each iteration, earlier seasons formed the outer training block and the next season served as the outer test season. Within each outer training block, the most recent season was used as an inner validation season for hyperparameter tuning, while all earlier seasons formed the inner training subset. The selected model was then refit on the full outer training block and evaluated once on the untouched outer test season.</w:t>
      </w:r>
    </w:p>
    <w:p w14:paraId="2D36D12A" w14:textId="77777777" w:rsidR="00D31110" w:rsidRPr="00D31110" w:rsidRDefault="00D31110" w:rsidP="00D31110">
      <w:pPr>
        <w:spacing w:line="240" w:lineRule="auto"/>
        <w:ind w:firstLine="0"/>
        <w:rPr>
          <w:rFonts w:ascii="Times New Roman" w:hAnsi="Times New Roman" w:cs="Times New Roman"/>
          <w:sz w:val="20"/>
          <w:szCs w:val="20"/>
        </w:rPr>
      </w:pPr>
    </w:p>
    <w:p w14:paraId="5F1D96F9" w14:textId="155D7EE7" w:rsidR="002652D6"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 xml:space="preserve">A second experiment served as a robustness check. After the expanding-window analysis identified the preferred models, those models were rerun under fixed-width rolling season windows (see </w:t>
      </w:r>
      <w:r w:rsidRPr="00D31110">
        <w:rPr>
          <w:rFonts w:ascii="Times New Roman" w:hAnsi="Times New Roman" w:cs="Times New Roman"/>
          <w:b/>
          <w:bCs/>
          <w:sz w:val="20"/>
          <w:szCs w:val="20"/>
        </w:rPr>
        <w:t>Figures 3b</w:t>
      </w:r>
      <w:r w:rsidRPr="00D31110">
        <w:rPr>
          <w:rFonts w:ascii="Times New Roman" w:hAnsi="Times New Roman" w:cs="Times New Roman"/>
          <w:sz w:val="20"/>
          <w:szCs w:val="20"/>
        </w:rPr>
        <w:t xml:space="preserve"> &amp; </w:t>
      </w:r>
      <w:r w:rsidRPr="00D31110">
        <w:rPr>
          <w:rFonts w:ascii="Times New Roman" w:hAnsi="Times New Roman" w:cs="Times New Roman"/>
          <w:b/>
          <w:bCs/>
          <w:sz w:val="20"/>
          <w:szCs w:val="20"/>
        </w:rPr>
        <w:t>3c</w:t>
      </w:r>
      <w:r w:rsidRPr="00D31110">
        <w:rPr>
          <w:rFonts w:ascii="Times New Roman" w:hAnsi="Times New Roman" w:cs="Times New Roman"/>
          <w:sz w:val="20"/>
          <w:szCs w:val="20"/>
        </w:rPr>
        <w:t>). The goal was to test whether recency-only training improved on the broader historical memory of the expanding-window design</w:t>
      </w:r>
    </w:p>
    <w:p w14:paraId="10E912B0" w14:textId="77777777" w:rsidR="00C12F2E" w:rsidRDefault="00C12F2E" w:rsidP="00785C9C">
      <w:pPr>
        <w:spacing w:line="240" w:lineRule="auto"/>
        <w:ind w:firstLine="0"/>
        <w:rPr>
          <w:rFonts w:ascii="Times New Roman" w:hAnsi="Times New Roman" w:cs="Times New Roman"/>
          <w:sz w:val="20"/>
          <w:szCs w:val="20"/>
        </w:rPr>
      </w:pPr>
    </w:p>
    <w:p w14:paraId="66096501" w14:textId="619FC306" w:rsidR="00233391" w:rsidRDefault="002652D6" w:rsidP="00785C9C">
      <w:pPr>
        <w:spacing w:line="240" w:lineRule="auto"/>
        <w:ind w:firstLine="0"/>
        <w:rPr>
          <w:rFonts w:ascii="Times New Roman" w:hAnsi="Times New Roman" w:cs="Times New Roman"/>
          <w:sz w:val="20"/>
          <w:szCs w:val="20"/>
        </w:rPr>
      </w:pPr>
      <w:r w:rsidRPr="003652E4">
        <w:rPr>
          <w:rFonts w:ascii="Times New Roman" w:hAnsi="Times New Roman" w:cs="Times New Roman"/>
          <w:noProof/>
          <w:sz w:val="20"/>
          <w:szCs w:val="20"/>
        </w:rPr>
        <w:drawing>
          <wp:inline distT="0" distB="0" distL="0" distR="0" wp14:anchorId="4909A39B" wp14:editId="2FCA9867">
            <wp:extent cx="5943600" cy="892644"/>
            <wp:effectExtent l="0" t="0" r="0" b="0"/>
            <wp:docPr id="13822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39793" name="Picture 1"/>
                    <pic:cNvPicPr/>
                  </pic:nvPicPr>
                  <pic:blipFill>
                    <a:blip r:embed="rId17"/>
                    <a:stretch>
                      <a:fillRect/>
                    </a:stretch>
                  </pic:blipFill>
                  <pic:spPr>
                    <a:xfrm>
                      <a:off x="0" y="0"/>
                      <a:ext cx="5943600" cy="892644"/>
                    </a:xfrm>
                    <a:prstGeom prst="rect">
                      <a:avLst/>
                    </a:prstGeom>
                  </pic:spPr>
                </pic:pic>
              </a:graphicData>
            </a:graphic>
          </wp:inline>
        </w:drawing>
      </w:r>
    </w:p>
    <w:p w14:paraId="741CBC5E" w14:textId="77777777" w:rsidR="00AA22F5" w:rsidRDefault="00AA22F5" w:rsidP="00785C9C">
      <w:pPr>
        <w:spacing w:line="240" w:lineRule="auto"/>
        <w:ind w:firstLine="0"/>
        <w:rPr>
          <w:rFonts w:ascii="Times New Roman" w:hAnsi="Times New Roman" w:cs="Times New Roman"/>
          <w:sz w:val="20"/>
          <w:szCs w:val="20"/>
        </w:rPr>
      </w:pPr>
    </w:p>
    <w:p w14:paraId="47066F4F" w14:textId="0BE58322" w:rsidR="00233391" w:rsidRDefault="00AA22F5" w:rsidP="00785C9C">
      <w:pPr>
        <w:spacing w:line="240" w:lineRule="auto"/>
        <w:ind w:firstLine="0"/>
        <w:rPr>
          <w:rFonts w:ascii="Times New Roman" w:hAnsi="Times New Roman" w:cs="Times New Roman"/>
          <w:sz w:val="20"/>
          <w:szCs w:val="20"/>
        </w:rPr>
      </w:pPr>
      <w:r w:rsidRPr="004524A7">
        <w:rPr>
          <w:rFonts w:ascii="Times New Roman" w:hAnsi="Times New Roman" w:cs="Times New Roman"/>
          <w:b/>
          <w:bCs/>
          <w:sz w:val="20"/>
          <w:szCs w:val="20"/>
        </w:rPr>
        <w:t>Figure 3</w:t>
      </w:r>
      <w:r>
        <w:rPr>
          <w:rFonts w:ascii="Times New Roman" w:hAnsi="Times New Roman" w:cs="Times New Roman"/>
          <w:sz w:val="20"/>
          <w:szCs w:val="20"/>
        </w:rPr>
        <w:t>: Graphical depiction of the three season window designs. a) expanding windows, b) fixed 3-season windows, c) fixed 5-season windows.</w:t>
      </w:r>
    </w:p>
    <w:p w14:paraId="086B9DCA" w14:textId="77777777" w:rsidR="00233391" w:rsidRDefault="00233391" w:rsidP="00785C9C">
      <w:pPr>
        <w:spacing w:line="240" w:lineRule="auto"/>
        <w:ind w:firstLine="0"/>
        <w:rPr>
          <w:rFonts w:ascii="Times New Roman" w:hAnsi="Times New Roman" w:cs="Times New Roman"/>
          <w:sz w:val="20"/>
          <w:szCs w:val="20"/>
        </w:rPr>
      </w:pPr>
    </w:p>
    <w:p w14:paraId="0E00FB16" w14:textId="120687B6" w:rsidR="00233391" w:rsidRPr="004524A7" w:rsidRDefault="00233391" w:rsidP="00785C9C">
      <w:pPr>
        <w:spacing w:line="240" w:lineRule="auto"/>
        <w:ind w:firstLine="0"/>
        <w:rPr>
          <w:rFonts w:ascii="Times New Roman" w:hAnsi="Times New Roman" w:cs="Times New Roman"/>
          <w:b/>
          <w:bCs/>
          <w:sz w:val="20"/>
          <w:szCs w:val="20"/>
        </w:rPr>
      </w:pPr>
      <w:r w:rsidRPr="004524A7">
        <w:rPr>
          <w:rFonts w:ascii="Times New Roman" w:hAnsi="Times New Roman" w:cs="Times New Roman"/>
          <w:b/>
          <w:bCs/>
          <w:sz w:val="20"/>
          <w:szCs w:val="20"/>
        </w:rPr>
        <w:t>4.3 Candidate Models and Metrics</w:t>
      </w:r>
    </w:p>
    <w:p w14:paraId="19C04903" w14:textId="77777777" w:rsidR="00233391" w:rsidRDefault="00233391" w:rsidP="00785C9C">
      <w:pPr>
        <w:spacing w:line="240" w:lineRule="auto"/>
        <w:ind w:firstLine="0"/>
        <w:rPr>
          <w:rFonts w:ascii="Times New Roman" w:hAnsi="Times New Roman" w:cs="Times New Roman"/>
          <w:sz w:val="20"/>
          <w:szCs w:val="20"/>
        </w:rPr>
      </w:pPr>
    </w:p>
    <w:p w14:paraId="64D2CE7E" w14:textId="11594557" w:rsidR="00013B47" w:rsidRDefault="00D31110" w:rsidP="00785C9C">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The primary experiment compared six candidate models: Logistic L1, Logistic L2, Logistic Elastic Net, Support Vector Classifier, Random Forest, and Gradient Boosted Classifier. Models were evaluated by ranking quality (AUC), probability quality (log loss, Brier score, calibration), threshold behavior (accuracy, precision, recall, F1, specificity, and balanced accuracy), and train-test gaps as an overfitting check. All six model families were evaluated across all six feature tiers under expanding windows, and the two preferred regularized logistic models were then re-evaluated across the same tiers under fixed 3-season and fixed 5-season windows.</w:t>
      </w:r>
    </w:p>
    <w:p w14:paraId="5E8AB711" w14:textId="77777777" w:rsidR="00D31110" w:rsidRDefault="00D31110" w:rsidP="00785C9C">
      <w:pPr>
        <w:spacing w:line="240" w:lineRule="auto"/>
        <w:ind w:firstLine="0"/>
        <w:rPr>
          <w:rFonts w:ascii="Times New Roman" w:hAnsi="Times New Roman" w:cs="Times New Roman"/>
          <w:sz w:val="20"/>
          <w:szCs w:val="20"/>
        </w:rPr>
      </w:pPr>
    </w:p>
    <w:p w14:paraId="7EB7F8AE" w14:textId="31689C7C" w:rsidR="00DC2242" w:rsidRPr="004524A7" w:rsidRDefault="00DC2242" w:rsidP="00785C9C">
      <w:pPr>
        <w:spacing w:line="240" w:lineRule="auto"/>
        <w:ind w:firstLine="0"/>
        <w:rPr>
          <w:rFonts w:ascii="Times New Roman" w:hAnsi="Times New Roman" w:cs="Times New Roman"/>
          <w:b/>
          <w:bCs/>
          <w:sz w:val="20"/>
          <w:szCs w:val="20"/>
        </w:rPr>
      </w:pPr>
      <w:r w:rsidRPr="004524A7">
        <w:rPr>
          <w:rFonts w:ascii="Times New Roman" w:hAnsi="Times New Roman" w:cs="Times New Roman"/>
          <w:b/>
          <w:bCs/>
          <w:sz w:val="20"/>
          <w:szCs w:val="20"/>
        </w:rPr>
        <w:t>4.4 Results</w:t>
      </w:r>
    </w:p>
    <w:p w14:paraId="0A44E7C1" w14:textId="77777777" w:rsidR="00DC2242" w:rsidRDefault="00DC2242" w:rsidP="00785C9C">
      <w:pPr>
        <w:spacing w:line="240" w:lineRule="auto"/>
        <w:ind w:firstLine="0"/>
        <w:rPr>
          <w:rFonts w:ascii="Times New Roman" w:hAnsi="Times New Roman" w:cs="Times New Roman"/>
          <w:sz w:val="20"/>
          <w:szCs w:val="20"/>
        </w:rPr>
      </w:pPr>
    </w:p>
    <w:p w14:paraId="66AB693E" w14:textId="30ACFE0B"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 xml:space="preserve">Across the expanding-window analysis, the regularized logistic models formed the strongest overall group. </w:t>
      </w:r>
      <w:r w:rsidR="00DF3285">
        <w:rPr>
          <w:rFonts w:ascii="Times New Roman" w:hAnsi="Times New Roman" w:cs="Times New Roman"/>
          <w:sz w:val="20"/>
          <w:szCs w:val="20"/>
        </w:rPr>
        <w:t xml:space="preserve">Logistic L2 had </w:t>
      </w:r>
      <w:proofErr w:type="spellStart"/>
      <w:r w:rsidR="00DF3285">
        <w:rPr>
          <w:rFonts w:ascii="Times New Roman" w:hAnsi="Times New Roman" w:cs="Times New Roman"/>
          <w:sz w:val="20"/>
          <w:szCs w:val="20"/>
        </w:rPr>
        <w:t>the</w:t>
      </w:r>
      <w:r w:rsidRPr="00D31110">
        <w:rPr>
          <w:rFonts w:ascii="Times New Roman" w:hAnsi="Times New Roman" w:cs="Times New Roman"/>
          <w:sz w:val="20"/>
          <w:szCs w:val="20"/>
        </w:rPr>
        <w:t>The</w:t>
      </w:r>
      <w:proofErr w:type="spellEnd"/>
      <w:r w:rsidRPr="00D31110">
        <w:rPr>
          <w:rFonts w:ascii="Times New Roman" w:hAnsi="Times New Roman" w:cs="Times New Roman"/>
          <w:sz w:val="20"/>
          <w:szCs w:val="20"/>
        </w:rPr>
        <w:t xml:space="preserve"> best held-out discrimination on the full feature set (mean test AUC = 0.788), with Logistic L1, Logistic Elastic Net, and the support vector classifier close behind. Random forest and gradient boosted </w:t>
      </w:r>
      <w:proofErr w:type="gramStart"/>
      <w:r w:rsidRPr="00D31110">
        <w:rPr>
          <w:rFonts w:ascii="Times New Roman" w:hAnsi="Times New Roman" w:cs="Times New Roman"/>
          <w:sz w:val="20"/>
          <w:szCs w:val="20"/>
        </w:rPr>
        <w:t>classifier  exhibited</w:t>
      </w:r>
      <w:proofErr w:type="gramEnd"/>
      <w:r w:rsidRPr="00D31110">
        <w:rPr>
          <w:rFonts w:ascii="Times New Roman" w:hAnsi="Times New Roman" w:cs="Times New Roman"/>
          <w:sz w:val="20"/>
          <w:szCs w:val="20"/>
        </w:rPr>
        <w:t xml:space="preserve"> much larger train-test gaps, indicating greater overfitting.</w:t>
      </w:r>
    </w:p>
    <w:p w14:paraId="58F16EFA" w14:textId="77777777" w:rsidR="00D31110" w:rsidRPr="00D31110" w:rsidRDefault="00D31110" w:rsidP="00D31110">
      <w:pPr>
        <w:spacing w:line="240" w:lineRule="auto"/>
        <w:ind w:firstLine="0"/>
        <w:rPr>
          <w:rFonts w:ascii="Times New Roman" w:hAnsi="Times New Roman" w:cs="Times New Roman"/>
          <w:sz w:val="20"/>
          <w:szCs w:val="20"/>
        </w:rPr>
      </w:pPr>
    </w:p>
    <w:p w14:paraId="5F809834" w14:textId="4DF2D90E" w:rsidR="00D31110" w:rsidRPr="00D31110" w:rsidRDefault="00DF3285" w:rsidP="00D31110">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For the </w:t>
      </w:r>
      <w:r w:rsidR="00D31110" w:rsidRPr="00D31110">
        <w:rPr>
          <w:rFonts w:ascii="Times New Roman" w:hAnsi="Times New Roman" w:cs="Times New Roman"/>
          <w:sz w:val="20"/>
          <w:szCs w:val="20"/>
        </w:rPr>
        <w:t xml:space="preserve">tiered results </w:t>
      </w:r>
      <w:r>
        <w:rPr>
          <w:rFonts w:ascii="Times New Roman" w:hAnsi="Times New Roman" w:cs="Times New Roman"/>
          <w:sz w:val="20"/>
          <w:szCs w:val="20"/>
        </w:rPr>
        <w:t>p</w:t>
      </w:r>
      <w:r w:rsidR="00D31110" w:rsidRPr="00D31110">
        <w:rPr>
          <w:rFonts w:ascii="Times New Roman" w:hAnsi="Times New Roman" w:cs="Times New Roman"/>
          <w:sz w:val="20"/>
          <w:szCs w:val="20"/>
        </w:rPr>
        <w:t xml:space="preserve">redictive performance improved in a highly consistent </w:t>
      </w:r>
      <w:r>
        <w:rPr>
          <w:rFonts w:ascii="Times New Roman" w:hAnsi="Times New Roman" w:cs="Times New Roman"/>
          <w:sz w:val="20"/>
          <w:szCs w:val="20"/>
        </w:rPr>
        <w:t xml:space="preserve">manner: </w:t>
      </w:r>
      <w:r w:rsidR="00D31110" w:rsidRPr="00D31110">
        <w:rPr>
          <w:rFonts w:ascii="Times New Roman" w:hAnsi="Times New Roman" w:cs="Times New Roman"/>
          <w:sz w:val="20"/>
          <w:szCs w:val="20"/>
        </w:rPr>
        <w:t xml:space="preserve"> baseline was weakest, matchup added only a small gain, talent added a clearer gain, performance produced the largest jump, </w:t>
      </w:r>
      <w:proofErr w:type="spellStart"/>
      <w:r w:rsidR="00D31110" w:rsidRPr="00D31110">
        <w:rPr>
          <w:rFonts w:ascii="Times New Roman" w:hAnsi="Times New Roman" w:cs="Times New Roman"/>
          <w:sz w:val="20"/>
          <w:szCs w:val="20"/>
        </w:rPr>
        <w:t>baseline_talent_performance</w:t>
      </w:r>
      <w:proofErr w:type="spellEnd"/>
      <w:r w:rsidR="00D31110" w:rsidRPr="00D31110">
        <w:rPr>
          <w:rFonts w:ascii="Times New Roman" w:hAnsi="Times New Roman" w:cs="Times New Roman"/>
          <w:sz w:val="20"/>
          <w:szCs w:val="20"/>
        </w:rPr>
        <w:t xml:space="preserve"> came close to the top, and the full tier performed best overall</w:t>
      </w:r>
      <w:r>
        <w:rPr>
          <w:rFonts w:ascii="Times New Roman" w:hAnsi="Times New Roman" w:cs="Times New Roman"/>
          <w:sz w:val="20"/>
          <w:szCs w:val="20"/>
        </w:rPr>
        <w:t xml:space="preserve"> (see Figure 4).</w:t>
      </w:r>
      <w:r w:rsidR="00D31110" w:rsidRPr="00D31110">
        <w:rPr>
          <w:rFonts w:ascii="Times New Roman" w:hAnsi="Times New Roman" w:cs="Times New Roman"/>
          <w:sz w:val="20"/>
          <w:szCs w:val="20"/>
        </w:rPr>
        <w:t xml:space="preserve"> </w:t>
      </w:r>
      <w:r>
        <w:rPr>
          <w:rFonts w:ascii="Times New Roman" w:hAnsi="Times New Roman" w:cs="Times New Roman"/>
          <w:sz w:val="20"/>
          <w:szCs w:val="20"/>
        </w:rPr>
        <w:t>T</w:t>
      </w:r>
      <w:r w:rsidR="00D31110" w:rsidRPr="00D31110">
        <w:rPr>
          <w:rFonts w:ascii="Times New Roman" w:hAnsi="Times New Roman" w:cs="Times New Roman"/>
          <w:sz w:val="20"/>
          <w:szCs w:val="20"/>
        </w:rPr>
        <w:t xml:space="preserve">he full tier only slightly exceeded </w:t>
      </w:r>
      <w:proofErr w:type="spellStart"/>
      <w:r w:rsidR="00D31110" w:rsidRPr="00D31110">
        <w:rPr>
          <w:rFonts w:ascii="Times New Roman" w:hAnsi="Times New Roman" w:cs="Times New Roman"/>
          <w:sz w:val="20"/>
          <w:szCs w:val="20"/>
        </w:rPr>
        <w:t>baseline_talent_performance</w:t>
      </w:r>
      <w:proofErr w:type="spellEnd"/>
      <w:r w:rsidR="00D31110" w:rsidRPr="00D31110">
        <w:rPr>
          <w:rFonts w:ascii="Times New Roman" w:hAnsi="Times New Roman" w:cs="Times New Roman"/>
          <w:sz w:val="20"/>
          <w:szCs w:val="20"/>
        </w:rPr>
        <w:t>, indicating that most of the predictive value came from context, talent, and especially season-to-date performance rather than matchup features alone.</w:t>
      </w:r>
      <w:r>
        <w:rPr>
          <w:rFonts w:ascii="Times New Roman" w:hAnsi="Times New Roman" w:cs="Times New Roman"/>
          <w:sz w:val="20"/>
          <w:szCs w:val="20"/>
        </w:rPr>
        <w:t xml:space="preserve"> This </w:t>
      </w:r>
      <w:r w:rsidR="00D31110" w:rsidRPr="00D31110">
        <w:rPr>
          <w:rFonts w:ascii="Times New Roman" w:hAnsi="Times New Roman" w:cs="Times New Roman"/>
          <w:sz w:val="20"/>
          <w:szCs w:val="20"/>
        </w:rPr>
        <w:t>ordering hel</w:t>
      </w:r>
      <w:r>
        <w:rPr>
          <w:rFonts w:ascii="Times New Roman" w:hAnsi="Times New Roman" w:cs="Times New Roman"/>
          <w:sz w:val="20"/>
          <w:szCs w:val="20"/>
        </w:rPr>
        <w:t xml:space="preserve">d </w:t>
      </w:r>
      <w:r w:rsidR="00D31110" w:rsidRPr="00D31110">
        <w:rPr>
          <w:rFonts w:ascii="Times New Roman" w:hAnsi="Times New Roman" w:cs="Times New Roman"/>
          <w:sz w:val="20"/>
          <w:szCs w:val="20"/>
        </w:rPr>
        <w:t>across the expanding-window comparison, suggesting it reflects a real property of the data</w:t>
      </w:r>
      <w:r>
        <w:rPr>
          <w:rFonts w:ascii="Times New Roman" w:hAnsi="Times New Roman" w:cs="Times New Roman"/>
          <w:sz w:val="20"/>
          <w:szCs w:val="20"/>
        </w:rPr>
        <w:t>.</w:t>
      </w:r>
    </w:p>
    <w:p w14:paraId="18BF4D42" w14:textId="77777777" w:rsidR="00DF3285" w:rsidRDefault="00DF3285" w:rsidP="00D31110">
      <w:pPr>
        <w:spacing w:line="240" w:lineRule="auto"/>
        <w:ind w:firstLine="0"/>
        <w:rPr>
          <w:rFonts w:ascii="Times New Roman" w:hAnsi="Times New Roman" w:cs="Times New Roman"/>
          <w:sz w:val="20"/>
          <w:szCs w:val="20"/>
        </w:rPr>
      </w:pPr>
    </w:p>
    <w:p w14:paraId="635BF1DC" w14:textId="6DBA2235" w:rsidR="00D31110" w:rsidRPr="00D31110" w:rsidRDefault="00DF3285"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The consistency of the tier ordering across expanding, fixed 3-season, and fixed 5-season designs is one of the central results of the study. Together, Figures 4 and 5 show that older seasons continued to contribute useful predictive structure rather than simply diluting the signal</w:t>
      </w:r>
      <w:r w:rsidRPr="001D06E9">
        <w:rPr>
          <w:rFonts w:ascii="Times New Roman" w:hAnsi="Times New Roman" w:cs="Times New Roman"/>
          <w:sz w:val="20"/>
          <w:szCs w:val="20"/>
        </w:rPr>
        <w:t>.</w:t>
      </w:r>
    </w:p>
    <w:p w14:paraId="6AA3F9FB" w14:textId="77777777" w:rsidR="00DF3285" w:rsidRDefault="00DF3285" w:rsidP="00D31110">
      <w:pPr>
        <w:spacing w:line="240" w:lineRule="auto"/>
        <w:ind w:firstLine="0"/>
        <w:rPr>
          <w:rFonts w:ascii="Times New Roman" w:hAnsi="Times New Roman" w:cs="Times New Roman"/>
          <w:sz w:val="20"/>
          <w:szCs w:val="20"/>
        </w:rPr>
      </w:pPr>
    </w:p>
    <w:p w14:paraId="4636B598" w14:textId="7E039625" w:rsidR="001D06E9"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The fixed-width analyses reinforced the same conclusions. Under both fixed 3-season and fixed 5-season windows, the same tier ordering reappeared and the full tier again performed best overall. Under fixed 3, the best result came from full + Logistic L2 (mean test AUC = 0.782), closely followed by Elastic Net; under fixed 5, the same pattern held. Figure 4 compares the best full-tier results across the three window designs and shows that expanding windows remained best overall, fixed 5 stayed close, and fixed 3 was generally weakest</w:t>
      </w:r>
      <w:r w:rsidR="00013B47" w:rsidRPr="00013B47">
        <w:rPr>
          <w:rFonts w:ascii="Times New Roman" w:hAnsi="Times New Roman" w:cs="Times New Roman"/>
          <w:sz w:val="20"/>
          <w:szCs w:val="20"/>
        </w:rPr>
        <w:t>.</w:t>
      </w:r>
    </w:p>
    <w:p w14:paraId="78CA7AA2" w14:textId="77777777" w:rsidR="00DF3285" w:rsidRDefault="00DF3285" w:rsidP="00D31110">
      <w:pPr>
        <w:spacing w:line="240" w:lineRule="auto"/>
        <w:ind w:firstLine="0"/>
        <w:rPr>
          <w:rFonts w:ascii="Times New Roman" w:hAnsi="Times New Roman" w:cs="Times New Roman"/>
          <w:sz w:val="20"/>
          <w:szCs w:val="20"/>
        </w:rPr>
      </w:pPr>
    </w:p>
    <w:p w14:paraId="5A5A7262" w14:textId="5AE2F35D" w:rsidR="00DF3285" w:rsidRDefault="00DF3285" w:rsidP="00DF3285">
      <w:pPr>
        <w:spacing w:line="240" w:lineRule="auto"/>
        <w:ind w:firstLine="0"/>
        <w:jc w:val="center"/>
        <w:rPr>
          <w:rFonts w:ascii="Times New Roman" w:hAnsi="Times New Roman" w:cs="Times New Roman"/>
          <w:sz w:val="20"/>
          <w:szCs w:val="20"/>
        </w:rPr>
      </w:pPr>
      <w:r w:rsidRPr="002652D6">
        <w:rPr>
          <w:rFonts w:ascii="Times New Roman" w:hAnsi="Times New Roman" w:cs="Times New Roman"/>
          <w:noProof/>
          <w:sz w:val="20"/>
          <w:szCs w:val="20"/>
        </w:rPr>
        <w:drawing>
          <wp:inline distT="0" distB="0" distL="0" distR="0" wp14:anchorId="4F9F27DA" wp14:editId="27C8B3B5">
            <wp:extent cx="2914650" cy="1594808"/>
            <wp:effectExtent l="0" t="0" r="0" b="5715"/>
            <wp:docPr id="1038162722" name="Picture 10">
              <a:extLst xmlns:a="http://schemas.openxmlformats.org/drawingml/2006/main">
                <a:ext uri="{FF2B5EF4-FFF2-40B4-BE49-F238E27FC236}">
                  <a16:creationId xmlns:a16="http://schemas.microsoft.com/office/drawing/2014/main" id="{50B3A005-CD5B-A8FB-B9E9-7DB0415E2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0B3A005-CD5B-A8FB-B9E9-7DB0415E2D14}"/>
                        </a:ext>
                      </a:extLst>
                    </pic:cNvPr>
                    <pic:cNvPicPr>
                      <a:picLocks noChangeAspect="1"/>
                    </pic:cNvPicPr>
                  </pic:nvPicPr>
                  <pic:blipFill>
                    <a:blip r:embed="rId18"/>
                    <a:srcRect/>
                    <a:stretch/>
                  </pic:blipFill>
                  <pic:spPr>
                    <a:xfrm>
                      <a:off x="0" y="0"/>
                      <a:ext cx="2947376" cy="1612715"/>
                    </a:xfrm>
                    <a:prstGeom prst="rect">
                      <a:avLst/>
                    </a:prstGeom>
                  </pic:spPr>
                </pic:pic>
              </a:graphicData>
            </a:graphic>
          </wp:inline>
        </w:drawing>
      </w:r>
    </w:p>
    <w:p w14:paraId="22A09DDE" w14:textId="77777777" w:rsidR="00DF3285" w:rsidRDefault="00DF3285" w:rsidP="00D31110">
      <w:pPr>
        <w:spacing w:line="240" w:lineRule="auto"/>
        <w:ind w:firstLine="0"/>
        <w:rPr>
          <w:rFonts w:ascii="Times New Roman" w:hAnsi="Times New Roman" w:cs="Times New Roman"/>
          <w:sz w:val="20"/>
          <w:szCs w:val="20"/>
        </w:rPr>
      </w:pPr>
    </w:p>
    <w:p w14:paraId="367344F5" w14:textId="76F35BD0" w:rsidR="00DF3285" w:rsidRDefault="00DF3285" w:rsidP="00D31110">
      <w:pPr>
        <w:spacing w:line="240" w:lineRule="auto"/>
        <w:ind w:firstLine="0"/>
        <w:rPr>
          <w:rFonts w:ascii="Times New Roman" w:hAnsi="Times New Roman" w:cs="Times New Roman"/>
          <w:sz w:val="20"/>
          <w:szCs w:val="20"/>
        </w:rPr>
      </w:pPr>
      <w:r w:rsidRPr="00DF3285">
        <w:rPr>
          <w:rFonts w:ascii="Times New Roman" w:hAnsi="Times New Roman" w:cs="Times New Roman"/>
          <w:b/>
          <w:bCs/>
          <w:sz w:val="20"/>
          <w:szCs w:val="20"/>
        </w:rPr>
        <w:t>Figure 4</w:t>
      </w:r>
      <w:r>
        <w:rPr>
          <w:rFonts w:ascii="Times New Roman" w:hAnsi="Times New Roman" w:cs="Times New Roman"/>
          <w:sz w:val="20"/>
          <w:szCs w:val="20"/>
        </w:rPr>
        <w:t>: Line chart depicting Best Mean Test AUC by Feature Tier and Window Design. Expanding performed best and each window design followed the same pattern regarding feature tier set.</w:t>
      </w:r>
    </w:p>
    <w:p w14:paraId="0F5D7D48" w14:textId="77777777" w:rsidR="00DF3285" w:rsidRDefault="00DF3285" w:rsidP="00D31110">
      <w:pPr>
        <w:spacing w:line="240" w:lineRule="auto"/>
        <w:ind w:firstLine="0"/>
        <w:rPr>
          <w:rFonts w:ascii="Times New Roman" w:hAnsi="Times New Roman" w:cs="Times New Roman"/>
          <w:sz w:val="20"/>
          <w:szCs w:val="20"/>
        </w:rPr>
      </w:pPr>
    </w:p>
    <w:p w14:paraId="45F1BD49" w14:textId="42AC0ED8" w:rsidR="00DF3285" w:rsidRDefault="00DF3285" w:rsidP="00D31110">
      <w:pPr>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Evaluating the preferred models (Logistic L2 and Logistic </w:t>
      </w:r>
      <w:proofErr w:type="spellStart"/>
      <w:r>
        <w:rPr>
          <w:rFonts w:ascii="Times New Roman" w:hAnsi="Times New Roman" w:cs="Times New Roman"/>
          <w:sz w:val="20"/>
          <w:szCs w:val="20"/>
        </w:rPr>
        <w:t>ElasticNet</w:t>
      </w:r>
      <w:proofErr w:type="spellEnd"/>
      <w:r>
        <w:rPr>
          <w:rFonts w:ascii="Times New Roman" w:hAnsi="Times New Roman" w:cs="Times New Roman"/>
          <w:sz w:val="20"/>
          <w:szCs w:val="20"/>
        </w:rPr>
        <w:t xml:space="preserve">) across the windows, the expanding window yielded superior performance. This indicates that predictive power is </w:t>
      </w:r>
      <w:r w:rsidR="00AB0335">
        <w:rPr>
          <w:rFonts w:ascii="Times New Roman" w:hAnsi="Times New Roman" w:cs="Times New Roman"/>
          <w:sz w:val="20"/>
          <w:szCs w:val="20"/>
        </w:rPr>
        <w:t>enhanced with greater historical context.</w:t>
      </w:r>
    </w:p>
    <w:p w14:paraId="59249B43" w14:textId="77777777" w:rsidR="00DF3285" w:rsidRDefault="00DF3285" w:rsidP="00D31110">
      <w:pPr>
        <w:spacing w:line="240" w:lineRule="auto"/>
        <w:ind w:firstLine="0"/>
        <w:rPr>
          <w:rFonts w:ascii="Times New Roman" w:hAnsi="Times New Roman" w:cs="Times New Roman"/>
          <w:sz w:val="20"/>
          <w:szCs w:val="20"/>
        </w:rPr>
      </w:pPr>
    </w:p>
    <w:p w14:paraId="60013511" w14:textId="22CDD612" w:rsidR="002652D6" w:rsidRDefault="002652D6" w:rsidP="004524A7">
      <w:pPr>
        <w:spacing w:line="240" w:lineRule="auto"/>
        <w:ind w:firstLine="0"/>
        <w:jc w:val="center"/>
        <w:rPr>
          <w:rFonts w:ascii="Times New Roman" w:hAnsi="Times New Roman" w:cs="Times New Roman"/>
          <w:sz w:val="20"/>
          <w:szCs w:val="20"/>
        </w:rPr>
      </w:pPr>
      <w:r w:rsidRPr="002652D6">
        <w:rPr>
          <w:rFonts w:ascii="Times New Roman" w:hAnsi="Times New Roman" w:cs="Times New Roman"/>
          <w:noProof/>
          <w:sz w:val="20"/>
          <w:szCs w:val="20"/>
        </w:rPr>
        <w:drawing>
          <wp:inline distT="0" distB="0" distL="0" distR="0" wp14:anchorId="4D9A43B5" wp14:editId="1644BA24">
            <wp:extent cx="2924269" cy="1737189"/>
            <wp:effectExtent l="0" t="0" r="0" b="3175"/>
            <wp:docPr id="9" name="Picture 8">
              <a:extLst xmlns:a="http://schemas.openxmlformats.org/drawingml/2006/main">
                <a:ext uri="{FF2B5EF4-FFF2-40B4-BE49-F238E27FC236}">
                  <a16:creationId xmlns:a16="http://schemas.microsoft.com/office/drawing/2014/main" id="{78132064-4F31-C144-F6BE-071868D82C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8132064-4F31-C144-F6BE-071868D82C33}"/>
                        </a:ext>
                      </a:extLst>
                    </pic:cNvPr>
                    <pic:cNvPicPr>
                      <a:picLocks noChangeAspect="1"/>
                    </pic:cNvPicPr>
                  </pic:nvPicPr>
                  <pic:blipFill>
                    <a:blip r:embed="rId19"/>
                    <a:srcRect/>
                    <a:stretch/>
                  </pic:blipFill>
                  <pic:spPr>
                    <a:xfrm>
                      <a:off x="0" y="0"/>
                      <a:ext cx="2955212" cy="1755571"/>
                    </a:xfrm>
                    <a:prstGeom prst="rect">
                      <a:avLst/>
                    </a:prstGeom>
                  </pic:spPr>
                </pic:pic>
              </a:graphicData>
            </a:graphic>
          </wp:inline>
        </w:drawing>
      </w:r>
    </w:p>
    <w:p w14:paraId="1D417E75" w14:textId="77777777" w:rsidR="004524A7" w:rsidRDefault="004524A7" w:rsidP="004524A7">
      <w:pPr>
        <w:spacing w:line="240" w:lineRule="auto"/>
        <w:ind w:firstLine="0"/>
        <w:jc w:val="center"/>
        <w:rPr>
          <w:rFonts w:ascii="Times New Roman" w:hAnsi="Times New Roman" w:cs="Times New Roman"/>
          <w:sz w:val="20"/>
          <w:szCs w:val="20"/>
        </w:rPr>
      </w:pPr>
    </w:p>
    <w:p w14:paraId="45E3518C" w14:textId="47F22522" w:rsidR="004524A7" w:rsidRPr="001D06E9" w:rsidRDefault="004524A7" w:rsidP="004524A7">
      <w:pPr>
        <w:spacing w:line="240" w:lineRule="auto"/>
        <w:ind w:firstLine="0"/>
        <w:jc w:val="center"/>
        <w:rPr>
          <w:rFonts w:ascii="Times New Roman" w:hAnsi="Times New Roman" w:cs="Times New Roman"/>
          <w:sz w:val="20"/>
          <w:szCs w:val="20"/>
        </w:rPr>
      </w:pPr>
      <w:r w:rsidRPr="004524A7">
        <w:rPr>
          <w:rFonts w:ascii="Times New Roman" w:hAnsi="Times New Roman" w:cs="Times New Roman"/>
          <w:b/>
          <w:bCs/>
          <w:sz w:val="20"/>
          <w:szCs w:val="20"/>
        </w:rPr>
        <w:lastRenderedPageBreak/>
        <w:t xml:space="preserve">Figure </w:t>
      </w:r>
      <w:r w:rsidR="00DF3285">
        <w:rPr>
          <w:rFonts w:ascii="Times New Roman" w:hAnsi="Times New Roman" w:cs="Times New Roman"/>
          <w:b/>
          <w:bCs/>
          <w:sz w:val="20"/>
          <w:szCs w:val="20"/>
        </w:rPr>
        <w:t>5</w:t>
      </w:r>
      <w:r>
        <w:rPr>
          <w:rFonts w:ascii="Times New Roman" w:hAnsi="Times New Roman" w:cs="Times New Roman"/>
          <w:sz w:val="20"/>
          <w:szCs w:val="20"/>
        </w:rPr>
        <w:t>: Bar chart depicting the best Full Tier Mean Test AUC by Window Design. Expanding performed best</w:t>
      </w:r>
    </w:p>
    <w:p w14:paraId="505159A7" w14:textId="77777777" w:rsidR="00D44D8E" w:rsidRDefault="00D44D8E" w:rsidP="00785C9C">
      <w:pPr>
        <w:spacing w:line="240" w:lineRule="auto"/>
        <w:ind w:firstLine="0"/>
        <w:rPr>
          <w:rFonts w:ascii="Times New Roman" w:hAnsi="Times New Roman" w:cs="Times New Roman"/>
          <w:sz w:val="20"/>
          <w:szCs w:val="20"/>
        </w:rPr>
      </w:pPr>
    </w:p>
    <w:p w14:paraId="1FE1296E" w14:textId="1E7797FD" w:rsidR="00D44D8E" w:rsidRPr="004524A7" w:rsidRDefault="00D44D8E" w:rsidP="00785C9C">
      <w:pPr>
        <w:spacing w:line="240" w:lineRule="auto"/>
        <w:ind w:firstLine="0"/>
        <w:rPr>
          <w:rFonts w:ascii="Times New Roman" w:hAnsi="Times New Roman" w:cs="Times New Roman"/>
          <w:b/>
          <w:bCs/>
          <w:sz w:val="20"/>
          <w:szCs w:val="20"/>
        </w:rPr>
      </w:pPr>
      <w:r w:rsidRPr="004524A7">
        <w:rPr>
          <w:rFonts w:ascii="Times New Roman" w:hAnsi="Times New Roman" w:cs="Times New Roman"/>
          <w:b/>
          <w:bCs/>
          <w:sz w:val="20"/>
          <w:szCs w:val="20"/>
        </w:rPr>
        <w:t>4.5 Features</w:t>
      </w:r>
    </w:p>
    <w:p w14:paraId="5F837BC1" w14:textId="77777777" w:rsidR="00D44D8E" w:rsidRDefault="00D44D8E" w:rsidP="00785C9C">
      <w:pPr>
        <w:spacing w:line="240" w:lineRule="auto"/>
        <w:ind w:firstLine="0"/>
        <w:rPr>
          <w:rFonts w:ascii="Times New Roman" w:hAnsi="Times New Roman" w:cs="Times New Roman"/>
          <w:sz w:val="20"/>
          <w:szCs w:val="20"/>
        </w:rPr>
      </w:pPr>
    </w:p>
    <w:p w14:paraId="4DD21868" w14:textId="67A65272" w:rsidR="00D44D8E" w:rsidRDefault="00AB0335" w:rsidP="00D31110">
      <w:pPr>
        <w:spacing w:line="240" w:lineRule="auto"/>
        <w:ind w:firstLine="0"/>
        <w:rPr>
          <w:rFonts w:ascii="Times New Roman" w:hAnsi="Times New Roman" w:cs="Times New Roman"/>
          <w:sz w:val="20"/>
          <w:szCs w:val="20"/>
        </w:rPr>
      </w:pPr>
      <w:r>
        <w:rPr>
          <w:rFonts w:ascii="Times New Roman" w:hAnsi="Times New Roman" w:cs="Times New Roman"/>
          <w:sz w:val="20"/>
          <w:szCs w:val="20"/>
        </w:rPr>
        <w:t>It was</w:t>
      </w:r>
      <w:r w:rsidR="00D31110" w:rsidRPr="00D31110">
        <w:rPr>
          <w:rFonts w:ascii="Times New Roman" w:hAnsi="Times New Roman" w:cs="Times New Roman"/>
          <w:sz w:val="20"/>
          <w:szCs w:val="20"/>
        </w:rPr>
        <w:t xml:space="preserve"> important to determine which pregame features were most useful. Across the expanding-window results</w:t>
      </w:r>
      <w:r w:rsidR="00A500D3">
        <w:rPr>
          <w:rFonts w:ascii="Times New Roman" w:hAnsi="Times New Roman" w:cs="Times New Roman"/>
          <w:sz w:val="20"/>
          <w:szCs w:val="20"/>
        </w:rPr>
        <w:t xml:space="preserve">, </w:t>
      </w:r>
      <w:r>
        <w:rPr>
          <w:rFonts w:ascii="Times New Roman" w:hAnsi="Times New Roman" w:cs="Times New Roman"/>
          <w:sz w:val="20"/>
          <w:szCs w:val="20"/>
        </w:rPr>
        <w:t>season</w:t>
      </w:r>
      <w:r w:rsidR="00D31110" w:rsidRPr="00D31110">
        <w:rPr>
          <w:rFonts w:ascii="Times New Roman" w:hAnsi="Times New Roman" w:cs="Times New Roman"/>
          <w:sz w:val="20"/>
          <w:szCs w:val="20"/>
        </w:rPr>
        <w:t xml:space="preserve">-to-date performance provided the strongest </w:t>
      </w:r>
      <w:r>
        <w:rPr>
          <w:rFonts w:ascii="Times New Roman" w:hAnsi="Times New Roman" w:cs="Times New Roman"/>
          <w:sz w:val="20"/>
          <w:szCs w:val="20"/>
        </w:rPr>
        <w:t xml:space="preserve">predictive </w:t>
      </w:r>
      <w:r w:rsidR="00D31110" w:rsidRPr="00D31110">
        <w:rPr>
          <w:rFonts w:ascii="Times New Roman" w:hAnsi="Times New Roman" w:cs="Times New Roman"/>
          <w:sz w:val="20"/>
          <w:szCs w:val="20"/>
        </w:rPr>
        <w:t>signal</w:t>
      </w:r>
      <w:r>
        <w:rPr>
          <w:rFonts w:ascii="Times New Roman" w:hAnsi="Times New Roman" w:cs="Times New Roman"/>
          <w:sz w:val="20"/>
          <w:szCs w:val="20"/>
        </w:rPr>
        <w:t xml:space="preserve">. </w:t>
      </w:r>
      <w:r w:rsidR="00D31110" w:rsidRPr="00D31110">
        <w:rPr>
          <w:rFonts w:ascii="Times New Roman" w:hAnsi="Times New Roman" w:cs="Times New Roman"/>
          <w:sz w:val="20"/>
          <w:szCs w:val="20"/>
        </w:rPr>
        <w:t>The strongest and most stable predictors clustered around rank advantage, scoring-margin differentials, recent-form margin, points-for production, and recruiting-based talent differences</w:t>
      </w:r>
      <w:r>
        <w:rPr>
          <w:rFonts w:ascii="Times New Roman" w:hAnsi="Times New Roman" w:cs="Times New Roman"/>
          <w:sz w:val="20"/>
          <w:szCs w:val="20"/>
        </w:rPr>
        <w:t xml:space="preserve"> (see </w:t>
      </w:r>
      <w:r w:rsidRPr="00AB0335">
        <w:rPr>
          <w:rFonts w:ascii="Times New Roman" w:hAnsi="Times New Roman" w:cs="Times New Roman"/>
          <w:b/>
          <w:bCs/>
          <w:sz w:val="20"/>
          <w:szCs w:val="20"/>
        </w:rPr>
        <w:t xml:space="preserve">Table </w:t>
      </w:r>
      <w:r w:rsidR="00105CAA">
        <w:rPr>
          <w:rFonts w:ascii="Times New Roman" w:hAnsi="Times New Roman" w:cs="Times New Roman"/>
          <w:b/>
          <w:bCs/>
          <w:sz w:val="20"/>
          <w:szCs w:val="20"/>
        </w:rPr>
        <w:t>3</w:t>
      </w:r>
      <w:r w:rsidRPr="00AB0335">
        <w:rPr>
          <w:rFonts w:ascii="Times New Roman" w:hAnsi="Times New Roman" w:cs="Times New Roman"/>
          <w:b/>
          <w:bCs/>
          <w:sz w:val="20"/>
          <w:szCs w:val="20"/>
        </w:rPr>
        <w:t>).</w:t>
      </w:r>
    </w:p>
    <w:p w14:paraId="7A0CAF12" w14:textId="77777777" w:rsidR="004524A7" w:rsidRDefault="004524A7" w:rsidP="00D44D8E">
      <w:pPr>
        <w:spacing w:line="240" w:lineRule="auto"/>
        <w:ind w:firstLine="0"/>
        <w:rPr>
          <w:rFonts w:ascii="Times New Roman" w:hAnsi="Times New Roman" w:cs="Times New Roman"/>
          <w:sz w:val="20"/>
          <w:szCs w:val="20"/>
        </w:rPr>
      </w:pPr>
    </w:p>
    <w:p w14:paraId="031022A0" w14:textId="42820DE9" w:rsidR="004524A7" w:rsidRDefault="004524A7" w:rsidP="004524A7">
      <w:pPr>
        <w:spacing w:line="240" w:lineRule="auto"/>
        <w:ind w:firstLine="0"/>
        <w:jc w:val="center"/>
        <w:rPr>
          <w:rFonts w:ascii="Times New Roman" w:hAnsi="Times New Roman" w:cs="Times New Roman"/>
          <w:sz w:val="20"/>
          <w:szCs w:val="20"/>
        </w:rPr>
      </w:pPr>
      <w:r w:rsidRPr="004524A7">
        <w:rPr>
          <w:rFonts w:ascii="Times New Roman" w:hAnsi="Times New Roman" w:cs="Times New Roman"/>
          <w:b/>
          <w:bCs/>
          <w:sz w:val="20"/>
          <w:szCs w:val="20"/>
        </w:rPr>
        <w:t xml:space="preserve">Table </w:t>
      </w:r>
      <w:r w:rsidR="00105CAA">
        <w:rPr>
          <w:rFonts w:ascii="Times New Roman" w:hAnsi="Times New Roman" w:cs="Times New Roman"/>
          <w:b/>
          <w:bCs/>
          <w:sz w:val="20"/>
          <w:szCs w:val="20"/>
        </w:rPr>
        <w:t>3</w:t>
      </w:r>
      <w:r>
        <w:rPr>
          <w:rFonts w:ascii="Times New Roman" w:hAnsi="Times New Roman" w:cs="Times New Roman"/>
          <w:sz w:val="20"/>
          <w:szCs w:val="20"/>
        </w:rPr>
        <w:t>: Useful features across analyses, what they represent in football terms and how they are interpreted</w:t>
      </w:r>
    </w:p>
    <w:p w14:paraId="7B747DBD" w14:textId="77777777" w:rsidR="001E653E" w:rsidRDefault="001E653E" w:rsidP="00D44D8E">
      <w:pPr>
        <w:spacing w:line="240" w:lineRule="auto"/>
        <w:ind w:firstLine="0"/>
        <w:rPr>
          <w:rFonts w:ascii="Times New Roman" w:hAnsi="Times New Roman" w:cs="Times New Roman"/>
          <w:sz w:val="20"/>
          <w:szCs w:val="20"/>
        </w:rPr>
      </w:pPr>
    </w:p>
    <w:p w14:paraId="4C164ABA" w14:textId="20344CAD" w:rsidR="001E653E" w:rsidRPr="00D44D8E" w:rsidRDefault="001E653E" w:rsidP="004524A7">
      <w:pPr>
        <w:spacing w:line="240" w:lineRule="auto"/>
        <w:ind w:firstLine="0"/>
        <w:jc w:val="center"/>
        <w:rPr>
          <w:rFonts w:ascii="Times New Roman" w:hAnsi="Times New Roman" w:cs="Times New Roman"/>
          <w:sz w:val="20"/>
          <w:szCs w:val="20"/>
        </w:rPr>
      </w:pPr>
      <w:r w:rsidRPr="001E653E">
        <w:rPr>
          <w:rFonts w:ascii="Times New Roman" w:hAnsi="Times New Roman" w:cs="Times New Roman"/>
          <w:noProof/>
          <w:sz w:val="20"/>
          <w:szCs w:val="20"/>
        </w:rPr>
        <w:drawing>
          <wp:inline distT="0" distB="0" distL="0" distR="0" wp14:anchorId="116E494A" wp14:editId="0DE6A9D6">
            <wp:extent cx="2882096" cy="998264"/>
            <wp:effectExtent l="0" t="0" r="1270" b="5080"/>
            <wp:docPr id="56344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46417" name=""/>
                    <pic:cNvPicPr/>
                  </pic:nvPicPr>
                  <pic:blipFill>
                    <a:blip r:embed="rId20"/>
                    <a:stretch>
                      <a:fillRect/>
                    </a:stretch>
                  </pic:blipFill>
                  <pic:spPr>
                    <a:xfrm>
                      <a:off x="0" y="0"/>
                      <a:ext cx="2965214" cy="1027054"/>
                    </a:xfrm>
                    <a:prstGeom prst="rect">
                      <a:avLst/>
                    </a:prstGeom>
                  </pic:spPr>
                </pic:pic>
              </a:graphicData>
            </a:graphic>
          </wp:inline>
        </w:drawing>
      </w:r>
    </w:p>
    <w:p w14:paraId="0FFF2C45" w14:textId="77777777" w:rsidR="00D44D8E" w:rsidRPr="00D44D8E" w:rsidRDefault="00D44D8E" w:rsidP="00D44D8E">
      <w:pPr>
        <w:spacing w:line="240" w:lineRule="auto"/>
        <w:ind w:firstLine="0"/>
        <w:rPr>
          <w:rFonts w:ascii="Times New Roman" w:hAnsi="Times New Roman" w:cs="Times New Roman"/>
          <w:sz w:val="20"/>
          <w:szCs w:val="20"/>
        </w:rPr>
      </w:pPr>
    </w:p>
    <w:p w14:paraId="041B688D" w14:textId="1B64BD11"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Rank advantage was one of the strongest predictors in every preferred model, indicating that ranking status continued to carry real information after controlling for roster quality and season-to-date performance. A stronger ranking profile for the home team generally increased the estimated probability of a home win.</w:t>
      </w:r>
    </w:p>
    <w:p w14:paraId="2A86AE15" w14:textId="77777777" w:rsidR="00D31110" w:rsidRPr="00D31110" w:rsidRDefault="00D31110" w:rsidP="00D31110">
      <w:pPr>
        <w:spacing w:line="240" w:lineRule="auto"/>
        <w:ind w:firstLine="0"/>
        <w:rPr>
          <w:rFonts w:ascii="Times New Roman" w:hAnsi="Times New Roman" w:cs="Times New Roman"/>
          <w:sz w:val="20"/>
          <w:szCs w:val="20"/>
        </w:rPr>
      </w:pPr>
    </w:p>
    <w:p w14:paraId="0BD132B3" w14:textId="77777777"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 xml:space="preserve">Season-to-date scoring margin was one of the most valuable compact summaries of team strength. Both </w:t>
      </w:r>
      <w:proofErr w:type="spellStart"/>
      <w:r w:rsidRPr="00D31110">
        <w:rPr>
          <w:rFonts w:ascii="Times New Roman" w:hAnsi="Times New Roman" w:cs="Times New Roman"/>
          <w:sz w:val="20"/>
          <w:szCs w:val="20"/>
        </w:rPr>
        <w:t>margin_pre_mean_diff</w:t>
      </w:r>
      <w:proofErr w:type="spellEnd"/>
      <w:r w:rsidRPr="00D31110">
        <w:rPr>
          <w:rFonts w:ascii="Times New Roman" w:hAnsi="Times New Roman" w:cs="Times New Roman"/>
          <w:sz w:val="20"/>
          <w:szCs w:val="20"/>
        </w:rPr>
        <w:t xml:space="preserve"> and margin_pre_last3_diff remained influential, implying that decisive current-season performance was more informative than win-loss record alone.</w:t>
      </w:r>
    </w:p>
    <w:p w14:paraId="7392B30C" w14:textId="77777777" w:rsidR="00D31110" w:rsidRPr="00D31110" w:rsidRDefault="00D31110" w:rsidP="00D31110">
      <w:pPr>
        <w:spacing w:line="240" w:lineRule="auto"/>
        <w:ind w:firstLine="0"/>
        <w:rPr>
          <w:rFonts w:ascii="Times New Roman" w:hAnsi="Times New Roman" w:cs="Times New Roman"/>
          <w:sz w:val="20"/>
          <w:szCs w:val="20"/>
        </w:rPr>
      </w:pPr>
    </w:p>
    <w:p w14:paraId="5DEBD223" w14:textId="77777777"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Offensive production and efficiency variables were important supporting predictors. Teams entering a matchup with stronger points-for and efficiency profiles were more likely to win, while variables reflecting opponent production allowed moved in the opposite direction. Together, these features suggest the preferred models were learning broad current offensive and defensive quality rather than relying only on static roster information.</w:t>
      </w:r>
    </w:p>
    <w:p w14:paraId="3AE96F71" w14:textId="77777777" w:rsidR="00D31110" w:rsidRPr="00D31110" w:rsidRDefault="00D31110" w:rsidP="00D31110">
      <w:pPr>
        <w:spacing w:line="240" w:lineRule="auto"/>
        <w:ind w:firstLine="0"/>
        <w:rPr>
          <w:rFonts w:ascii="Times New Roman" w:hAnsi="Times New Roman" w:cs="Times New Roman"/>
          <w:sz w:val="20"/>
          <w:szCs w:val="20"/>
        </w:rPr>
      </w:pPr>
    </w:p>
    <w:p w14:paraId="28651D04" w14:textId="77777777"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 xml:space="preserve">Talent variables added meaningful value, but less than realized in-season performance. Recruiting-based priors captured a team’s longer-run ceiling or baseline strength, while season-to-date box score histories better captured who that team had </w:t>
      </w:r>
      <w:proofErr w:type="gramStart"/>
      <w:r w:rsidRPr="00D31110">
        <w:rPr>
          <w:rFonts w:ascii="Times New Roman" w:hAnsi="Times New Roman" w:cs="Times New Roman"/>
          <w:sz w:val="20"/>
          <w:szCs w:val="20"/>
        </w:rPr>
        <w:t>actually been</w:t>
      </w:r>
      <w:proofErr w:type="gramEnd"/>
      <w:r w:rsidRPr="00D31110">
        <w:rPr>
          <w:rFonts w:ascii="Times New Roman" w:hAnsi="Times New Roman" w:cs="Times New Roman"/>
          <w:sz w:val="20"/>
          <w:szCs w:val="20"/>
        </w:rPr>
        <w:t xml:space="preserve"> in the current season.</w:t>
      </w:r>
    </w:p>
    <w:p w14:paraId="7C559A17" w14:textId="77777777" w:rsidR="00D31110" w:rsidRPr="00D31110" w:rsidRDefault="00D31110" w:rsidP="00D31110">
      <w:pPr>
        <w:spacing w:line="240" w:lineRule="auto"/>
        <w:ind w:firstLine="0"/>
        <w:rPr>
          <w:rFonts w:ascii="Times New Roman" w:hAnsi="Times New Roman" w:cs="Times New Roman"/>
          <w:sz w:val="20"/>
          <w:szCs w:val="20"/>
        </w:rPr>
      </w:pPr>
    </w:p>
    <w:p w14:paraId="16508DAB" w14:textId="313C55EC" w:rsidR="00D31110" w:rsidRPr="00D31110"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 xml:space="preserve">Coefficient interpretation should be treated as conditional rather than causal because many predictors are correlated by construction. </w:t>
      </w:r>
      <w:r w:rsidRPr="00AB0335">
        <w:rPr>
          <w:rFonts w:ascii="Times New Roman" w:hAnsi="Times New Roman" w:cs="Times New Roman"/>
          <w:b/>
          <w:bCs/>
          <w:sz w:val="20"/>
          <w:szCs w:val="20"/>
        </w:rPr>
        <w:t xml:space="preserve">Tables </w:t>
      </w:r>
      <w:r w:rsidR="00105CAA">
        <w:rPr>
          <w:rFonts w:ascii="Times New Roman" w:hAnsi="Times New Roman" w:cs="Times New Roman"/>
          <w:b/>
          <w:bCs/>
          <w:sz w:val="20"/>
          <w:szCs w:val="20"/>
        </w:rPr>
        <w:t>4</w:t>
      </w:r>
      <w:r w:rsidRPr="00D31110">
        <w:rPr>
          <w:rFonts w:ascii="Times New Roman" w:hAnsi="Times New Roman" w:cs="Times New Roman"/>
          <w:sz w:val="20"/>
          <w:szCs w:val="20"/>
        </w:rPr>
        <w:t xml:space="preserve"> and </w:t>
      </w:r>
      <w:r w:rsidR="00105CAA">
        <w:rPr>
          <w:rFonts w:ascii="Times New Roman" w:hAnsi="Times New Roman" w:cs="Times New Roman"/>
          <w:b/>
          <w:bCs/>
          <w:sz w:val="20"/>
          <w:szCs w:val="20"/>
        </w:rPr>
        <w:t>5</w:t>
      </w:r>
      <w:r w:rsidRPr="00AB0335">
        <w:rPr>
          <w:rFonts w:ascii="Times New Roman" w:hAnsi="Times New Roman" w:cs="Times New Roman"/>
          <w:sz w:val="20"/>
          <w:szCs w:val="20"/>
        </w:rPr>
        <w:t xml:space="preserve"> </w:t>
      </w:r>
      <w:r w:rsidRPr="00D31110">
        <w:rPr>
          <w:rFonts w:ascii="Times New Roman" w:hAnsi="Times New Roman" w:cs="Times New Roman"/>
          <w:sz w:val="20"/>
          <w:szCs w:val="20"/>
        </w:rPr>
        <w:t>report the preferred-model coefficients and model-family performance summaries.</w:t>
      </w:r>
      <w:r w:rsidR="00AB0335">
        <w:rPr>
          <w:rFonts w:ascii="Times New Roman" w:hAnsi="Times New Roman" w:cs="Times New Roman"/>
          <w:sz w:val="20"/>
          <w:szCs w:val="20"/>
        </w:rPr>
        <w:t xml:space="preserve"> </w:t>
      </w:r>
      <w:r w:rsidRPr="00D31110">
        <w:rPr>
          <w:rFonts w:ascii="Times New Roman" w:hAnsi="Times New Roman" w:cs="Times New Roman"/>
          <w:sz w:val="20"/>
          <w:szCs w:val="20"/>
        </w:rPr>
        <w:t>The fixed-width analyses reinforced the same substantive conclusions.</w:t>
      </w:r>
    </w:p>
    <w:p w14:paraId="2B578EEC" w14:textId="77777777" w:rsidR="00D31110" w:rsidRPr="00D31110" w:rsidRDefault="00D31110" w:rsidP="00D31110">
      <w:pPr>
        <w:spacing w:line="240" w:lineRule="auto"/>
        <w:ind w:firstLine="0"/>
        <w:rPr>
          <w:rFonts w:ascii="Times New Roman" w:hAnsi="Times New Roman" w:cs="Times New Roman"/>
          <w:sz w:val="20"/>
          <w:szCs w:val="20"/>
        </w:rPr>
      </w:pPr>
    </w:p>
    <w:p w14:paraId="060D539F" w14:textId="0D968C57" w:rsidR="00D44D8E"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 xml:space="preserve">Overall, the feature interpretation results support a coherent football conclusion: </w:t>
      </w:r>
      <w:r w:rsidR="00AB0335">
        <w:rPr>
          <w:rFonts w:ascii="Times New Roman" w:hAnsi="Times New Roman" w:cs="Times New Roman"/>
          <w:sz w:val="20"/>
          <w:szCs w:val="20"/>
        </w:rPr>
        <w:t>t</w:t>
      </w:r>
      <w:r w:rsidRPr="00D31110">
        <w:rPr>
          <w:rFonts w:ascii="Times New Roman" w:hAnsi="Times New Roman" w:cs="Times New Roman"/>
          <w:sz w:val="20"/>
          <w:szCs w:val="20"/>
        </w:rPr>
        <w:t>eams that entered a game with stronger ranking profiles, recruiting-based talent profiles, scoring-margin advantages, and offensive production summaries were systematically more likely to win.</w:t>
      </w:r>
    </w:p>
    <w:p w14:paraId="0E24CF1D" w14:textId="77777777" w:rsidR="004524A7" w:rsidRDefault="004524A7" w:rsidP="00D44D8E">
      <w:pPr>
        <w:spacing w:line="240" w:lineRule="auto"/>
        <w:ind w:firstLine="0"/>
        <w:rPr>
          <w:rFonts w:ascii="Times New Roman" w:hAnsi="Times New Roman" w:cs="Times New Roman"/>
          <w:sz w:val="20"/>
          <w:szCs w:val="20"/>
        </w:rPr>
      </w:pPr>
    </w:p>
    <w:p w14:paraId="2F83F5FD" w14:textId="039CB4D3" w:rsidR="004524A7" w:rsidRDefault="004524A7" w:rsidP="004524A7">
      <w:pPr>
        <w:spacing w:line="240" w:lineRule="auto"/>
        <w:ind w:firstLine="0"/>
        <w:jc w:val="center"/>
        <w:rPr>
          <w:rFonts w:ascii="Times New Roman" w:hAnsi="Times New Roman" w:cs="Times New Roman"/>
          <w:sz w:val="20"/>
          <w:szCs w:val="20"/>
        </w:rPr>
      </w:pPr>
      <w:r w:rsidRPr="004524A7">
        <w:rPr>
          <w:rFonts w:ascii="Times New Roman" w:hAnsi="Times New Roman" w:cs="Times New Roman"/>
          <w:b/>
          <w:bCs/>
          <w:sz w:val="20"/>
          <w:szCs w:val="20"/>
        </w:rPr>
        <w:t xml:space="preserve">Table </w:t>
      </w:r>
      <w:r w:rsidR="00105CAA">
        <w:rPr>
          <w:rFonts w:ascii="Times New Roman" w:hAnsi="Times New Roman" w:cs="Times New Roman"/>
          <w:b/>
          <w:bCs/>
          <w:sz w:val="20"/>
          <w:szCs w:val="20"/>
        </w:rPr>
        <w:t>4</w:t>
      </w:r>
      <w:r>
        <w:rPr>
          <w:rFonts w:ascii="Times New Roman" w:hAnsi="Times New Roman" w:cs="Times New Roman"/>
          <w:sz w:val="20"/>
          <w:szCs w:val="20"/>
        </w:rPr>
        <w:t>: Feature coefficients for the two preferred models by window designs</w:t>
      </w:r>
    </w:p>
    <w:p w14:paraId="02B68C9B" w14:textId="77777777" w:rsidR="00722C65" w:rsidRDefault="00722C65" w:rsidP="00D44D8E">
      <w:pPr>
        <w:spacing w:line="240" w:lineRule="auto"/>
        <w:ind w:firstLine="0"/>
        <w:rPr>
          <w:rFonts w:ascii="Times New Roman" w:hAnsi="Times New Roman" w:cs="Times New Roman"/>
          <w:sz w:val="20"/>
          <w:szCs w:val="20"/>
        </w:rPr>
      </w:pPr>
    </w:p>
    <w:p w14:paraId="293DDCDD" w14:textId="6AAE1372" w:rsidR="00722C65" w:rsidRDefault="00722C65" w:rsidP="004524A7">
      <w:pPr>
        <w:spacing w:line="240" w:lineRule="auto"/>
        <w:ind w:firstLine="0"/>
        <w:jc w:val="center"/>
        <w:rPr>
          <w:rFonts w:ascii="Times New Roman" w:hAnsi="Times New Roman" w:cs="Times New Roman"/>
          <w:sz w:val="20"/>
          <w:szCs w:val="20"/>
        </w:rPr>
      </w:pPr>
      <w:r w:rsidRPr="00722C65">
        <w:rPr>
          <w:rFonts w:ascii="Times New Roman" w:hAnsi="Times New Roman" w:cs="Times New Roman"/>
          <w:noProof/>
          <w:sz w:val="20"/>
          <w:szCs w:val="20"/>
        </w:rPr>
        <w:lastRenderedPageBreak/>
        <w:drawing>
          <wp:inline distT="0" distB="0" distL="0" distR="0" wp14:anchorId="332CFB92" wp14:editId="0AC34E26">
            <wp:extent cx="2766349" cy="1966919"/>
            <wp:effectExtent l="0" t="0" r="2540" b="1905"/>
            <wp:docPr id="71387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1108" name="Picture 1"/>
                    <pic:cNvPicPr/>
                  </pic:nvPicPr>
                  <pic:blipFill>
                    <a:blip r:embed="rId21"/>
                    <a:stretch>
                      <a:fillRect/>
                    </a:stretch>
                  </pic:blipFill>
                  <pic:spPr>
                    <a:xfrm>
                      <a:off x="0" y="0"/>
                      <a:ext cx="2779763" cy="1976457"/>
                    </a:xfrm>
                    <a:prstGeom prst="rect">
                      <a:avLst/>
                    </a:prstGeom>
                  </pic:spPr>
                </pic:pic>
              </a:graphicData>
            </a:graphic>
          </wp:inline>
        </w:drawing>
      </w:r>
    </w:p>
    <w:p w14:paraId="4C9DB5FE" w14:textId="1BA4FBF1" w:rsidR="004524A7" w:rsidRDefault="004524A7" w:rsidP="004524A7">
      <w:pPr>
        <w:spacing w:line="240" w:lineRule="auto"/>
        <w:ind w:firstLine="0"/>
        <w:jc w:val="center"/>
        <w:rPr>
          <w:rFonts w:ascii="Times New Roman" w:hAnsi="Times New Roman" w:cs="Times New Roman"/>
          <w:sz w:val="20"/>
          <w:szCs w:val="20"/>
        </w:rPr>
      </w:pPr>
    </w:p>
    <w:p w14:paraId="06146B44" w14:textId="3F9AABF9" w:rsidR="004524A7" w:rsidRDefault="004524A7" w:rsidP="004524A7">
      <w:pPr>
        <w:spacing w:line="240" w:lineRule="auto"/>
        <w:ind w:firstLine="0"/>
        <w:jc w:val="center"/>
        <w:rPr>
          <w:rFonts w:ascii="Times New Roman" w:hAnsi="Times New Roman" w:cs="Times New Roman"/>
          <w:sz w:val="20"/>
          <w:szCs w:val="20"/>
        </w:rPr>
      </w:pPr>
      <w:r w:rsidRPr="004524A7">
        <w:rPr>
          <w:rFonts w:ascii="Times New Roman" w:hAnsi="Times New Roman" w:cs="Times New Roman"/>
          <w:b/>
          <w:bCs/>
          <w:sz w:val="20"/>
          <w:szCs w:val="20"/>
        </w:rPr>
        <w:t xml:space="preserve">Table </w:t>
      </w:r>
      <w:r w:rsidR="00105CAA">
        <w:rPr>
          <w:rFonts w:ascii="Times New Roman" w:hAnsi="Times New Roman" w:cs="Times New Roman"/>
          <w:b/>
          <w:bCs/>
          <w:sz w:val="20"/>
          <w:szCs w:val="20"/>
        </w:rPr>
        <w:t>5</w:t>
      </w:r>
      <w:r>
        <w:rPr>
          <w:rFonts w:ascii="Times New Roman" w:hAnsi="Times New Roman" w:cs="Times New Roman"/>
          <w:sz w:val="20"/>
          <w:szCs w:val="20"/>
        </w:rPr>
        <w:t>: Feature set and model family performance by window designs</w:t>
      </w:r>
    </w:p>
    <w:p w14:paraId="21484677" w14:textId="77777777" w:rsidR="00722C65" w:rsidRDefault="00722C65" w:rsidP="00D44D8E">
      <w:pPr>
        <w:spacing w:line="240" w:lineRule="auto"/>
        <w:ind w:firstLine="0"/>
        <w:rPr>
          <w:rFonts w:ascii="Times New Roman" w:hAnsi="Times New Roman" w:cs="Times New Roman"/>
          <w:sz w:val="20"/>
          <w:szCs w:val="20"/>
        </w:rPr>
      </w:pPr>
    </w:p>
    <w:p w14:paraId="35F04303" w14:textId="7E96DD79" w:rsidR="00722C65" w:rsidRDefault="00722C65" w:rsidP="004524A7">
      <w:pPr>
        <w:spacing w:line="240" w:lineRule="auto"/>
        <w:ind w:firstLine="0"/>
        <w:jc w:val="center"/>
        <w:rPr>
          <w:rFonts w:ascii="Times New Roman" w:hAnsi="Times New Roman" w:cs="Times New Roman"/>
          <w:sz w:val="20"/>
          <w:szCs w:val="20"/>
        </w:rPr>
      </w:pPr>
      <w:r w:rsidRPr="00722C65">
        <w:rPr>
          <w:rFonts w:ascii="Times New Roman" w:hAnsi="Times New Roman" w:cs="Times New Roman"/>
          <w:noProof/>
          <w:sz w:val="20"/>
          <w:szCs w:val="20"/>
        </w:rPr>
        <w:drawing>
          <wp:inline distT="0" distB="0" distL="0" distR="0" wp14:anchorId="7CBB6B15" wp14:editId="15A20D55">
            <wp:extent cx="4722471" cy="2227533"/>
            <wp:effectExtent l="0" t="0" r="2540" b="0"/>
            <wp:docPr id="17025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81482" name=""/>
                    <pic:cNvPicPr/>
                  </pic:nvPicPr>
                  <pic:blipFill>
                    <a:blip r:embed="rId22"/>
                    <a:stretch>
                      <a:fillRect/>
                    </a:stretch>
                  </pic:blipFill>
                  <pic:spPr>
                    <a:xfrm>
                      <a:off x="0" y="0"/>
                      <a:ext cx="4757741" cy="2244169"/>
                    </a:xfrm>
                    <a:prstGeom prst="rect">
                      <a:avLst/>
                    </a:prstGeom>
                  </pic:spPr>
                </pic:pic>
              </a:graphicData>
            </a:graphic>
          </wp:inline>
        </w:drawing>
      </w:r>
    </w:p>
    <w:p w14:paraId="10EAB8E5" w14:textId="77777777" w:rsidR="00D44D8E" w:rsidRPr="00E03E61" w:rsidRDefault="00D44D8E" w:rsidP="00785C9C">
      <w:pPr>
        <w:spacing w:line="240" w:lineRule="auto"/>
        <w:ind w:firstLine="0"/>
        <w:rPr>
          <w:rFonts w:ascii="Times New Roman" w:hAnsi="Times New Roman" w:cs="Times New Roman"/>
          <w:sz w:val="20"/>
          <w:szCs w:val="20"/>
        </w:rPr>
      </w:pPr>
    </w:p>
    <w:p w14:paraId="657895F7" w14:textId="67A7B4E8" w:rsidR="00A81D90" w:rsidRPr="00E03E61" w:rsidRDefault="00E21DE2" w:rsidP="00E21DE2">
      <w:pPr>
        <w:spacing w:line="24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5. </w:t>
      </w:r>
      <w:r w:rsidR="00A81D90" w:rsidRPr="00E03E61">
        <w:rPr>
          <w:rFonts w:ascii="Times New Roman" w:hAnsi="Times New Roman" w:cs="Times New Roman"/>
          <w:b/>
          <w:bCs/>
          <w:sz w:val="24"/>
          <w:szCs w:val="24"/>
        </w:rPr>
        <w:t>Conclusion and Future Work</w:t>
      </w:r>
    </w:p>
    <w:p w14:paraId="0CACC211" w14:textId="77777777" w:rsidR="00E21DE2" w:rsidRDefault="00E21DE2" w:rsidP="00785C9C">
      <w:pPr>
        <w:spacing w:line="240" w:lineRule="auto"/>
        <w:ind w:firstLine="0"/>
        <w:rPr>
          <w:rFonts w:ascii="Times New Roman" w:hAnsi="Times New Roman" w:cs="Times New Roman"/>
          <w:sz w:val="20"/>
          <w:szCs w:val="20"/>
        </w:rPr>
      </w:pPr>
    </w:p>
    <w:p w14:paraId="4D1F0144" w14:textId="153F5FE8" w:rsidR="00B8418D" w:rsidRDefault="00A500D3" w:rsidP="00D31110">
      <w:pPr>
        <w:spacing w:line="240" w:lineRule="auto"/>
        <w:ind w:firstLine="0"/>
        <w:rPr>
          <w:rFonts w:ascii="Times New Roman" w:hAnsi="Times New Roman" w:cs="Times New Roman"/>
          <w:sz w:val="20"/>
          <w:szCs w:val="20"/>
        </w:rPr>
      </w:pPr>
      <w:r w:rsidRPr="00A500D3">
        <w:rPr>
          <w:rFonts w:ascii="Times New Roman" w:hAnsi="Times New Roman" w:cs="Times New Roman"/>
          <w:sz w:val="20"/>
          <w:szCs w:val="20"/>
        </w:rPr>
        <w:t>This analysis examined which pregame features most consistently predict college football winners. Three conclusions stand ou</w:t>
      </w:r>
      <w:r>
        <w:rPr>
          <w:rFonts w:ascii="Times New Roman" w:hAnsi="Times New Roman" w:cs="Times New Roman"/>
          <w:sz w:val="20"/>
          <w:szCs w:val="20"/>
        </w:rPr>
        <w:t>t</w:t>
      </w:r>
      <w:r w:rsidR="00B8418D">
        <w:rPr>
          <w:rFonts w:ascii="Times New Roman" w:hAnsi="Times New Roman" w:cs="Times New Roman"/>
          <w:sz w:val="20"/>
          <w:szCs w:val="20"/>
        </w:rPr>
        <w:t>:</w:t>
      </w:r>
    </w:p>
    <w:p w14:paraId="2DEA71A6" w14:textId="1A8D6368" w:rsidR="00B8418D" w:rsidRPr="00B8418D" w:rsidRDefault="00A500D3" w:rsidP="00B8418D">
      <w:pPr>
        <w:pStyle w:val="ListParagraph"/>
        <w:numPr>
          <w:ilvl w:val="0"/>
          <w:numId w:val="14"/>
        </w:numPr>
        <w:spacing w:line="240" w:lineRule="auto"/>
        <w:rPr>
          <w:rFonts w:ascii="Times New Roman" w:hAnsi="Times New Roman" w:cs="Times New Roman"/>
          <w:sz w:val="20"/>
          <w:szCs w:val="20"/>
        </w:rPr>
      </w:pPr>
      <w:r>
        <w:rPr>
          <w:rFonts w:ascii="Times New Roman" w:hAnsi="Times New Roman" w:cs="Times New Roman"/>
          <w:sz w:val="20"/>
          <w:szCs w:val="20"/>
        </w:rPr>
        <w:t>S</w:t>
      </w:r>
      <w:r w:rsidR="00D31110" w:rsidRPr="00B8418D">
        <w:rPr>
          <w:rFonts w:ascii="Times New Roman" w:hAnsi="Times New Roman" w:cs="Times New Roman"/>
          <w:sz w:val="20"/>
          <w:szCs w:val="20"/>
        </w:rPr>
        <w:t xml:space="preserve">eason-to-date performance </w:t>
      </w:r>
      <w:r>
        <w:rPr>
          <w:rFonts w:ascii="Times New Roman" w:hAnsi="Times New Roman" w:cs="Times New Roman"/>
          <w:sz w:val="20"/>
          <w:szCs w:val="20"/>
        </w:rPr>
        <w:t>was</w:t>
      </w:r>
      <w:r w:rsidR="00D31110" w:rsidRPr="00B8418D">
        <w:rPr>
          <w:rFonts w:ascii="Times New Roman" w:hAnsi="Times New Roman" w:cs="Times New Roman"/>
          <w:sz w:val="20"/>
          <w:szCs w:val="20"/>
        </w:rPr>
        <w:t xml:space="preserve"> the dominant source of predictive lift</w:t>
      </w:r>
    </w:p>
    <w:p w14:paraId="69459F94" w14:textId="32FC83EE" w:rsidR="00B8418D" w:rsidRPr="00B8418D" w:rsidRDefault="00A500D3" w:rsidP="00B8418D">
      <w:pPr>
        <w:pStyle w:val="ListParagraph"/>
        <w:numPr>
          <w:ilvl w:val="0"/>
          <w:numId w:val="14"/>
        </w:numPr>
        <w:spacing w:line="240" w:lineRule="auto"/>
        <w:rPr>
          <w:rFonts w:ascii="Times New Roman" w:hAnsi="Times New Roman" w:cs="Times New Roman"/>
          <w:sz w:val="20"/>
          <w:szCs w:val="20"/>
        </w:rPr>
      </w:pPr>
      <w:r>
        <w:rPr>
          <w:rFonts w:ascii="Times New Roman" w:hAnsi="Times New Roman" w:cs="Times New Roman"/>
          <w:sz w:val="20"/>
          <w:szCs w:val="20"/>
        </w:rPr>
        <w:t>R</w:t>
      </w:r>
      <w:r w:rsidR="00D31110" w:rsidRPr="00B8418D">
        <w:rPr>
          <w:rFonts w:ascii="Times New Roman" w:hAnsi="Times New Roman" w:cs="Times New Roman"/>
          <w:sz w:val="20"/>
          <w:szCs w:val="20"/>
        </w:rPr>
        <w:t>ecruiting-based talent add</w:t>
      </w:r>
      <w:r>
        <w:rPr>
          <w:rFonts w:ascii="Times New Roman" w:hAnsi="Times New Roman" w:cs="Times New Roman"/>
          <w:sz w:val="20"/>
          <w:szCs w:val="20"/>
        </w:rPr>
        <w:t>ed</w:t>
      </w:r>
      <w:r w:rsidR="00D31110" w:rsidRPr="00B8418D">
        <w:rPr>
          <w:rFonts w:ascii="Times New Roman" w:hAnsi="Times New Roman" w:cs="Times New Roman"/>
          <w:sz w:val="20"/>
          <w:szCs w:val="20"/>
        </w:rPr>
        <w:t xml:space="preserve"> meaningful secondary value</w:t>
      </w:r>
    </w:p>
    <w:p w14:paraId="4733AB63" w14:textId="0CD92BE1" w:rsidR="00D31110" w:rsidRPr="00B8418D" w:rsidRDefault="00A500D3" w:rsidP="00B8418D">
      <w:pPr>
        <w:pStyle w:val="ListParagraph"/>
        <w:numPr>
          <w:ilvl w:val="0"/>
          <w:numId w:val="14"/>
        </w:numPr>
        <w:spacing w:line="240" w:lineRule="auto"/>
        <w:rPr>
          <w:rFonts w:ascii="Times New Roman" w:hAnsi="Times New Roman" w:cs="Times New Roman"/>
          <w:sz w:val="20"/>
          <w:szCs w:val="20"/>
        </w:rPr>
      </w:pPr>
      <w:r>
        <w:rPr>
          <w:rFonts w:ascii="Times New Roman" w:hAnsi="Times New Roman" w:cs="Times New Roman"/>
          <w:sz w:val="20"/>
          <w:szCs w:val="20"/>
        </w:rPr>
        <w:t>R</w:t>
      </w:r>
      <w:r w:rsidR="00D31110" w:rsidRPr="00B8418D">
        <w:rPr>
          <w:rFonts w:ascii="Times New Roman" w:hAnsi="Times New Roman" w:cs="Times New Roman"/>
          <w:sz w:val="20"/>
          <w:szCs w:val="20"/>
        </w:rPr>
        <w:t>egularized logistic models outperform</w:t>
      </w:r>
      <w:r>
        <w:rPr>
          <w:rFonts w:ascii="Times New Roman" w:hAnsi="Times New Roman" w:cs="Times New Roman"/>
          <w:sz w:val="20"/>
          <w:szCs w:val="20"/>
        </w:rPr>
        <w:t xml:space="preserve">ed </w:t>
      </w:r>
      <w:r w:rsidR="00D31110" w:rsidRPr="00B8418D">
        <w:rPr>
          <w:rFonts w:ascii="Times New Roman" w:hAnsi="Times New Roman" w:cs="Times New Roman"/>
          <w:sz w:val="20"/>
          <w:szCs w:val="20"/>
        </w:rPr>
        <w:t xml:space="preserve">more flexible nonlinear alternatives </w:t>
      </w:r>
    </w:p>
    <w:p w14:paraId="2442DE3E" w14:textId="77777777" w:rsidR="00D31110" w:rsidRPr="00D31110" w:rsidRDefault="00D31110" w:rsidP="00D31110">
      <w:pPr>
        <w:spacing w:line="240" w:lineRule="auto"/>
        <w:ind w:firstLine="0"/>
        <w:rPr>
          <w:rFonts w:ascii="Times New Roman" w:hAnsi="Times New Roman" w:cs="Times New Roman"/>
          <w:sz w:val="20"/>
          <w:szCs w:val="20"/>
        </w:rPr>
      </w:pPr>
    </w:p>
    <w:p w14:paraId="6A771D8C" w14:textId="7B52B06C" w:rsidR="001D06E9" w:rsidRDefault="00D31110" w:rsidP="00D31110">
      <w:pPr>
        <w:spacing w:line="240" w:lineRule="auto"/>
        <w:ind w:firstLine="0"/>
        <w:rPr>
          <w:rFonts w:ascii="Times New Roman" w:hAnsi="Times New Roman" w:cs="Times New Roman"/>
          <w:sz w:val="20"/>
          <w:szCs w:val="20"/>
        </w:rPr>
      </w:pPr>
      <w:r w:rsidRPr="00D31110">
        <w:rPr>
          <w:rFonts w:ascii="Times New Roman" w:hAnsi="Times New Roman" w:cs="Times New Roman"/>
          <w:sz w:val="20"/>
          <w:szCs w:val="20"/>
        </w:rPr>
        <w:t>Logistic L2 was the strongest overall model because it repeatedly achieved the best or near-best held-out discrimination, maintained relatively small train-test gaps, and remained stable across feature-tier and window-design comparisons. The fixed-width analyses reinforced the case for the expanding-window design</w:t>
      </w:r>
      <w:r w:rsidR="00B8418D">
        <w:rPr>
          <w:rFonts w:ascii="Times New Roman" w:hAnsi="Times New Roman" w:cs="Times New Roman"/>
          <w:sz w:val="20"/>
          <w:szCs w:val="20"/>
        </w:rPr>
        <w:t>.</w:t>
      </w:r>
    </w:p>
    <w:p w14:paraId="29BB2C77" w14:textId="77777777" w:rsidR="001D06E9" w:rsidRDefault="001D06E9" w:rsidP="00785C9C">
      <w:pPr>
        <w:spacing w:line="240" w:lineRule="auto"/>
        <w:ind w:firstLine="0"/>
        <w:rPr>
          <w:rFonts w:ascii="Times New Roman" w:hAnsi="Times New Roman" w:cs="Times New Roman"/>
          <w:sz w:val="20"/>
          <w:szCs w:val="20"/>
        </w:rPr>
      </w:pPr>
    </w:p>
    <w:p w14:paraId="0A01169B" w14:textId="76B570F4" w:rsidR="00726471" w:rsidRDefault="00B57D3C" w:rsidP="00785C9C">
      <w:pPr>
        <w:spacing w:line="240" w:lineRule="auto"/>
        <w:ind w:firstLine="0"/>
        <w:rPr>
          <w:rFonts w:ascii="Times New Roman" w:hAnsi="Times New Roman" w:cs="Times New Roman"/>
          <w:sz w:val="20"/>
          <w:szCs w:val="20"/>
        </w:rPr>
      </w:pPr>
      <w:r>
        <w:rPr>
          <w:rFonts w:ascii="Times New Roman" w:hAnsi="Times New Roman" w:cs="Times New Roman"/>
          <w:sz w:val="20"/>
          <w:szCs w:val="20"/>
        </w:rPr>
        <w:t>Future work should focus on</w:t>
      </w:r>
      <w:r w:rsidR="00726471">
        <w:rPr>
          <w:rFonts w:ascii="Times New Roman" w:hAnsi="Times New Roman" w:cs="Times New Roman"/>
          <w:sz w:val="20"/>
          <w:szCs w:val="20"/>
        </w:rPr>
        <w:t>:</w:t>
      </w:r>
    </w:p>
    <w:p w14:paraId="2D66A893" w14:textId="67FF0A9F" w:rsidR="00726471" w:rsidRPr="00726471" w:rsidRDefault="00726471" w:rsidP="00726471">
      <w:pPr>
        <w:pStyle w:val="ListParagraph"/>
        <w:numPr>
          <w:ilvl w:val="0"/>
          <w:numId w:val="12"/>
        </w:numPr>
        <w:spacing w:line="240" w:lineRule="auto"/>
        <w:rPr>
          <w:rFonts w:ascii="Times New Roman" w:hAnsi="Times New Roman" w:cs="Times New Roman"/>
          <w:sz w:val="20"/>
          <w:szCs w:val="20"/>
        </w:rPr>
      </w:pPr>
      <w:r w:rsidRPr="00726471">
        <w:rPr>
          <w:rFonts w:ascii="Times New Roman" w:hAnsi="Times New Roman" w:cs="Times New Roman"/>
          <w:sz w:val="20"/>
          <w:szCs w:val="20"/>
        </w:rPr>
        <w:t>R</w:t>
      </w:r>
      <w:r w:rsidR="00B57D3C" w:rsidRPr="00726471">
        <w:rPr>
          <w:rFonts w:ascii="Times New Roman" w:hAnsi="Times New Roman" w:cs="Times New Roman"/>
          <w:sz w:val="20"/>
          <w:szCs w:val="20"/>
        </w:rPr>
        <w:t>efining the regularized framework</w:t>
      </w:r>
      <w:r>
        <w:rPr>
          <w:rFonts w:ascii="Times New Roman" w:hAnsi="Times New Roman" w:cs="Times New Roman"/>
          <w:sz w:val="20"/>
          <w:szCs w:val="20"/>
        </w:rPr>
        <w:t xml:space="preserve"> through further hyperparameter tuning</w:t>
      </w:r>
    </w:p>
    <w:p w14:paraId="0745B82C" w14:textId="447CDDAB" w:rsidR="00726471" w:rsidRPr="00726471" w:rsidRDefault="00726471" w:rsidP="00726471">
      <w:pPr>
        <w:pStyle w:val="ListParagraph"/>
        <w:numPr>
          <w:ilvl w:val="0"/>
          <w:numId w:val="12"/>
        </w:numPr>
        <w:spacing w:line="240" w:lineRule="auto"/>
        <w:rPr>
          <w:rFonts w:ascii="Times New Roman" w:hAnsi="Times New Roman" w:cs="Times New Roman"/>
          <w:sz w:val="20"/>
          <w:szCs w:val="20"/>
        </w:rPr>
      </w:pPr>
      <w:r w:rsidRPr="00726471">
        <w:rPr>
          <w:rFonts w:ascii="Times New Roman" w:hAnsi="Times New Roman" w:cs="Times New Roman"/>
          <w:sz w:val="20"/>
          <w:szCs w:val="20"/>
        </w:rPr>
        <w:t>A</w:t>
      </w:r>
      <w:r w:rsidR="00B57D3C" w:rsidRPr="00726471">
        <w:rPr>
          <w:rFonts w:ascii="Times New Roman" w:hAnsi="Times New Roman" w:cs="Times New Roman"/>
          <w:sz w:val="20"/>
          <w:szCs w:val="20"/>
        </w:rPr>
        <w:t>dding opponent-strength adjustments, injury status priors, phase-of-season comparison</w:t>
      </w:r>
      <w:r>
        <w:rPr>
          <w:rFonts w:ascii="Times New Roman" w:hAnsi="Times New Roman" w:cs="Times New Roman"/>
          <w:sz w:val="20"/>
          <w:szCs w:val="20"/>
        </w:rPr>
        <w:t>s</w:t>
      </w:r>
    </w:p>
    <w:p w14:paraId="5A1EED96" w14:textId="680707F2" w:rsidR="00726471" w:rsidRPr="00726471" w:rsidRDefault="00726471" w:rsidP="00726471">
      <w:pPr>
        <w:pStyle w:val="ListParagraph"/>
        <w:numPr>
          <w:ilvl w:val="0"/>
          <w:numId w:val="12"/>
        </w:numPr>
        <w:spacing w:line="240" w:lineRule="auto"/>
        <w:rPr>
          <w:rFonts w:ascii="Times New Roman" w:hAnsi="Times New Roman" w:cs="Times New Roman"/>
          <w:sz w:val="20"/>
          <w:szCs w:val="20"/>
        </w:rPr>
      </w:pPr>
      <w:r w:rsidRPr="00726471">
        <w:rPr>
          <w:rFonts w:ascii="Times New Roman" w:hAnsi="Times New Roman" w:cs="Times New Roman"/>
          <w:sz w:val="20"/>
          <w:szCs w:val="20"/>
        </w:rPr>
        <w:t>Re</w:t>
      </w:r>
      <w:r w:rsidR="00B57D3C" w:rsidRPr="00726471">
        <w:rPr>
          <w:rFonts w:ascii="Times New Roman" w:hAnsi="Times New Roman" w:cs="Times New Roman"/>
          <w:sz w:val="20"/>
          <w:szCs w:val="20"/>
        </w:rPr>
        <w:t>fin</w:t>
      </w:r>
      <w:r w:rsidRPr="00726471">
        <w:rPr>
          <w:rFonts w:ascii="Times New Roman" w:hAnsi="Times New Roman" w:cs="Times New Roman"/>
          <w:sz w:val="20"/>
          <w:szCs w:val="20"/>
        </w:rPr>
        <w:t>ing</w:t>
      </w:r>
      <w:r w:rsidR="00B57D3C" w:rsidRPr="00726471">
        <w:rPr>
          <w:rFonts w:ascii="Times New Roman" w:hAnsi="Times New Roman" w:cs="Times New Roman"/>
          <w:sz w:val="20"/>
          <w:szCs w:val="20"/>
        </w:rPr>
        <w:t xml:space="preserve"> team inclusion criteria</w:t>
      </w:r>
      <w:r w:rsidR="00D00F68">
        <w:rPr>
          <w:rFonts w:ascii="Times New Roman" w:hAnsi="Times New Roman" w:cs="Times New Roman"/>
          <w:sz w:val="20"/>
          <w:szCs w:val="20"/>
        </w:rPr>
        <w:t xml:space="preserve"> due to conference realignments</w:t>
      </w:r>
    </w:p>
    <w:p w14:paraId="40D6CCBE" w14:textId="6EC3C408" w:rsidR="00D00F68" w:rsidRDefault="00726471" w:rsidP="00131ED2">
      <w:pPr>
        <w:pStyle w:val="ListParagraph"/>
        <w:numPr>
          <w:ilvl w:val="0"/>
          <w:numId w:val="12"/>
        </w:numPr>
        <w:spacing w:line="240" w:lineRule="auto"/>
        <w:rPr>
          <w:rFonts w:ascii="Times New Roman" w:hAnsi="Times New Roman" w:cs="Times New Roman"/>
          <w:sz w:val="20"/>
          <w:szCs w:val="20"/>
        </w:rPr>
      </w:pPr>
      <w:r w:rsidRPr="00726471">
        <w:rPr>
          <w:rFonts w:ascii="Times New Roman" w:hAnsi="Times New Roman" w:cs="Times New Roman"/>
          <w:sz w:val="20"/>
          <w:szCs w:val="20"/>
        </w:rPr>
        <w:t xml:space="preserve">Augment team roster talent </w:t>
      </w:r>
      <w:r>
        <w:rPr>
          <w:rFonts w:ascii="Times New Roman" w:hAnsi="Times New Roman" w:cs="Times New Roman"/>
          <w:sz w:val="20"/>
          <w:szCs w:val="20"/>
        </w:rPr>
        <w:t xml:space="preserve">data </w:t>
      </w:r>
      <w:r w:rsidRPr="00726471">
        <w:rPr>
          <w:rFonts w:ascii="Times New Roman" w:hAnsi="Times New Roman" w:cs="Times New Roman"/>
          <w:sz w:val="20"/>
          <w:szCs w:val="20"/>
        </w:rPr>
        <w:t>with transfer player ratings</w:t>
      </w:r>
    </w:p>
    <w:p w14:paraId="232C1F91" w14:textId="612B480B" w:rsidR="0047223A" w:rsidRPr="00D00F68" w:rsidRDefault="00D00F68" w:rsidP="00D00F68">
      <w:pPr>
        <w:spacing w:after="160" w:line="259" w:lineRule="auto"/>
        <w:ind w:firstLine="0"/>
        <w:rPr>
          <w:rFonts w:ascii="Times New Roman" w:hAnsi="Times New Roman" w:cs="Times New Roman"/>
          <w:sz w:val="20"/>
          <w:szCs w:val="20"/>
        </w:rPr>
      </w:pPr>
      <w:r>
        <w:rPr>
          <w:rFonts w:ascii="Times New Roman" w:hAnsi="Times New Roman" w:cs="Times New Roman"/>
          <w:sz w:val="20"/>
          <w:szCs w:val="20"/>
        </w:rPr>
        <w:br w:type="page"/>
      </w:r>
    </w:p>
    <w:p w14:paraId="4A5A4015" w14:textId="3CD374E6" w:rsidR="0047223A" w:rsidRPr="00E03E61" w:rsidRDefault="0047223A" w:rsidP="00E3309D">
      <w:pPr>
        <w:ind w:firstLine="0"/>
        <w:rPr>
          <w:rFonts w:ascii="Times New Roman" w:hAnsi="Times New Roman" w:cs="Times New Roman"/>
          <w:b/>
          <w:bCs/>
          <w:sz w:val="24"/>
          <w:szCs w:val="24"/>
        </w:rPr>
      </w:pPr>
      <w:r w:rsidRPr="00E03E61">
        <w:rPr>
          <w:rFonts w:ascii="Times New Roman" w:hAnsi="Times New Roman" w:cs="Times New Roman"/>
          <w:b/>
          <w:bCs/>
          <w:sz w:val="24"/>
          <w:szCs w:val="24"/>
        </w:rPr>
        <w:lastRenderedPageBreak/>
        <w:t>References</w:t>
      </w:r>
    </w:p>
    <w:p w14:paraId="197BD816" w14:textId="77777777" w:rsidR="00C12F2E" w:rsidRPr="00C12F2E" w:rsidRDefault="00F32420" w:rsidP="00C12F2E">
      <w:pPr>
        <w:pStyle w:val="Bibliography"/>
        <w:rPr>
          <w:rFonts w:ascii="Times New Roman" w:hAnsi="Times New Roman" w:cs="Times New Roman"/>
          <w:sz w:val="20"/>
        </w:rPr>
      </w:pPr>
      <w:r w:rsidRPr="00E3309D">
        <w:rPr>
          <w:sz w:val="20"/>
          <w:szCs w:val="20"/>
        </w:rPr>
        <w:fldChar w:fldCharType="begin"/>
      </w:r>
      <w:r w:rsidR="00BD1687" w:rsidRPr="00E3309D">
        <w:rPr>
          <w:sz w:val="20"/>
          <w:szCs w:val="20"/>
        </w:rPr>
        <w:instrText xml:space="preserve"> ADDIN ZOTERO_BIBL {"uncited":[],"omitted":[],"custom":[]} CSL_BIBLIOGRAPHY </w:instrText>
      </w:r>
      <w:r w:rsidRPr="00E3309D">
        <w:rPr>
          <w:sz w:val="20"/>
          <w:szCs w:val="20"/>
        </w:rPr>
        <w:fldChar w:fldCharType="separate"/>
      </w:r>
      <w:r w:rsidR="00C12F2E" w:rsidRPr="00C12F2E">
        <w:rPr>
          <w:rFonts w:ascii="Times New Roman" w:hAnsi="Times New Roman" w:cs="Times New Roman"/>
          <w:sz w:val="20"/>
        </w:rPr>
        <w:t>[1]</w:t>
      </w:r>
      <w:r w:rsidR="00C12F2E" w:rsidRPr="00C12F2E">
        <w:rPr>
          <w:rFonts w:ascii="Times New Roman" w:hAnsi="Times New Roman" w:cs="Times New Roman"/>
          <w:sz w:val="20"/>
        </w:rPr>
        <w:tab/>
        <w:t>CVIAXMIWNPTR, “College Football Game Stats | 2022 to January 2026.” Accessed: Mar. 07, 2026. [Online]. Available: https://www.kaggle.com/datasets/cviaxmiwnptr/college-football-team-stats-2002-to-january-2024?resource=download</w:t>
      </w:r>
    </w:p>
    <w:p w14:paraId="3F1D907F"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[2]</w:t>
      </w:r>
      <w:r w:rsidRPr="00C12F2E">
        <w:rPr>
          <w:rFonts w:ascii="Times New Roman" w:hAnsi="Times New Roman" w:cs="Times New Roman"/>
          <w:sz w:val="20"/>
        </w:rPr>
        <w:tab/>
        <w:t>“College Football Teams.” Accessed: Mar. 07, 2026. [Online]. Available: https://www.espn.com/college-football/teams</w:t>
      </w:r>
    </w:p>
    <w:p w14:paraId="6C3D1D12"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[3]</w:t>
      </w:r>
      <w:r w:rsidRPr="00C12F2E">
        <w:rPr>
          <w:rFonts w:ascii="Times New Roman" w:hAnsi="Times New Roman" w:cs="Times New Roman"/>
          <w:sz w:val="20"/>
        </w:rPr>
        <w:tab/>
        <w:t>“Recruit Football Composite Team Rankings.” Accessed: Mar. 05, 2026. [Online]. Available: https://247sports.com/season/{year}-football/compositeteamranki</w:t>
      </w:r>
    </w:p>
    <w:p w14:paraId="7F911992"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[4]</w:t>
      </w:r>
      <w:r w:rsidRPr="00C12F2E">
        <w:rPr>
          <w:rFonts w:ascii="Times New Roman" w:hAnsi="Times New Roman" w:cs="Times New Roman"/>
          <w:sz w:val="20"/>
        </w:rPr>
        <w:tab/>
        <w:t>“College Football Continues to Build Unprecedented Interest with Record Attendance and Stellar Ratings | Military Bowl.” Accessed: Apr. 10, 2026. [Online]. Available: https://militarybowl.org/college-football-continues-to-build-unprecedented-interest-with-record-attendance-and-stellar-ratings/</w:t>
      </w:r>
    </w:p>
    <w:p w14:paraId="7C8EF4BD"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[5]</w:t>
      </w:r>
      <w:r w:rsidRPr="00C12F2E">
        <w:rPr>
          <w:rFonts w:ascii="Times New Roman" w:hAnsi="Times New Roman" w:cs="Times New Roman"/>
          <w:sz w:val="20"/>
        </w:rPr>
        <w:tab/>
        <w:t>A. Karp, “College football rides wave to new audience records for the sport,” Sports Business Journal. Accessed: Apr. 10, 2026. [Online]. Available: https://www.sportsbusinessjournal.com/Articles/2025/12/08/college-football-rides-wave-to-new-audience-records-for-the-sport/</w:t>
      </w:r>
    </w:p>
    <w:p w14:paraId="134FFCDC"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[6]</w:t>
      </w:r>
      <w:r w:rsidRPr="00C12F2E">
        <w:rPr>
          <w:rFonts w:ascii="Times New Roman" w:hAnsi="Times New Roman" w:cs="Times New Roman"/>
          <w:sz w:val="20"/>
        </w:rPr>
        <w:tab/>
        <w:t>bcsguestwriter, “College Sports Betting Data Is Increasingly Influencing Media and Sponsorship Valuations,” Business of College Sports®. Accessed: Apr. 10, 2026. [Online]. Available: https://businessofcollegesports.com/sports-betting/college-sports-betting-data-is-increasingly-influencing-media-and-sponsorship-valuations/</w:t>
      </w:r>
    </w:p>
    <w:p w14:paraId="7EA443AF"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[7]</w:t>
      </w:r>
      <w:r w:rsidRPr="00C12F2E">
        <w:rPr>
          <w:rFonts w:ascii="Times New Roman" w:hAnsi="Times New Roman" w:cs="Times New Roman"/>
          <w:sz w:val="20"/>
        </w:rPr>
        <w:tab/>
        <w:t xml:space="preserve">C. South and E. Egros, “Forecasting college football game outcomes using modern modeling techniques,” </w:t>
      </w:r>
      <w:r w:rsidRPr="00C12F2E">
        <w:rPr>
          <w:rFonts w:ascii="Times New Roman" w:hAnsi="Times New Roman" w:cs="Times New Roman"/>
          <w:i/>
          <w:iCs/>
          <w:sz w:val="20"/>
        </w:rPr>
        <w:t>J. Sports Anal.</w:t>
      </w:r>
      <w:r w:rsidRPr="00C12F2E">
        <w:rPr>
          <w:rFonts w:ascii="Times New Roman" w:hAnsi="Times New Roman" w:cs="Times New Roman"/>
          <w:sz w:val="20"/>
        </w:rPr>
        <w:t>, vol. 6, no. 1, pp. 25–33, Feb. 2020, doi: 10.3233/JSA-190314.</w:t>
      </w:r>
    </w:p>
    <w:p w14:paraId="7EC58083"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[8]</w:t>
      </w:r>
      <w:r w:rsidRPr="00C12F2E">
        <w:rPr>
          <w:rFonts w:ascii="Times New Roman" w:hAnsi="Times New Roman" w:cs="Times New Roman"/>
          <w:sz w:val="20"/>
        </w:rPr>
        <w:tab/>
        <w:t xml:space="preserve">D. Delen, D. Cogdell, and N. Kasap, “A comparative analysis of data mining methods in predicting NCAA bowl outcomes,” </w:t>
      </w:r>
      <w:r w:rsidRPr="00C12F2E">
        <w:rPr>
          <w:rFonts w:ascii="Times New Roman" w:hAnsi="Times New Roman" w:cs="Times New Roman"/>
          <w:i/>
          <w:iCs/>
          <w:sz w:val="20"/>
        </w:rPr>
        <w:t>Int. J. Forecast.</w:t>
      </w:r>
      <w:r w:rsidRPr="00C12F2E">
        <w:rPr>
          <w:rFonts w:ascii="Times New Roman" w:hAnsi="Times New Roman" w:cs="Times New Roman"/>
          <w:sz w:val="20"/>
        </w:rPr>
        <w:t>, vol. 28, no. 2, pp. 543–552, Apr. 2012, doi: 10.1016/j.ijforecast.2011.05.002.</w:t>
      </w:r>
    </w:p>
    <w:p w14:paraId="79E03006"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[9]</w:t>
      </w:r>
      <w:r w:rsidRPr="00C12F2E">
        <w:rPr>
          <w:rFonts w:ascii="Times New Roman" w:hAnsi="Times New Roman" w:cs="Times New Roman"/>
          <w:sz w:val="20"/>
        </w:rPr>
        <w:tab/>
        <w:t xml:space="preserve">C. K. Leung and K. W. Joseph, “Sports Data Mining: Predicting Results for the College Football Games,” </w:t>
      </w:r>
      <w:r w:rsidRPr="00C12F2E">
        <w:rPr>
          <w:rFonts w:ascii="Times New Roman" w:hAnsi="Times New Roman" w:cs="Times New Roman"/>
          <w:i/>
          <w:iCs/>
          <w:sz w:val="20"/>
        </w:rPr>
        <w:t>Procedia Comput. Sci.</w:t>
      </w:r>
      <w:r w:rsidRPr="00C12F2E">
        <w:rPr>
          <w:rFonts w:ascii="Times New Roman" w:hAnsi="Times New Roman" w:cs="Times New Roman"/>
          <w:sz w:val="20"/>
        </w:rPr>
        <w:t>, vol. 35, pp. 710–719, 2014, doi: 10.1016/j.procs.2014.08.153.</w:t>
      </w:r>
    </w:p>
    <w:p w14:paraId="289F61EC" w14:textId="77777777" w:rsidR="00C12F2E" w:rsidRPr="00C12F2E" w:rsidRDefault="00C12F2E" w:rsidP="00C12F2E">
      <w:pPr>
        <w:pStyle w:val="Bibliography"/>
        <w:rPr>
          <w:rFonts w:ascii="Times New Roman" w:hAnsi="Times New Roman" w:cs="Times New Roman"/>
          <w:sz w:val="20"/>
        </w:rPr>
      </w:pPr>
      <w:r w:rsidRPr="00C12F2E">
        <w:rPr>
          <w:rFonts w:ascii="Times New Roman" w:hAnsi="Times New Roman" w:cs="Times New Roman"/>
          <w:sz w:val="20"/>
        </w:rPr>
        <w:t>[10]</w:t>
      </w:r>
      <w:r w:rsidRPr="00C12F2E">
        <w:rPr>
          <w:rFonts w:ascii="Times New Roman" w:hAnsi="Times New Roman" w:cs="Times New Roman"/>
          <w:sz w:val="20"/>
        </w:rPr>
        <w:tab/>
        <w:t xml:space="preserve">B. J. Coleman, “A predictive metamodel for college football,” </w:t>
      </w:r>
      <w:r w:rsidRPr="00C12F2E">
        <w:rPr>
          <w:rFonts w:ascii="Times New Roman" w:hAnsi="Times New Roman" w:cs="Times New Roman"/>
          <w:i/>
          <w:iCs/>
          <w:sz w:val="20"/>
        </w:rPr>
        <w:t>J. Sports Anal.</w:t>
      </w:r>
      <w:r w:rsidRPr="00C12F2E">
        <w:rPr>
          <w:rFonts w:ascii="Times New Roman" w:hAnsi="Times New Roman" w:cs="Times New Roman"/>
          <w:sz w:val="20"/>
        </w:rPr>
        <w:t>, vol. 11, p. 22150218251365223, Oct. 2025, doi: 10.1177/22150218251365223.</w:t>
      </w:r>
    </w:p>
    <w:p w14:paraId="46C6C405" w14:textId="057C6B70" w:rsidR="008967EB" w:rsidRPr="00E03E61" w:rsidRDefault="00F32420" w:rsidP="00C12F2E">
      <w:pPr>
        <w:pStyle w:val="Bibliography"/>
        <w:rPr>
          <w:rFonts w:ascii="Times New Roman" w:hAnsi="Times New Roman" w:cs="Times New Roman"/>
          <w:sz w:val="24"/>
          <w:szCs w:val="24"/>
        </w:rPr>
      </w:pPr>
      <w:r w:rsidRPr="00E3309D">
        <w:rPr>
          <w:rFonts w:ascii="Times New Roman" w:hAnsi="Times New Roman" w:cs="Times New Roman"/>
          <w:sz w:val="20"/>
          <w:szCs w:val="20"/>
        </w:rPr>
        <w:fldChar w:fldCharType="end"/>
      </w:r>
    </w:p>
    <w:p w14:paraId="5241F7AC" w14:textId="77777777" w:rsidR="0047223A" w:rsidRPr="00E03E61" w:rsidRDefault="0047223A" w:rsidP="0047223A">
      <w:pPr>
        <w:ind w:firstLine="0"/>
        <w:rPr>
          <w:rFonts w:ascii="Times New Roman" w:hAnsi="Times New Roman" w:cs="Times New Roman"/>
          <w:sz w:val="24"/>
          <w:szCs w:val="24"/>
        </w:rPr>
      </w:pPr>
    </w:p>
    <w:sectPr w:rsidR="0047223A" w:rsidRPr="00E03E61">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AB80A" w14:textId="77777777" w:rsidR="00762160" w:rsidRDefault="00762160">
      <w:pPr>
        <w:spacing w:line="240" w:lineRule="auto"/>
      </w:pPr>
      <w:r>
        <w:separator/>
      </w:r>
    </w:p>
  </w:endnote>
  <w:endnote w:type="continuationSeparator" w:id="0">
    <w:p w14:paraId="58A0E6F7" w14:textId="77777777" w:rsidR="00762160" w:rsidRDefault="00762160">
      <w:pPr>
        <w:spacing w:line="240" w:lineRule="auto"/>
      </w:pPr>
      <w:r>
        <w:continuationSeparator/>
      </w:r>
    </w:p>
  </w:endnote>
  <w:endnote w:type="continuationNotice" w:id="1">
    <w:p w14:paraId="5EA36107" w14:textId="77777777" w:rsidR="00762160" w:rsidRDefault="007621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3081226"/>
      <w:docPartObj>
        <w:docPartGallery w:val="Page Numbers (Bottom of Page)"/>
        <w:docPartUnique/>
      </w:docPartObj>
    </w:sdtPr>
    <w:sdtContent>
      <w:p w14:paraId="44C15B7D" w14:textId="45CFA6E1" w:rsidR="00D31110" w:rsidRDefault="00D31110" w:rsidP="005100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D07FBD" w14:textId="77777777" w:rsidR="00D31110" w:rsidRDefault="00D31110" w:rsidP="00D311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4439148"/>
      <w:docPartObj>
        <w:docPartGallery w:val="Page Numbers (Bottom of Page)"/>
        <w:docPartUnique/>
      </w:docPartObj>
    </w:sdtPr>
    <w:sdtContent>
      <w:p w14:paraId="053B835F" w14:textId="4F893156" w:rsidR="00D31110" w:rsidRDefault="00D31110" w:rsidP="005100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00D31110">
          <w:pPr>
            <w:pStyle w:val="Header"/>
            <w:ind w:left="-115" w:right="360"/>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37D89" w14:textId="77777777" w:rsidR="00762160" w:rsidRDefault="00762160">
      <w:pPr>
        <w:spacing w:line="240" w:lineRule="auto"/>
      </w:pPr>
      <w:r>
        <w:separator/>
      </w:r>
    </w:p>
  </w:footnote>
  <w:footnote w:type="continuationSeparator" w:id="0">
    <w:p w14:paraId="0DE89239" w14:textId="77777777" w:rsidR="00762160" w:rsidRDefault="00762160">
      <w:pPr>
        <w:spacing w:line="240" w:lineRule="auto"/>
      </w:pPr>
      <w:r>
        <w:continuationSeparator/>
      </w:r>
    </w:p>
  </w:footnote>
  <w:footnote w:type="continuationNotice" w:id="1">
    <w:p w14:paraId="2541B1CF" w14:textId="77777777" w:rsidR="00762160" w:rsidRDefault="0076216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6691" w14:textId="05815771" w:rsidR="733B038C" w:rsidRPr="007248B8" w:rsidRDefault="007248B8" w:rsidP="007248B8">
    <w:pPr>
      <w:pStyle w:val="Header"/>
      <w:jc w:val="center"/>
      <w:rPr>
        <w:rFonts w:ascii="Times New Roman" w:hAnsi="Times New Roman" w:cs="Times New Roman"/>
        <w:sz w:val="20"/>
        <w:szCs w:val="20"/>
      </w:rPr>
    </w:pPr>
    <w:r>
      <w:rPr>
        <w:rFonts w:ascii="Times New Roman" w:hAnsi="Times New Roman" w:cs="Times New Roman"/>
        <w:sz w:val="20"/>
        <w:szCs w:val="20"/>
      </w:rPr>
      <w:t>Izenour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5" w:type="dxa"/>
      <w:tblLayout w:type="fixed"/>
      <w:tblCellMar>
        <w:left w:w="0" w:type="dxa"/>
        <w:right w:w="0" w:type="dxa"/>
      </w:tblCellMar>
      <w:tblLook w:val="0600" w:firstRow="0" w:lastRow="0" w:firstColumn="0" w:lastColumn="0" w:noHBand="1" w:noVBand="1"/>
    </w:tblPr>
    <w:tblGrid>
      <w:gridCol w:w="7030"/>
      <w:gridCol w:w="3165"/>
    </w:tblGrid>
    <w:tr w:rsidR="007248B8" w14:paraId="0D1C5E2E" w14:textId="77777777" w:rsidTr="007248B8">
      <w:trPr>
        <w:trHeight w:val="331"/>
      </w:trPr>
      <w:tc>
        <w:tcPr>
          <w:tcW w:w="7030" w:type="dxa"/>
        </w:tcPr>
        <w:p w14:paraId="3CB69746" w14:textId="4FA33712" w:rsidR="007248B8" w:rsidRPr="00E03E61" w:rsidRDefault="007248B8" w:rsidP="007248B8">
          <w:pPr>
            <w:pStyle w:val="Header"/>
            <w:tabs>
              <w:tab w:val="left" w:pos="474"/>
            </w:tabs>
            <w:ind w:right="-1563"/>
            <w:rPr>
              <w:rFonts w:ascii="Times New Roman" w:hAnsi="Times New Roman" w:cs="Times New Roman"/>
              <w:sz w:val="24"/>
              <w:szCs w:val="24"/>
            </w:rPr>
          </w:pPr>
          <w:r>
            <w:rPr>
              <w:rFonts w:ascii="Times New Roman" w:hAnsi="Times New Roman" w:cs="Times New Roman"/>
              <w:sz w:val="24"/>
              <w:szCs w:val="24"/>
            </w:rPr>
            <w:t>IE 6683 – Machine Learning with Industrial Engineering Applications</w:t>
          </w:r>
        </w:p>
      </w:tc>
      <w:tc>
        <w:tcPr>
          <w:tcW w:w="3165" w:type="dxa"/>
        </w:tcPr>
        <w:p w14:paraId="43D63E2F" w14:textId="77777777" w:rsidR="007248B8" w:rsidRDefault="007248B8" w:rsidP="733B038C">
          <w:pPr>
            <w:pStyle w:val="Header"/>
            <w:ind w:right="-115"/>
            <w:jc w:val="right"/>
          </w:pPr>
        </w:p>
      </w:tc>
    </w:tr>
  </w:tbl>
  <w:p w14:paraId="1455BAAB"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9CA"/>
    <w:multiLevelType w:val="hybridMultilevel"/>
    <w:tmpl w:val="9664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334FD"/>
    <w:multiLevelType w:val="hybridMultilevel"/>
    <w:tmpl w:val="00484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D6461"/>
    <w:multiLevelType w:val="hybridMultilevel"/>
    <w:tmpl w:val="72A4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15C02"/>
    <w:multiLevelType w:val="hybridMultilevel"/>
    <w:tmpl w:val="4DCC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C4DA3"/>
    <w:multiLevelType w:val="hybridMultilevel"/>
    <w:tmpl w:val="787A7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37190"/>
    <w:multiLevelType w:val="hybridMultilevel"/>
    <w:tmpl w:val="FB9C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2D3931"/>
    <w:multiLevelType w:val="hybridMultilevel"/>
    <w:tmpl w:val="94C01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F47CA4"/>
    <w:multiLevelType w:val="hybridMultilevel"/>
    <w:tmpl w:val="E1866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E4061"/>
    <w:multiLevelType w:val="hybridMultilevel"/>
    <w:tmpl w:val="F23C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3586C"/>
    <w:multiLevelType w:val="hybridMultilevel"/>
    <w:tmpl w:val="BB36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301A9"/>
    <w:multiLevelType w:val="hybridMultilevel"/>
    <w:tmpl w:val="CC789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4744A"/>
    <w:multiLevelType w:val="hybridMultilevel"/>
    <w:tmpl w:val="01C6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116CF5"/>
    <w:multiLevelType w:val="hybridMultilevel"/>
    <w:tmpl w:val="76BEE6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DD680C"/>
    <w:multiLevelType w:val="hybridMultilevel"/>
    <w:tmpl w:val="A140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873987">
    <w:abstractNumId w:val="2"/>
  </w:num>
  <w:num w:numId="2" w16cid:durableId="559832336">
    <w:abstractNumId w:val="0"/>
  </w:num>
  <w:num w:numId="3" w16cid:durableId="2089040310">
    <w:abstractNumId w:val="8"/>
  </w:num>
  <w:num w:numId="4" w16cid:durableId="1755127960">
    <w:abstractNumId w:val="3"/>
  </w:num>
  <w:num w:numId="5" w16cid:durableId="2008944119">
    <w:abstractNumId w:val="12"/>
  </w:num>
  <w:num w:numId="6" w16cid:durableId="497037995">
    <w:abstractNumId w:val="1"/>
  </w:num>
  <w:num w:numId="7" w16cid:durableId="2145610514">
    <w:abstractNumId w:val="9"/>
  </w:num>
  <w:num w:numId="8" w16cid:durableId="947081477">
    <w:abstractNumId w:val="13"/>
  </w:num>
  <w:num w:numId="9" w16cid:durableId="1963339924">
    <w:abstractNumId w:val="11"/>
  </w:num>
  <w:num w:numId="10" w16cid:durableId="339550624">
    <w:abstractNumId w:val="4"/>
  </w:num>
  <w:num w:numId="11" w16cid:durableId="1473713325">
    <w:abstractNumId w:val="10"/>
  </w:num>
  <w:num w:numId="12" w16cid:durableId="483158167">
    <w:abstractNumId w:val="7"/>
  </w:num>
  <w:num w:numId="13" w16cid:durableId="224683740">
    <w:abstractNumId w:val="6"/>
  </w:num>
  <w:num w:numId="14" w16cid:durableId="1547059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12199"/>
    <w:rsid w:val="00013B47"/>
    <w:rsid w:val="00037CFC"/>
    <w:rsid w:val="000548A2"/>
    <w:rsid w:val="00092F27"/>
    <w:rsid w:val="000A2401"/>
    <w:rsid w:val="000B0DCC"/>
    <w:rsid w:val="000B287E"/>
    <w:rsid w:val="000E6D87"/>
    <w:rsid w:val="000E74E9"/>
    <w:rsid w:val="00100E1C"/>
    <w:rsid w:val="00105CAA"/>
    <w:rsid w:val="00131ED2"/>
    <w:rsid w:val="0017544B"/>
    <w:rsid w:val="001827ED"/>
    <w:rsid w:val="0019272E"/>
    <w:rsid w:val="00195BF4"/>
    <w:rsid w:val="001B3C01"/>
    <w:rsid w:val="001C6B74"/>
    <w:rsid w:val="001D06E9"/>
    <w:rsid w:val="001D0B0D"/>
    <w:rsid w:val="001E653E"/>
    <w:rsid w:val="0022534F"/>
    <w:rsid w:val="00233391"/>
    <w:rsid w:val="00233B3D"/>
    <w:rsid w:val="0024632C"/>
    <w:rsid w:val="00256D24"/>
    <w:rsid w:val="002652D6"/>
    <w:rsid w:val="00273B2D"/>
    <w:rsid w:val="002833C2"/>
    <w:rsid w:val="00293227"/>
    <w:rsid w:val="002A43FF"/>
    <w:rsid w:val="002C3BE4"/>
    <w:rsid w:val="002D77FA"/>
    <w:rsid w:val="002D7E43"/>
    <w:rsid w:val="002F7E04"/>
    <w:rsid w:val="003140D8"/>
    <w:rsid w:val="00326EB6"/>
    <w:rsid w:val="00327E9E"/>
    <w:rsid w:val="00351F61"/>
    <w:rsid w:val="0035473B"/>
    <w:rsid w:val="00354B2C"/>
    <w:rsid w:val="00357274"/>
    <w:rsid w:val="00363143"/>
    <w:rsid w:val="003652E4"/>
    <w:rsid w:val="00371BD9"/>
    <w:rsid w:val="0038198E"/>
    <w:rsid w:val="003972C1"/>
    <w:rsid w:val="003F3F5B"/>
    <w:rsid w:val="00402E6F"/>
    <w:rsid w:val="00411A94"/>
    <w:rsid w:val="0042207D"/>
    <w:rsid w:val="00424244"/>
    <w:rsid w:val="00437106"/>
    <w:rsid w:val="004462B6"/>
    <w:rsid w:val="004524A7"/>
    <w:rsid w:val="00465135"/>
    <w:rsid w:val="0047223A"/>
    <w:rsid w:val="00480779"/>
    <w:rsid w:val="0049329E"/>
    <w:rsid w:val="004A082D"/>
    <w:rsid w:val="004B5F1A"/>
    <w:rsid w:val="004C3883"/>
    <w:rsid w:val="004E72CE"/>
    <w:rsid w:val="004F6C68"/>
    <w:rsid w:val="00500997"/>
    <w:rsid w:val="00500FB2"/>
    <w:rsid w:val="00530EF3"/>
    <w:rsid w:val="00531DC0"/>
    <w:rsid w:val="0055642C"/>
    <w:rsid w:val="00583AAD"/>
    <w:rsid w:val="005936DA"/>
    <w:rsid w:val="005B08A2"/>
    <w:rsid w:val="005D4EF8"/>
    <w:rsid w:val="00604652"/>
    <w:rsid w:val="0061236B"/>
    <w:rsid w:val="006179EE"/>
    <w:rsid w:val="00631E77"/>
    <w:rsid w:val="00651B70"/>
    <w:rsid w:val="00656399"/>
    <w:rsid w:val="00664A49"/>
    <w:rsid w:val="00674441"/>
    <w:rsid w:val="00674A8A"/>
    <w:rsid w:val="00691970"/>
    <w:rsid w:val="006B5FEA"/>
    <w:rsid w:val="006C101C"/>
    <w:rsid w:val="006F4709"/>
    <w:rsid w:val="00700E1E"/>
    <w:rsid w:val="00702B81"/>
    <w:rsid w:val="00722C65"/>
    <w:rsid w:val="007248B8"/>
    <w:rsid w:val="00724C0F"/>
    <w:rsid w:val="00726471"/>
    <w:rsid w:val="00727711"/>
    <w:rsid w:val="0074264E"/>
    <w:rsid w:val="00762160"/>
    <w:rsid w:val="007704A3"/>
    <w:rsid w:val="00785C9C"/>
    <w:rsid w:val="00794896"/>
    <w:rsid w:val="00796468"/>
    <w:rsid w:val="007A40B9"/>
    <w:rsid w:val="007B1279"/>
    <w:rsid w:val="007D4A2B"/>
    <w:rsid w:val="007E01EA"/>
    <w:rsid w:val="007E2D6A"/>
    <w:rsid w:val="007E7077"/>
    <w:rsid w:val="008078FA"/>
    <w:rsid w:val="00823731"/>
    <w:rsid w:val="008248A1"/>
    <w:rsid w:val="00866ECB"/>
    <w:rsid w:val="008967EB"/>
    <w:rsid w:val="008A0C89"/>
    <w:rsid w:val="008B6B0E"/>
    <w:rsid w:val="00904DBE"/>
    <w:rsid w:val="00907CAC"/>
    <w:rsid w:val="009144A9"/>
    <w:rsid w:val="0091478E"/>
    <w:rsid w:val="009770F3"/>
    <w:rsid w:val="009933D8"/>
    <w:rsid w:val="009A14AA"/>
    <w:rsid w:val="009D2DCC"/>
    <w:rsid w:val="00A12DAB"/>
    <w:rsid w:val="00A500D3"/>
    <w:rsid w:val="00A57285"/>
    <w:rsid w:val="00A75901"/>
    <w:rsid w:val="00A81D90"/>
    <w:rsid w:val="00AA22F5"/>
    <w:rsid w:val="00AB0335"/>
    <w:rsid w:val="00AF6EC9"/>
    <w:rsid w:val="00B06B12"/>
    <w:rsid w:val="00B12003"/>
    <w:rsid w:val="00B13E5E"/>
    <w:rsid w:val="00B15C10"/>
    <w:rsid w:val="00B24738"/>
    <w:rsid w:val="00B3000F"/>
    <w:rsid w:val="00B432B3"/>
    <w:rsid w:val="00B5233A"/>
    <w:rsid w:val="00B57D3C"/>
    <w:rsid w:val="00B8418D"/>
    <w:rsid w:val="00BA0B3E"/>
    <w:rsid w:val="00BA6612"/>
    <w:rsid w:val="00BC3AAC"/>
    <w:rsid w:val="00BD1687"/>
    <w:rsid w:val="00BD675A"/>
    <w:rsid w:val="00BE55C0"/>
    <w:rsid w:val="00BF36D8"/>
    <w:rsid w:val="00C12F2E"/>
    <w:rsid w:val="00C16D67"/>
    <w:rsid w:val="00C26C30"/>
    <w:rsid w:val="00C37BCD"/>
    <w:rsid w:val="00C67F24"/>
    <w:rsid w:val="00C86021"/>
    <w:rsid w:val="00CA1E31"/>
    <w:rsid w:val="00CA6687"/>
    <w:rsid w:val="00CA7749"/>
    <w:rsid w:val="00CB4436"/>
    <w:rsid w:val="00CC3F45"/>
    <w:rsid w:val="00CD7BFA"/>
    <w:rsid w:val="00CD7F50"/>
    <w:rsid w:val="00CE45ED"/>
    <w:rsid w:val="00D00F68"/>
    <w:rsid w:val="00D0114B"/>
    <w:rsid w:val="00D153DB"/>
    <w:rsid w:val="00D22985"/>
    <w:rsid w:val="00D22E34"/>
    <w:rsid w:val="00D31110"/>
    <w:rsid w:val="00D35579"/>
    <w:rsid w:val="00D44D8E"/>
    <w:rsid w:val="00D5368E"/>
    <w:rsid w:val="00D60954"/>
    <w:rsid w:val="00D9405D"/>
    <w:rsid w:val="00DA395D"/>
    <w:rsid w:val="00DC2242"/>
    <w:rsid w:val="00DD4907"/>
    <w:rsid w:val="00DE0F36"/>
    <w:rsid w:val="00DE31BE"/>
    <w:rsid w:val="00DE6AF0"/>
    <w:rsid w:val="00DF1ADF"/>
    <w:rsid w:val="00DF3215"/>
    <w:rsid w:val="00DF3285"/>
    <w:rsid w:val="00E03E61"/>
    <w:rsid w:val="00E078FD"/>
    <w:rsid w:val="00E10FBD"/>
    <w:rsid w:val="00E21DE2"/>
    <w:rsid w:val="00E23707"/>
    <w:rsid w:val="00E3309D"/>
    <w:rsid w:val="00E56B47"/>
    <w:rsid w:val="00E7593D"/>
    <w:rsid w:val="00E82FB7"/>
    <w:rsid w:val="00E879E7"/>
    <w:rsid w:val="00E92C65"/>
    <w:rsid w:val="00EB687C"/>
    <w:rsid w:val="00EE118A"/>
    <w:rsid w:val="00EF7972"/>
    <w:rsid w:val="00F158DA"/>
    <w:rsid w:val="00F32420"/>
    <w:rsid w:val="00F33533"/>
    <w:rsid w:val="00F43ACD"/>
    <w:rsid w:val="00F608B7"/>
    <w:rsid w:val="00F63E8D"/>
    <w:rsid w:val="00F73F9F"/>
    <w:rsid w:val="00F941E8"/>
    <w:rsid w:val="00FA4C9E"/>
    <w:rsid w:val="00FD478C"/>
    <w:rsid w:val="00FE7B8F"/>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7223A"/>
    <w:rPr>
      <w:color w:val="605E5C"/>
      <w:shd w:val="clear" w:color="auto" w:fill="E1DFDD"/>
    </w:rPr>
  </w:style>
  <w:style w:type="paragraph" w:styleId="ListParagraph">
    <w:name w:val="List Paragraph"/>
    <w:basedOn w:val="Normal"/>
    <w:uiPriority w:val="34"/>
    <w:qFormat/>
    <w:rsid w:val="002833C2"/>
    <w:pPr>
      <w:ind w:left="720"/>
      <w:contextualSpacing/>
    </w:pPr>
  </w:style>
  <w:style w:type="character" w:styleId="FollowedHyperlink">
    <w:name w:val="FollowedHyperlink"/>
    <w:basedOn w:val="DefaultParagraphFont"/>
    <w:uiPriority w:val="99"/>
    <w:semiHidden/>
    <w:unhideWhenUsed/>
    <w:rsid w:val="008967EB"/>
    <w:rPr>
      <w:color w:val="954F72" w:themeColor="followedHyperlink"/>
      <w:u w:val="single"/>
    </w:rPr>
  </w:style>
  <w:style w:type="paragraph" w:styleId="Bibliography">
    <w:name w:val="Bibliography"/>
    <w:basedOn w:val="Normal"/>
    <w:next w:val="Normal"/>
    <w:uiPriority w:val="37"/>
    <w:unhideWhenUsed/>
    <w:rsid w:val="004F6C68"/>
    <w:pPr>
      <w:tabs>
        <w:tab w:val="left" w:pos="380"/>
      </w:tabs>
      <w:spacing w:line="240" w:lineRule="auto"/>
      <w:ind w:left="384" w:hanging="384"/>
    </w:pPr>
  </w:style>
  <w:style w:type="character" w:styleId="PageNumber">
    <w:name w:val="page number"/>
    <w:basedOn w:val="DefaultParagraphFont"/>
    <w:uiPriority w:val="99"/>
    <w:semiHidden/>
    <w:unhideWhenUsed/>
    <w:rsid w:val="00D31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324662">
      <w:bodyDiv w:val="1"/>
      <w:marLeft w:val="0"/>
      <w:marRight w:val="0"/>
      <w:marTop w:val="0"/>
      <w:marBottom w:val="0"/>
      <w:divBdr>
        <w:top w:val="none" w:sz="0" w:space="0" w:color="auto"/>
        <w:left w:val="none" w:sz="0" w:space="0" w:color="auto"/>
        <w:bottom w:val="none" w:sz="0" w:space="0" w:color="auto"/>
        <w:right w:val="none" w:sz="0" w:space="0" w:color="auto"/>
      </w:divBdr>
    </w:div>
    <w:div w:id="1926913636">
      <w:bodyDiv w:val="1"/>
      <w:marLeft w:val="0"/>
      <w:marRight w:val="0"/>
      <w:marTop w:val="0"/>
      <w:marBottom w:val="0"/>
      <w:divBdr>
        <w:top w:val="none" w:sz="0" w:space="0" w:color="auto"/>
        <w:left w:val="none" w:sz="0" w:space="0" w:color="auto"/>
        <w:bottom w:val="none" w:sz="0" w:space="0" w:color="auto"/>
        <w:right w:val="none" w:sz="0" w:space="0" w:color="auto"/>
      </w:divBdr>
    </w:div>
    <w:div w:id="199891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openxmlformats.org/officeDocument/2006/relationships/diagramLayout" Target="diagrams/layout1.xml"/><Relationship Id="rId17" Type="http://schemas.openxmlformats.org/officeDocument/2006/relationships/image" Target="media/image3.emf"/><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Data" Target="diagrams/data1.xml"/><Relationship Id="rId24" Type="http://schemas.openxmlformats.org/officeDocument/2006/relationships/footer" Target="footer1.xml"/><Relationship Id="rId5"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5EC5B0-FCE4-D441-8698-71A9D194AFC8}" type="doc">
      <dgm:prSet loTypeId="urn:microsoft.com/office/officeart/2005/8/layout/chevron1" loCatId="" qsTypeId="urn:microsoft.com/office/officeart/2005/8/quickstyle/simple1" qsCatId="simple" csTypeId="urn:microsoft.com/office/officeart/2005/8/colors/accent1_2" csCatId="accent1" phldr="1"/>
      <dgm:spPr/>
    </dgm:pt>
    <dgm:pt modelId="{88F77856-5723-5945-B9C9-B2D0F7177C1D}">
      <dgm:prSet phldrT="[Text]"/>
      <dgm:spPr/>
      <dgm:t>
        <a:bodyPr/>
        <a:lstStyle/>
        <a:p>
          <a:pPr algn="ctr"/>
          <a:r>
            <a:rPr lang="en-US" dirty="0"/>
            <a:t>Establish Tiered Feature Sets</a:t>
          </a:r>
        </a:p>
      </dgm:t>
    </dgm:pt>
    <dgm:pt modelId="{3B78A80D-FC3D-B94E-8E13-BFE6CBE5FB46}" type="parTrans" cxnId="{E02844B0-24B1-994F-B015-61BEDC0D6BBB}">
      <dgm:prSet/>
      <dgm:spPr/>
      <dgm:t>
        <a:bodyPr/>
        <a:lstStyle/>
        <a:p>
          <a:pPr algn="ctr"/>
          <a:endParaRPr lang="en-US"/>
        </a:p>
      </dgm:t>
    </dgm:pt>
    <dgm:pt modelId="{79FCDA24-48EC-4A4D-B61E-679DE4FBA4A8}" type="sibTrans" cxnId="{E02844B0-24B1-994F-B015-61BEDC0D6BBB}">
      <dgm:prSet/>
      <dgm:spPr/>
      <dgm:t>
        <a:bodyPr/>
        <a:lstStyle/>
        <a:p>
          <a:pPr algn="ctr"/>
          <a:endParaRPr lang="en-US"/>
        </a:p>
      </dgm:t>
    </dgm:pt>
    <dgm:pt modelId="{06D19735-1115-7849-ACA9-1252E9DDC350}">
      <dgm:prSet phldrT="[Text]"/>
      <dgm:spPr/>
      <dgm:t>
        <a:bodyPr/>
        <a:lstStyle/>
        <a:p>
          <a:pPr algn="ctr"/>
          <a:r>
            <a:rPr lang="en-US" dirty="0"/>
            <a:t>Instantiate candidate model pipelines</a:t>
          </a:r>
        </a:p>
      </dgm:t>
    </dgm:pt>
    <dgm:pt modelId="{DC61D228-E1F5-7A41-B617-EDF22D8CE88B}" type="parTrans" cxnId="{97BE5BA9-05C5-BB40-B387-AC2CC85F9869}">
      <dgm:prSet/>
      <dgm:spPr/>
      <dgm:t>
        <a:bodyPr/>
        <a:lstStyle/>
        <a:p>
          <a:pPr algn="ctr"/>
          <a:endParaRPr lang="en-US"/>
        </a:p>
      </dgm:t>
    </dgm:pt>
    <dgm:pt modelId="{A0C6B42C-4750-6D42-8BB7-69EC0E46B214}" type="sibTrans" cxnId="{97BE5BA9-05C5-BB40-B387-AC2CC85F9869}">
      <dgm:prSet/>
      <dgm:spPr/>
      <dgm:t>
        <a:bodyPr/>
        <a:lstStyle/>
        <a:p>
          <a:pPr algn="ctr"/>
          <a:endParaRPr lang="en-US"/>
        </a:p>
      </dgm:t>
    </dgm:pt>
    <dgm:pt modelId="{E8856907-9F97-254C-A334-3E6EFBD57CE7}">
      <dgm:prSet phldrT="[Text]"/>
      <dgm:spPr/>
      <dgm:t>
        <a:bodyPr/>
        <a:lstStyle/>
        <a:p>
          <a:pPr algn="ctr"/>
          <a:r>
            <a:rPr lang="en-US" dirty="0"/>
            <a:t>Split data by season windows</a:t>
          </a:r>
        </a:p>
      </dgm:t>
    </dgm:pt>
    <dgm:pt modelId="{EAD08BC3-F276-4349-B0A4-1D5EFA4F3DFC}" type="parTrans" cxnId="{5830F899-A1E6-1242-99E9-602E3F06530D}">
      <dgm:prSet/>
      <dgm:spPr/>
      <dgm:t>
        <a:bodyPr/>
        <a:lstStyle/>
        <a:p>
          <a:pPr algn="ctr"/>
          <a:endParaRPr lang="en-US"/>
        </a:p>
      </dgm:t>
    </dgm:pt>
    <dgm:pt modelId="{CE51FAA7-3E6B-CB4E-93BF-BBC1264D909E}" type="sibTrans" cxnId="{5830F899-A1E6-1242-99E9-602E3F06530D}">
      <dgm:prSet/>
      <dgm:spPr/>
      <dgm:t>
        <a:bodyPr/>
        <a:lstStyle/>
        <a:p>
          <a:pPr algn="ctr"/>
          <a:endParaRPr lang="en-US"/>
        </a:p>
      </dgm:t>
    </dgm:pt>
    <dgm:pt modelId="{FDCF2130-D25D-454A-8652-4FFB14181293}">
      <dgm:prSet phldrT="[Text]"/>
      <dgm:spPr/>
      <dgm:t>
        <a:bodyPr/>
        <a:lstStyle/>
        <a:p>
          <a:pPr algn="ctr"/>
          <a:r>
            <a:rPr lang="en-US" dirty="0"/>
            <a:t>Tune hyperparameters with inner validation AUC</a:t>
          </a:r>
        </a:p>
      </dgm:t>
    </dgm:pt>
    <dgm:pt modelId="{A9A37D3D-D98D-DF4A-8F8A-AD25D12C11CA}" type="parTrans" cxnId="{FAF6276C-61D9-4B4D-9882-246A9674792F}">
      <dgm:prSet/>
      <dgm:spPr/>
      <dgm:t>
        <a:bodyPr/>
        <a:lstStyle/>
        <a:p>
          <a:pPr algn="ctr"/>
          <a:endParaRPr lang="en-US"/>
        </a:p>
      </dgm:t>
    </dgm:pt>
    <dgm:pt modelId="{E6942116-96E2-D940-BCE0-4E6BD4A1CC27}" type="sibTrans" cxnId="{FAF6276C-61D9-4B4D-9882-246A9674792F}">
      <dgm:prSet/>
      <dgm:spPr/>
      <dgm:t>
        <a:bodyPr/>
        <a:lstStyle/>
        <a:p>
          <a:pPr algn="ctr"/>
          <a:endParaRPr lang="en-US"/>
        </a:p>
      </dgm:t>
    </dgm:pt>
    <dgm:pt modelId="{546D673F-95BB-9942-A3BC-15B566EC760A}">
      <dgm:prSet phldrT="[Text]"/>
      <dgm:spPr/>
      <dgm:t>
        <a:bodyPr/>
        <a:lstStyle/>
        <a:p>
          <a:pPr algn="ctr"/>
          <a:r>
            <a:rPr lang="en-US" dirty="0"/>
            <a:t>Refit on outer training set</a:t>
          </a:r>
        </a:p>
      </dgm:t>
    </dgm:pt>
    <dgm:pt modelId="{5848C723-0C84-A942-BB15-A3A8E0E3F893}" type="parTrans" cxnId="{63D40DB4-7B12-B343-AE06-A830601FE9D4}">
      <dgm:prSet/>
      <dgm:spPr/>
      <dgm:t>
        <a:bodyPr/>
        <a:lstStyle/>
        <a:p>
          <a:pPr algn="ctr"/>
          <a:endParaRPr lang="en-US"/>
        </a:p>
      </dgm:t>
    </dgm:pt>
    <dgm:pt modelId="{9172AE65-4D65-254B-8232-958220F6630F}" type="sibTrans" cxnId="{63D40DB4-7B12-B343-AE06-A830601FE9D4}">
      <dgm:prSet/>
      <dgm:spPr/>
      <dgm:t>
        <a:bodyPr/>
        <a:lstStyle/>
        <a:p>
          <a:pPr algn="ctr"/>
          <a:endParaRPr lang="en-US"/>
        </a:p>
      </dgm:t>
    </dgm:pt>
    <dgm:pt modelId="{5F4BDCDE-86A9-C14C-BD49-9845326802D9}">
      <dgm:prSet phldrT="[Text]"/>
      <dgm:spPr/>
      <dgm:t>
        <a:bodyPr/>
        <a:lstStyle/>
        <a:p>
          <a:pPr algn="ctr"/>
          <a:r>
            <a:rPr lang="en-US" dirty="0"/>
            <a:t>Evaluate on untouched outer test set</a:t>
          </a:r>
        </a:p>
      </dgm:t>
    </dgm:pt>
    <dgm:pt modelId="{92D43E2C-D909-B140-825C-88A4EF8FF6CF}" type="parTrans" cxnId="{D1B9E11C-C1EF-F34E-8F3F-A8222A46E244}">
      <dgm:prSet/>
      <dgm:spPr/>
      <dgm:t>
        <a:bodyPr/>
        <a:lstStyle/>
        <a:p>
          <a:pPr algn="ctr"/>
          <a:endParaRPr lang="en-US"/>
        </a:p>
      </dgm:t>
    </dgm:pt>
    <dgm:pt modelId="{8E5CD408-5573-6C4D-BD61-A5BB3DA32962}" type="sibTrans" cxnId="{D1B9E11C-C1EF-F34E-8F3F-A8222A46E244}">
      <dgm:prSet/>
      <dgm:spPr/>
      <dgm:t>
        <a:bodyPr/>
        <a:lstStyle/>
        <a:p>
          <a:pPr algn="ctr"/>
          <a:endParaRPr lang="en-US"/>
        </a:p>
      </dgm:t>
    </dgm:pt>
    <dgm:pt modelId="{9BCA9962-922E-5F4A-B92F-D4079DCE391A}" type="pres">
      <dgm:prSet presAssocID="{415EC5B0-FCE4-D441-8698-71A9D194AFC8}" presName="Name0" presStyleCnt="0">
        <dgm:presLayoutVars>
          <dgm:dir/>
          <dgm:animLvl val="lvl"/>
          <dgm:resizeHandles val="exact"/>
        </dgm:presLayoutVars>
      </dgm:prSet>
      <dgm:spPr/>
    </dgm:pt>
    <dgm:pt modelId="{507B179E-2577-B549-9C53-2144F03D5A4E}" type="pres">
      <dgm:prSet presAssocID="{88F77856-5723-5945-B9C9-B2D0F7177C1D}" presName="parTxOnly" presStyleLbl="node1" presStyleIdx="0" presStyleCnt="6">
        <dgm:presLayoutVars>
          <dgm:chMax val="0"/>
          <dgm:chPref val="0"/>
          <dgm:bulletEnabled val="1"/>
        </dgm:presLayoutVars>
      </dgm:prSet>
      <dgm:spPr/>
    </dgm:pt>
    <dgm:pt modelId="{93C3500B-F2BD-5C43-BE99-C1A6B3BE3A0E}" type="pres">
      <dgm:prSet presAssocID="{79FCDA24-48EC-4A4D-B61E-679DE4FBA4A8}" presName="parTxOnlySpace" presStyleCnt="0"/>
      <dgm:spPr/>
    </dgm:pt>
    <dgm:pt modelId="{CBCDB6D0-A06F-044E-A34E-0970A27B6A20}" type="pres">
      <dgm:prSet presAssocID="{06D19735-1115-7849-ACA9-1252E9DDC350}" presName="parTxOnly" presStyleLbl="node1" presStyleIdx="1" presStyleCnt="6">
        <dgm:presLayoutVars>
          <dgm:chMax val="0"/>
          <dgm:chPref val="0"/>
          <dgm:bulletEnabled val="1"/>
        </dgm:presLayoutVars>
      </dgm:prSet>
      <dgm:spPr/>
    </dgm:pt>
    <dgm:pt modelId="{568D27AB-02B3-3943-8326-B7FC65C04A12}" type="pres">
      <dgm:prSet presAssocID="{A0C6B42C-4750-6D42-8BB7-69EC0E46B214}" presName="parTxOnlySpace" presStyleCnt="0"/>
      <dgm:spPr/>
    </dgm:pt>
    <dgm:pt modelId="{45D6C089-BF72-D342-84C1-19CB6B7A4175}" type="pres">
      <dgm:prSet presAssocID="{E8856907-9F97-254C-A334-3E6EFBD57CE7}" presName="parTxOnly" presStyleLbl="node1" presStyleIdx="2" presStyleCnt="6">
        <dgm:presLayoutVars>
          <dgm:chMax val="0"/>
          <dgm:chPref val="0"/>
          <dgm:bulletEnabled val="1"/>
        </dgm:presLayoutVars>
      </dgm:prSet>
      <dgm:spPr/>
    </dgm:pt>
    <dgm:pt modelId="{593A49EF-DB19-2446-B218-43C2016B473F}" type="pres">
      <dgm:prSet presAssocID="{CE51FAA7-3E6B-CB4E-93BF-BBC1264D909E}" presName="parTxOnlySpace" presStyleCnt="0"/>
      <dgm:spPr/>
    </dgm:pt>
    <dgm:pt modelId="{ED519B44-13A9-804D-BF9E-5CCD113D415B}" type="pres">
      <dgm:prSet presAssocID="{FDCF2130-D25D-454A-8652-4FFB14181293}" presName="parTxOnly" presStyleLbl="node1" presStyleIdx="3" presStyleCnt="6">
        <dgm:presLayoutVars>
          <dgm:chMax val="0"/>
          <dgm:chPref val="0"/>
          <dgm:bulletEnabled val="1"/>
        </dgm:presLayoutVars>
      </dgm:prSet>
      <dgm:spPr/>
    </dgm:pt>
    <dgm:pt modelId="{6845A6BC-71C1-8D4D-A005-506DFD9CA886}" type="pres">
      <dgm:prSet presAssocID="{E6942116-96E2-D940-BCE0-4E6BD4A1CC27}" presName="parTxOnlySpace" presStyleCnt="0"/>
      <dgm:spPr/>
    </dgm:pt>
    <dgm:pt modelId="{E102C798-3686-9847-9661-55CBABA04164}" type="pres">
      <dgm:prSet presAssocID="{546D673F-95BB-9942-A3BC-15B566EC760A}" presName="parTxOnly" presStyleLbl="node1" presStyleIdx="4" presStyleCnt="6">
        <dgm:presLayoutVars>
          <dgm:chMax val="0"/>
          <dgm:chPref val="0"/>
          <dgm:bulletEnabled val="1"/>
        </dgm:presLayoutVars>
      </dgm:prSet>
      <dgm:spPr/>
    </dgm:pt>
    <dgm:pt modelId="{9FA05FA4-2756-2843-9C88-E9695DC401C4}" type="pres">
      <dgm:prSet presAssocID="{9172AE65-4D65-254B-8232-958220F6630F}" presName="parTxOnlySpace" presStyleCnt="0"/>
      <dgm:spPr/>
    </dgm:pt>
    <dgm:pt modelId="{1677DD1B-8B96-4A44-AD1C-86F08410302A}" type="pres">
      <dgm:prSet presAssocID="{5F4BDCDE-86A9-C14C-BD49-9845326802D9}" presName="parTxOnly" presStyleLbl="node1" presStyleIdx="5" presStyleCnt="6">
        <dgm:presLayoutVars>
          <dgm:chMax val="0"/>
          <dgm:chPref val="0"/>
          <dgm:bulletEnabled val="1"/>
        </dgm:presLayoutVars>
      </dgm:prSet>
      <dgm:spPr/>
    </dgm:pt>
  </dgm:ptLst>
  <dgm:cxnLst>
    <dgm:cxn modelId="{5136180A-C09B-2E45-BB96-92621936052C}" type="presOf" srcId="{E8856907-9F97-254C-A334-3E6EFBD57CE7}" destId="{45D6C089-BF72-D342-84C1-19CB6B7A4175}" srcOrd="0" destOrd="0" presId="urn:microsoft.com/office/officeart/2005/8/layout/chevron1"/>
    <dgm:cxn modelId="{D1B9E11C-C1EF-F34E-8F3F-A8222A46E244}" srcId="{415EC5B0-FCE4-D441-8698-71A9D194AFC8}" destId="{5F4BDCDE-86A9-C14C-BD49-9845326802D9}" srcOrd="5" destOrd="0" parTransId="{92D43E2C-D909-B140-825C-88A4EF8FF6CF}" sibTransId="{8E5CD408-5573-6C4D-BD61-A5BB3DA32962}"/>
    <dgm:cxn modelId="{D1CB681D-81CD-134F-A7B1-2D04927A0178}" type="presOf" srcId="{06D19735-1115-7849-ACA9-1252E9DDC350}" destId="{CBCDB6D0-A06F-044E-A34E-0970A27B6A20}" srcOrd="0" destOrd="0" presId="urn:microsoft.com/office/officeart/2005/8/layout/chevron1"/>
    <dgm:cxn modelId="{6B1F6B5C-3995-6343-94B9-F67EBB998BFB}" type="presOf" srcId="{FDCF2130-D25D-454A-8652-4FFB14181293}" destId="{ED519B44-13A9-804D-BF9E-5CCD113D415B}" srcOrd="0" destOrd="0" presId="urn:microsoft.com/office/officeart/2005/8/layout/chevron1"/>
    <dgm:cxn modelId="{FAF6276C-61D9-4B4D-9882-246A9674792F}" srcId="{415EC5B0-FCE4-D441-8698-71A9D194AFC8}" destId="{FDCF2130-D25D-454A-8652-4FFB14181293}" srcOrd="3" destOrd="0" parTransId="{A9A37D3D-D98D-DF4A-8F8A-AD25D12C11CA}" sibTransId="{E6942116-96E2-D940-BCE0-4E6BD4A1CC27}"/>
    <dgm:cxn modelId="{7FE21472-7582-1643-95A0-D4580B379FA9}" type="presOf" srcId="{5F4BDCDE-86A9-C14C-BD49-9845326802D9}" destId="{1677DD1B-8B96-4A44-AD1C-86F08410302A}" srcOrd="0" destOrd="0" presId="urn:microsoft.com/office/officeart/2005/8/layout/chevron1"/>
    <dgm:cxn modelId="{E611A879-A02C-1748-924E-0042C74A9683}" type="presOf" srcId="{546D673F-95BB-9942-A3BC-15B566EC760A}" destId="{E102C798-3686-9847-9661-55CBABA04164}" srcOrd="0" destOrd="0" presId="urn:microsoft.com/office/officeart/2005/8/layout/chevron1"/>
    <dgm:cxn modelId="{ED26B58B-A891-294C-803E-1DEE1EB800A0}" type="presOf" srcId="{88F77856-5723-5945-B9C9-B2D0F7177C1D}" destId="{507B179E-2577-B549-9C53-2144F03D5A4E}" srcOrd="0" destOrd="0" presId="urn:microsoft.com/office/officeart/2005/8/layout/chevron1"/>
    <dgm:cxn modelId="{3D89D396-6AA5-A441-8007-7AA07F6F54DE}" type="presOf" srcId="{415EC5B0-FCE4-D441-8698-71A9D194AFC8}" destId="{9BCA9962-922E-5F4A-B92F-D4079DCE391A}" srcOrd="0" destOrd="0" presId="urn:microsoft.com/office/officeart/2005/8/layout/chevron1"/>
    <dgm:cxn modelId="{5830F899-A1E6-1242-99E9-602E3F06530D}" srcId="{415EC5B0-FCE4-D441-8698-71A9D194AFC8}" destId="{E8856907-9F97-254C-A334-3E6EFBD57CE7}" srcOrd="2" destOrd="0" parTransId="{EAD08BC3-F276-4349-B0A4-1D5EFA4F3DFC}" sibTransId="{CE51FAA7-3E6B-CB4E-93BF-BBC1264D909E}"/>
    <dgm:cxn modelId="{97BE5BA9-05C5-BB40-B387-AC2CC85F9869}" srcId="{415EC5B0-FCE4-D441-8698-71A9D194AFC8}" destId="{06D19735-1115-7849-ACA9-1252E9DDC350}" srcOrd="1" destOrd="0" parTransId="{DC61D228-E1F5-7A41-B617-EDF22D8CE88B}" sibTransId="{A0C6B42C-4750-6D42-8BB7-69EC0E46B214}"/>
    <dgm:cxn modelId="{E02844B0-24B1-994F-B015-61BEDC0D6BBB}" srcId="{415EC5B0-FCE4-D441-8698-71A9D194AFC8}" destId="{88F77856-5723-5945-B9C9-B2D0F7177C1D}" srcOrd="0" destOrd="0" parTransId="{3B78A80D-FC3D-B94E-8E13-BFE6CBE5FB46}" sibTransId="{79FCDA24-48EC-4A4D-B61E-679DE4FBA4A8}"/>
    <dgm:cxn modelId="{63D40DB4-7B12-B343-AE06-A830601FE9D4}" srcId="{415EC5B0-FCE4-D441-8698-71A9D194AFC8}" destId="{546D673F-95BB-9942-A3BC-15B566EC760A}" srcOrd="4" destOrd="0" parTransId="{5848C723-0C84-A942-BB15-A3A8E0E3F893}" sibTransId="{9172AE65-4D65-254B-8232-958220F6630F}"/>
    <dgm:cxn modelId="{E6A58F4E-1B00-8D41-AD76-C915FBD47012}" type="presParOf" srcId="{9BCA9962-922E-5F4A-B92F-D4079DCE391A}" destId="{507B179E-2577-B549-9C53-2144F03D5A4E}" srcOrd="0" destOrd="0" presId="urn:microsoft.com/office/officeart/2005/8/layout/chevron1"/>
    <dgm:cxn modelId="{A04B1318-9A3A-7B45-838A-52992EE3FD3F}" type="presParOf" srcId="{9BCA9962-922E-5F4A-B92F-D4079DCE391A}" destId="{93C3500B-F2BD-5C43-BE99-C1A6B3BE3A0E}" srcOrd="1" destOrd="0" presId="urn:microsoft.com/office/officeart/2005/8/layout/chevron1"/>
    <dgm:cxn modelId="{C1104AE4-B22E-7E49-B1F5-CF2F80E9D32E}" type="presParOf" srcId="{9BCA9962-922E-5F4A-B92F-D4079DCE391A}" destId="{CBCDB6D0-A06F-044E-A34E-0970A27B6A20}" srcOrd="2" destOrd="0" presId="urn:microsoft.com/office/officeart/2005/8/layout/chevron1"/>
    <dgm:cxn modelId="{B4D37640-9944-AF4C-B27C-4A1CA4215CE3}" type="presParOf" srcId="{9BCA9962-922E-5F4A-B92F-D4079DCE391A}" destId="{568D27AB-02B3-3943-8326-B7FC65C04A12}" srcOrd="3" destOrd="0" presId="urn:microsoft.com/office/officeart/2005/8/layout/chevron1"/>
    <dgm:cxn modelId="{4587FF91-84A6-4947-A470-4FFF69C15525}" type="presParOf" srcId="{9BCA9962-922E-5F4A-B92F-D4079DCE391A}" destId="{45D6C089-BF72-D342-84C1-19CB6B7A4175}" srcOrd="4" destOrd="0" presId="urn:microsoft.com/office/officeart/2005/8/layout/chevron1"/>
    <dgm:cxn modelId="{92A15050-C70A-1749-A11D-E05A70364E56}" type="presParOf" srcId="{9BCA9962-922E-5F4A-B92F-D4079DCE391A}" destId="{593A49EF-DB19-2446-B218-43C2016B473F}" srcOrd="5" destOrd="0" presId="urn:microsoft.com/office/officeart/2005/8/layout/chevron1"/>
    <dgm:cxn modelId="{7DF12968-6A59-3446-B89E-2B30233A9DA5}" type="presParOf" srcId="{9BCA9962-922E-5F4A-B92F-D4079DCE391A}" destId="{ED519B44-13A9-804D-BF9E-5CCD113D415B}" srcOrd="6" destOrd="0" presId="urn:microsoft.com/office/officeart/2005/8/layout/chevron1"/>
    <dgm:cxn modelId="{EFD9523E-B0E1-5341-8308-C3EB56175AD3}" type="presParOf" srcId="{9BCA9962-922E-5F4A-B92F-D4079DCE391A}" destId="{6845A6BC-71C1-8D4D-A005-506DFD9CA886}" srcOrd="7" destOrd="0" presId="urn:microsoft.com/office/officeart/2005/8/layout/chevron1"/>
    <dgm:cxn modelId="{E2B69130-544A-8546-8B9D-E57F71F827E9}" type="presParOf" srcId="{9BCA9962-922E-5F4A-B92F-D4079DCE391A}" destId="{E102C798-3686-9847-9661-55CBABA04164}" srcOrd="8" destOrd="0" presId="urn:microsoft.com/office/officeart/2005/8/layout/chevron1"/>
    <dgm:cxn modelId="{7E43DE5A-D061-894B-AE02-86F7DCBFB784}" type="presParOf" srcId="{9BCA9962-922E-5F4A-B92F-D4079DCE391A}" destId="{9FA05FA4-2756-2843-9C88-E9695DC401C4}" srcOrd="9" destOrd="0" presId="urn:microsoft.com/office/officeart/2005/8/layout/chevron1"/>
    <dgm:cxn modelId="{AFECEC35-E1F8-1C44-9688-4D7F7CD105A9}" type="presParOf" srcId="{9BCA9962-922E-5F4A-B92F-D4079DCE391A}" destId="{1677DD1B-8B96-4A44-AD1C-86F08410302A}" srcOrd="10"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7B179E-2577-B549-9C53-2144F03D5A4E}">
      <dsp:nvSpPr>
        <dsp:cNvPr id="0" name=""/>
        <dsp:cNvSpPr/>
      </dsp:nvSpPr>
      <dsp:spPr>
        <a:xfrm>
          <a:off x="2627" y="76519"/>
          <a:ext cx="977426" cy="3909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US" sz="600" kern="1200" dirty="0"/>
            <a:t>Establish Tiered Feature Sets</a:t>
          </a:r>
        </a:p>
      </dsp:txBody>
      <dsp:txXfrm>
        <a:off x="198112" y="76519"/>
        <a:ext cx="586456" cy="390970"/>
      </dsp:txXfrm>
    </dsp:sp>
    <dsp:sp modelId="{CBCDB6D0-A06F-044E-A34E-0970A27B6A20}">
      <dsp:nvSpPr>
        <dsp:cNvPr id="0" name=""/>
        <dsp:cNvSpPr/>
      </dsp:nvSpPr>
      <dsp:spPr>
        <a:xfrm>
          <a:off x="882311" y="76519"/>
          <a:ext cx="977426" cy="3909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US" sz="600" kern="1200" dirty="0"/>
            <a:t>Instantiate candidate model pipelines</a:t>
          </a:r>
        </a:p>
      </dsp:txBody>
      <dsp:txXfrm>
        <a:off x="1077796" y="76519"/>
        <a:ext cx="586456" cy="390970"/>
      </dsp:txXfrm>
    </dsp:sp>
    <dsp:sp modelId="{45D6C089-BF72-D342-84C1-19CB6B7A4175}">
      <dsp:nvSpPr>
        <dsp:cNvPr id="0" name=""/>
        <dsp:cNvSpPr/>
      </dsp:nvSpPr>
      <dsp:spPr>
        <a:xfrm>
          <a:off x="1761995" y="76519"/>
          <a:ext cx="977426" cy="3909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US" sz="600" kern="1200" dirty="0"/>
            <a:t>Split data by season windows</a:t>
          </a:r>
        </a:p>
      </dsp:txBody>
      <dsp:txXfrm>
        <a:off x="1957480" y="76519"/>
        <a:ext cx="586456" cy="390970"/>
      </dsp:txXfrm>
    </dsp:sp>
    <dsp:sp modelId="{ED519B44-13A9-804D-BF9E-5CCD113D415B}">
      <dsp:nvSpPr>
        <dsp:cNvPr id="0" name=""/>
        <dsp:cNvSpPr/>
      </dsp:nvSpPr>
      <dsp:spPr>
        <a:xfrm>
          <a:off x="2641680" y="76519"/>
          <a:ext cx="977426" cy="3909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US" sz="600" kern="1200" dirty="0"/>
            <a:t>Tune hyperparameters with inner validation AUC</a:t>
          </a:r>
        </a:p>
      </dsp:txBody>
      <dsp:txXfrm>
        <a:off x="2837165" y="76519"/>
        <a:ext cx="586456" cy="390970"/>
      </dsp:txXfrm>
    </dsp:sp>
    <dsp:sp modelId="{E102C798-3686-9847-9661-55CBABA04164}">
      <dsp:nvSpPr>
        <dsp:cNvPr id="0" name=""/>
        <dsp:cNvSpPr/>
      </dsp:nvSpPr>
      <dsp:spPr>
        <a:xfrm>
          <a:off x="3521364" y="76519"/>
          <a:ext cx="977426" cy="3909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US" sz="600" kern="1200" dirty="0"/>
            <a:t>Refit on outer training set</a:t>
          </a:r>
        </a:p>
      </dsp:txBody>
      <dsp:txXfrm>
        <a:off x="3716849" y="76519"/>
        <a:ext cx="586456" cy="390970"/>
      </dsp:txXfrm>
    </dsp:sp>
    <dsp:sp modelId="{1677DD1B-8B96-4A44-AD1C-86F08410302A}">
      <dsp:nvSpPr>
        <dsp:cNvPr id="0" name=""/>
        <dsp:cNvSpPr/>
      </dsp:nvSpPr>
      <dsp:spPr>
        <a:xfrm>
          <a:off x="4401048" y="76519"/>
          <a:ext cx="977426" cy="3909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US" sz="600" kern="1200" dirty="0"/>
            <a:t>Evaluate on untouched outer test set</a:t>
          </a:r>
        </a:p>
      </dsp:txBody>
      <dsp:txXfrm>
        <a:off x="4596533" y="76519"/>
        <a:ext cx="586456" cy="39097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7</Pages>
  <Words>5270</Words>
  <Characters>33466</Characters>
  <Application>Microsoft Office Word</Application>
  <DocSecurity>0</DocSecurity>
  <Lines>587</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2026-01-17T12:57:00Z</dcterms:created>
  <dcterms:modified xsi:type="dcterms:W3CDTF">2026-04-30T14:44:00Z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ZOTERO_PREF_1">
    <vt:lpwstr>&lt;data data-version="3" zotero-version="7.0.32"&gt;&lt;session id="oyk1jM1y"/&gt;&lt;style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