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6EA4" w14:textId="50EB809E" w:rsidR="00370443" w:rsidRDefault="00370443" w:rsidP="00370443">
      <w:r>
        <w:t xml:space="preserve">[{'number': 0, 'type': 1, 'bbox': (98.06999969482422, 741.125, 166.32000732421875, 756.875), 'width': 91, 'height': 21, 'ext': 'jpeg', 'colorspace': 3, 'xres': 96, 'yres': 96, 'bpc': 8, 'transform': (68.25, 0.0, -0.0, 15.75, 98.06999969482422, 741.125), 'size': 3144, 'image': }, {'number': 1, 'type': 0, 'bbox': (166.32000732421875, 742.2000122070312, 513.9259643554688, 754.5659790039062), 'lines': [{'spans': [{'size': 9.0, 'flags': 0, 'font': 'Helvetica', 'color': 0, 'ascender': 1.0750000476837158, 'descender': -0.29899999499320984, 'text': '| ', 'origin': (166.32000732421875, 751.875), 'bbox': (166.32000732421875, 742.2000122070312, 171.16200256347656, 754.5659790039062)}, {'size': 9.0, 'flags': 0, 'font': 'Helvetica', 'color': 30668, 'ascender': 1.0750000476837158, 'descender': -0.29899999499320984, 'text': 'About LexisNexis', 'origin': (171.1580047607422, 751.875), 'bbox': (171.1580047607422, 742.2000122070312, 240.69198608398438, 754.5659790039062)}, {'size': 9.0, 'flags': 0, 'font': 'Helvetica', 'color': 0, 'ascender': 1.0750000476837158, 'descender': -0.29899999499320984, 'text': ' | ', 'origin': (240.69198608398438, 751.875), 'bbox': (240.69198608398438, 742.2000122070312, 248.03599548339844, 754.5659790039062)}, {'size': 9.0, 'flags': 0, 'font': 'Helvetica', 'color': 30668, 'ascender': 1.0750000476837158, 'descender': -0.29899999499320984, 'text': 'Privacy Policy', 'origin': (248.031005859375, 751.875), 'bbox': (248.031005859375, 742.2000122070312, 304.0469970703125, 754.5659790039062)}, {'size': 9.0, 'flags': 0, 'font': 'Helvetica', 'color': 0, 'ascender': 1.0750000476837158, 'descender': -0.29899999499320984, 'text': ' | ', 'origin': (304.0469970703125, 751.875), 'bbox': (304.0469970703125, 742.2000122070312, 311.38201904296875, 754.5659790039062)}, {'size': 9.0, 'flags': 0, 'font': 'Helvetica', 'color': 30668, 'ascender': 1.0750000476837158, 'descender': -0.29899999499320984, 'text': 'Terms &amp; Conditions', 'origin': (311.3810119628906, 751.875), 'bbox': (311.3810119628906, 742.2000122070312, 390.4100036621094, 754.5659790039062)}, {'size': 9.0, 'flags': 0, 'font': 'Helvetica', 'color': 0, 'ascender': 1.0750000476837158, 'descender': -0.29899999499320984, 'text': ' | ', 'origin': (390.4100036621094, 751.875), 'bbox': (390.4100036621094, 742.2000122070312, 397.7450256347656, 754.5659790039062)}, {'size': 9.0, 'flags': 0, 'font': 'Helvetica', 'color': 30668, 'ascender': 1.0750000476837158, 'descender': -0.29899999499320984, 'text': 'Copyright © 2023 LexisNexis', 'origin': (397.7449951171875, 751.875), 'bbox': (397.7449951171875, 742.2000122070312, 513.9259643554688, 754.5659790039062)}], 'wmode': 0, 'dir': (1.0, 0.0), 'bbox': (166.32000732421875, 742.2000122070312, 513.9259643554688, 754.5659790039062)}]}, {'number': 2, 'type': 0, 'bbox': (306.0, 757.5280151367188, 308.50201416015625, 769.8939819335938), 'lines': [{'spans': [{'size': 9.0, 'flags': 0, 'font': 'Helvetica', 'color': 0, 'ascender': 1.0750000476837158, 'descender': -0.29899999499320984, 'text': ' ', </w:t>
      </w:r>
      <w:r>
        <w:lastRenderedPageBreak/>
        <w:t>'origin': (306.0, 767.2030029296875), 'bbox': (306.0, 757.5280151367188, 308.50201416015625, 769.8939819335938)}], 'wmode': 0, 'dir': (1.0, 0.0), 'bbox': (306.0, 757.5280151367188, 308.50201416015625, 769.8939819335938)}]}, {'number': 3, 'type': 0, 'bbox': (54.0, 75.13099670410156, 345.7899169921875, 88.95099639892578), 'lines': [{'spans': [{'size': 10.0, 'flags': 16, 'font': 'Helvetica-Bold', 'color': 0, 'ascender': 1.0700000524520874, 'descender': -0.3070000112056732, 'text': 'Date and Time: ', 'origin': (54.0, 85.88099670410156), 'bbox': (54.0, 75.18099975585938, 128.4600067138672, 88.95099639892578)}, {'size': 10.0, 'flags': 0, 'font': 'Helvetica', 'color': 0, 'ascender': 1.0750000476837158, 'descender': -0.29899999499320984, 'text': 'Thursday, December 14, 2023 11:53:00 AM CST', 'origin': (128.45999145507812, 85.88099670410156), 'bbox': (128.45999145507812, 75.13099670410156, 345.7899169921875, 88.8709945678711)}], 'wmode': 0, 'dir': (1.0, 0.0), 'bbox': (54.0, 75.13099670410156, 345.7899169921875, 88.95099639892578)}]}, {'number': 4, 'type': 0, 'bbox': (54.0, 91.13099670410156, 168.49998474121094, 104.95099639892578), 'lines': [{'spans': [{'size': 10.0, 'flags': 16, 'font': 'Helvetica-Bold', 'color': 0, 'ascender': 1.0700000524520874, 'descender': -0.3070000112056732, 'text': 'Job Number: ', 'origin': (54.0, 101.88099670410156), 'bbox': (54.0, 91.18099975585938, 118.45000457763672, 104.95099639892578)}, {'size': 10.0, 'flags': 0, 'font': 'Helvetica', 'color': 0, 'ascender': 1.0750000476837158, 'descender': -0.29899999499320984, 'text': '212633656', 'origin': (118.45000457763672, 101.88099670410156), 'bbox': (118.45000457763672, 91.13099670410156, 168.49998474121094, 104.8709945678711)}], 'wmode': 0, 'dir': (1.0, 0.0), 'bbox': (54.0, 91.13099670410156, 168.49998474121094, 104.95099639892578)}]}, {</w:t>
      </w:r>
      <w:r w:rsidRPr="00370443">
        <w:rPr>
          <w:highlight w:val="green"/>
        </w:rPr>
        <w:t>'number': 5</w:t>
      </w:r>
      <w:r>
        <w:t>, 'type': 0, 'bbox': (54.0, 124.61700439453125, 144.01199340820312, 141.14100646972656), 'lines': [{'spans': [{</w:t>
      </w:r>
      <w:r w:rsidRPr="00370443">
        <w:rPr>
          <w:highlight w:val="green"/>
        </w:rPr>
        <w:t>'size': 12.0</w:t>
      </w:r>
      <w:r>
        <w:t xml:space="preserve">, 'flags': 16, </w:t>
      </w:r>
      <w:r w:rsidRPr="00370443">
        <w:rPr>
          <w:highlight w:val="green"/>
        </w:rPr>
        <w:t>'font': 'Helvetica-Bold'</w:t>
      </w:r>
      <w:r>
        <w:t xml:space="preserve">, 'color': 0, 'ascender': 1.0700000524520874, 'descender': -0.3070000112056732, </w:t>
      </w:r>
      <w:r w:rsidRPr="00370443">
        <w:rPr>
          <w:highlight w:val="green"/>
        </w:rPr>
        <w:t>'text': 'Documents (30)'</w:t>
      </w:r>
      <w:r>
        <w:t xml:space="preserve">, 'origin': (54.0, 137.45700073242188), 'bbox': (54.0, 124.61700439453125, 144.01199340820312, 141.14100646972656)}], 'wmode': 0, 'dir': (1.0, 0.0), 'bbox': (54.0, 124.61700439453125, 144.01199340820312, 141.14100646972656)}]}, {'number': 6, 'type': 0, 'bbox': (61.5, 152.13099670410156, 376.6499328613281, 165.87100219726562), 'lines': [{'spans': [{'size': 10.0, 'flags': 0, 'font': 'Helvetica', 'color': 0, 'ascender': 1.0750000476837158, 'descender': -0.29899999499320984, 'text': '1. ', 'origin': (61.5, 162.88099670410156), 'bbox': (61.5, 152.13099670410156, 72.6199951171875, 165.87100219726562)}, {'size': 10.0, 'flags': 2, </w:t>
      </w:r>
      <w:r w:rsidRPr="00370443">
        <w:rPr>
          <w:highlight w:val="yellow"/>
        </w:rPr>
        <w:t>'font': 'Helvetica-Oblique'</w:t>
      </w:r>
      <w:r>
        <w:t xml:space="preserve">, 'color': 30668, 'ascender': 1.0700000524520874, 'descender': -0.2840000092983246, </w:t>
      </w:r>
      <w:r w:rsidRPr="00370443">
        <w:rPr>
          <w:highlight w:val="yellow"/>
        </w:rPr>
        <w:t>'text': 'Paterson Parchment Paper Co. v. Story Parchment Co., 37 F.2d 537'</w:t>
      </w:r>
      <w:r>
        <w:t xml:space="preserve">, 'origin': (72.62000274658203, 162.88099670410156), 'bbox': (72.62000274658203, </w:t>
      </w:r>
      <w:r>
        <w:lastRenderedPageBreak/>
        <w:t xml:space="preserve">152.18099975585938, 376.6499328613281, 165.7209930419922)}], 'wmode': 0, 'dir': (1.0, 0.0), 'bbox': (61.5, 152.13099670410156, 376.6499328613281, 165.87100219726562)}]}, {'number': 7, 'type': 0, 'bbox': (68.5, 168.13099670410156, 165.74000549316406, 181.9510040283203), 'lines': [{'spans': [{'size': 10.0, 'flags': 16, 'font': 'Helvetica-Bold', 'color': 0, 'ascender': 1.0700000524520874, 'descender': -0.3070000112056732, 'text': 'Client/Matter: ', 'origin': (68.5, 178.88099670410156), 'bbox': (68.5, 168.18099975585938, 135.17001342773438, 181.9510040283203)}, {'size': 10.0, 'flags': 0, 'font': 'Helvetica', 'color': 0, 'ascender': 1.0750000476837158, 'descender': -0.29899999499320984, 'text': '-None-', 'origin': (135.17001342773438, 178.88099670410156), 'bbox': (135.17001342773438, 168.13099670410156, 165.74000549316406, 181.87100219726562)}], 'wmode': 0, 'dir': (1.0, 0.0), 'bbox': (68.5, 168.13099670410156, 165.74000549316406, 181.9510040283203)}]}, {'number': 8, 'type': 0, 'bbox': (68.5, 184.13099670410156, 201.20999145507812, 197.9510040283203), 'lines': [{'spans': [{'size': 10.0, 'flags': 16, 'font': 'Helvetica-Bold', 'color': 0, 'ascender': 1.0700000524520874, 'descender': -0.3070000112056732, 'text': 'Search Terms: ', 'origin': (68.5, 194.88099670410156), 'bbox': (68.5, 184.18099975585938, 140.760009765625, 197.9510040283203)}, {'size': 10.0, 'flags': 0, 'font': 'Helvetica', 'color': 0, 'ascender': 1.0750000476837158, 'descender': -0.29899999499320984, 'text': '"antitrust law"', 'origin': (140.760009765625, 194.88099670410156), 'bbox': (140.760009765625, 184.13099670410156, 201.20999145507812, 197.87100219726562)}], 'wmode': 0, 'dir': (1.0, 0.0), 'bbox': (68.5, 184.13099670410156, 201.20999145507812, 197.9510040283203)}]}, {'number': 9, 'type': 0, 'bbox': (68.5, 200.13099670410156, 216.36997985839844, 213.9510040283203), 'lines': [{'spans': [{'size': 10.0, 'flags': 16, 'font': 'Helvetica-Bold', 'color': 0, 'ascender': 1.0700000524520874, 'descender': -0.3070000112056732, 'text': 'Search Type: ', 'origin': (68.5, 210.88099670410156), 'bbox': (68.5, 200.18099975585938, 134.0800018310547, 213.9510040283203)}, {'size': 10.0, 'flags': 0, 'font': 'Helvetica', 'color': 0, 'ascender': 1.0750000476837158, 'descender': -0.29899999499320984, 'text': 'Natural Language ', 'origin': (134.0800018310547, 210.88099670410156), 'bbox': (134.0800018310547, 200.13099670410156, 216.36997985839844, 213.87100219726562)}], 'wmode': 0, 'dir': (1.0, 0.0), 'bbox': (68.5, 200.13099670410156, 216.36997985839844, 213.9510040283203)}]}, {'number': 10, 'type': 0, 'bbox': (68.5, 216.18099975585938, 135.1800079345703, 229.9510040283203), 'lines': [{'spans': [{'size': 10.0, 'flags': 16, 'font': 'Helvetica-Bold', 'color': 0, 'ascender': 1.0700000524520874, 'descender': -0.3070000112056732, 'text': 'Narrowed by: ', 'origin': (68.5, 226.88099670410156), 'bbox': (68.5, 216.18099975585938, 135.1800079345703, 229.9510040283203)}], 'wmode': 0, 'dir': (1.0, 0.0), 'bbox': (68.5, 216.18099975585938, 135.1800079345703, </w:t>
      </w:r>
      <w:r>
        <w:lastRenderedPageBreak/>
        <w:t xml:space="preserve">229.9510040283203)}]}, {'number': 11, 'type': 0, 'bbox': (111.4000015258789, 233.46299743652344, 315.9129943847656, 245.8560028076172), 'lines': [{'spans': [{'size': 9.0, 'flags': 16, 'font': 'Helvetica-Bold', 'color': 0, 'ascender': 1.0700000524520874, 'descender': -0.3070000112056732, 'text': 'Content Type', 'origin': (111.4000015258789, 243.09300231933594), 'bbox': (111.4000015258789, 233.46299743652344, 168.89199829101562, 245.8560028076172)}], 'wmode': 0, 'dir': (1.0, 0.0), 'bbox': (111.4000015258789, 233.46299743652344, 168.89199829101562, 245.8560028076172)}, {'spans': [{'size': 9.0, 'flags': 16, 'font': 'Helvetica-Bold', 'color': 0, 'ascender': 1.0700000524520874, 'descender': -0.3070000112056732, 'text': 'Narrowed by', 'origin': (261.3999938964844, 243.09300231933594), 'bbox': (261.3999938964844, 233.46299743652344, 315.9129943847656, 245.8560028076172)}], 'wmode': 0, 'dir': (1.0, 0.0), 'bbox': (261.3999938964844, 233.46299743652344, 315.9129943847656, 245.8560028076172)}]}, {'number': 12, 'type': 0, 'bbox': (111.4000015258789, 244.41799926757812, 495.4899597167969, 267.78399658203125), 'lines': [{'spans': [{'size': 9.0, 'flags': 0, 'font': 'Helvetica', 'color': 0, 'ascender': 1.0750000476837158, 'descender': -0.29899999499320984, 'text': 'Cases', 'origin': (111.4000015258789, 254.09300231933594), 'bbox': (111.4000015258789, 244.41799926757812, 136.906005859375, 256.78399658203125)}], 'wmode': 0, 'dir': (1.0, 0.0), 'bbox': (111.4000015258789, 244.41799926757812, 136.906005859375, 256.78399658203125)}, {'spans': [{'size': 9.0, 'flags': 0, 'font': 'Helvetica', 'color': 0, 'ascender': 1.0750000476837158, 'descender': -0.29899999499320984, 'text': 'Practice Areas &amp; Topics: Antitrust &amp; Trade Law; Court: 1st ', 'origin': (261.3999938964844, 254.09300231933594), 'bbox': (261.3999938964844, 244.41799926757812, 495.4899597167969, 256.78399658203125)}], 'wmode': 0, 'dir': (1.0, 0.0), 'bbox': (261.3999938964844, 244.41799926757812, 495.4899597167969, 256.78399658203125)}, {'spans': [{'size': 9.0, 'flags': 0, 'font': 'Helvetica', 'color': 0, 'ascender': 1.0750000476837158, 'descender': -0.29899999499320984, 'text': 'Circuit &gt; 1st Circuit Court of Appeals', 'origin': (261.3999938964844, 265.0929870605469), 'bbox': (261.3999938964844, 255.41798400878906, 406.7049865722656, 267.78399658203125)}], 'wmode': 0, 'dir': (1.0, 0.0), 'bbox': (261.3999938964844, 255.41798400878906, 406.7049865722656, 267.78399658203125)}]}, {'number': 13, 'type': 0, 'bbox': (61.5, 282.9300231933594, 388.34991455078125, 296.6700134277344), 'lines': [{'spans': [{'size': 10.0, 'flags': 0, 'font': 'Helvetica', 'color': 0, 'ascender': 1.0750000476837158, 'descender': -0.29899999499320984, 'text': '2. ', 'origin': (61.5, 293.6800231933594), 'bbox': (61.5, 282.9300231933594, 72.6199951171875, 296.6700134277344)}, {'size': 10.0, 'flags': 2, </w:t>
      </w:r>
      <w:r w:rsidRPr="0040159E">
        <w:rPr>
          <w:highlight w:val="yellow"/>
        </w:rPr>
        <w:t>'font': 'Helvetica-Oblique'</w:t>
      </w:r>
      <w:r>
        <w:t xml:space="preserve">, 'color': 30668, 'ascender': </w:t>
      </w:r>
      <w:r>
        <w:lastRenderedPageBreak/>
        <w:t xml:space="preserve">1.0700000524520874, 'descender': -0.2840000092983246, </w:t>
      </w:r>
      <w:r w:rsidRPr="0040159E">
        <w:rPr>
          <w:highlight w:val="yellow"/>
        </w:rPr>
        <w:t>'text': 'Union Leader Corp. v. Newspapers of New England, Inc., 284 F.2d 582'</w:t>
      </w:r>
      <w:r>
        <w:t xml:space="preserve">, 'origin': (72.62000274658203, 293.6800231933594), 'bbox': (72.62000274658203, 282.9800109863281, 388.34991455078125, 296.52001953125)}], 'wmode': 0, 'dir': (1.0, 0.0), 'bbox': (61.5, 282.9300231933594, 388.34991455078125, 296.6700134277344)}]}, {'number': 14, 'type': 0, 'bbox': (68.5, 298.9300231933594, 165.74000549316406, 312.7500305175781), 'lines': [{'spans': [{'size': 10.0, 'flags': 16, 'font': 'Helvetica-Bold', 'color': 0, 'ascender': 1.0700000524520874, 'descender': -0.3070000112056732, 'text': 'Client/Matter: ', 'origin': (68.5, 309.6800231933594), 'bbox': (68.5, 298.9800109863281, 135.17001342773438, 312.7500305175781)}, {'size': 10.0, 'flags': 0, 'font': 'Helvetica', 'color': 0, 'ascender': 1.0750000476837158, 'descender': -0.29899999499320984, 'text': '-None-', 'origin': (135.17001342773438, 309.6800231933594), 'bbox': (135.17001342773438, 298.9300231933594, 165.74000549316406, 312.6700134277344)}], 'wmode': 0, 'dir': (1.0, 0.0), 'bbox': (68.5, 298.9300231933594, 165.74000549316406, 312.7500305175781)}]}, {'number': 15, 'type': 0, 'bbox': (68.5, 314.9300231933594, 201.20999145507812, 328.7500305175781), 'lines': [{'spans': [{'size': 10.0, 'flags': 16, 'font': 'Helvetica-Bold', 'color': 0, 'ascender': 1.0700000524520874, 'descender': -0.3070000112056732, 'text': 'Search Terms: ', 'origin': (68.5, 325.6800231933594), 'bbox': (68.5, 314.9800109863281, 140.760009765625, 328.7500305175781)}, {'size': 10.0, 'flags': 0, 'font': 'Helvetica', 'color': 0, 'ascender': 1.0750000476837158, 'descender': -0.29899999499320984, 'text': '"antitrust law"', 'origin': (140.760009765625, 325.6800231933594), 'bbox': (140.760009765625, 314.9300231933594, 201.20999145507812, 328.6700134277344)}], 'wmode': 0, 'dir': (1.0, 0.0), 'bbox': (68.5, 314.9300231933594, 201.20999145507812, 328.7500305175781)}]}, {'number': 16, 'type': 0, 'bbox': (68.5, 330.9300231933594, 216.36997985839844, 344.7500305175781), 'lines': [{'spans': [{'size': 10.0, 'flags': 16, 'font': 'Helvetica-Bold', 'color': 0, 'ascender': 1.0700000524520874, 'descender': -0.3070000112056732, 'text': 'Search Type: ', 'origin': (68.5, 341.6800231933594), 'bbox': (68.5, 330.9800109863281, 134.0800018310547, 344.7500305175781)}, {'size': 10.0, 'flags': 0, 'font': 'Helvetica', 'color': 0, 'ascender': 1.0750000476837158, 'descender': -0.29899999499320984, 'text': 'Natural Language ', 'origin': (134.0800018310547, 341.6800231933594), 'bbox': (134.0800018310547, 330.9300231933594, 216.36997985839844, 344.6700134277344)}], 'wmode': 0, 'dir': (1.0, 0.0), 'bbox': (68.5, 330.9300231933594, 216.36997985839844, 344.7500305175781)}]}, {'number': 17, 'type': 0, 'bbox': (68.5, 346.9800109863281, 135.1800079345703, 360.7500305175781), 'lines': [{'spans': [{'size': 10.0, 'flags': 16, 'font': 'Helvetica-Bold', 'color': 0, 'ascender': 1.0700000524520874, 'descender': -0.3070000112056732, </w:t>
      </w:r>
      <w:r>
        <w:lastRenderedPageBreak/>
        <w:t xml:space="preserve">'text': 'Narrowed by: ', 'origin': (68.5, 357.6800231933594), 'bbox': (68.5, 346.9800109863281, 135.1800079345703, 360.7500305175781)}], 'wmode': 0, 'dir': (1.0, 0.0), 'bbox': (68.5, 346.9800109863281, 135.1800079345703, 360.7500305175781)}]}, {'number': 18, 'type': 0, 'bbox': (111.4000015258789, 364.2619934082031, 315.9129943847656, 376.6549987792969), 'lines': [{'spans': [{'size': 9.0, 'flags': 16, 'font': 'Helvetica-Bold', 'color': 0, 'ascender': 1.0700000524520874, 'descender': -0.3070000112056732, 'text': 'Content Type', 'origin': (111.4000015258789, 373.8919982910156), 'bbox': (111.4000015258789, 364.2619934082031, 168.89199829101562, 376.6549987792969)}], 'wmode': 0, 'dir': (1.0, 0.0), 'bbox': (111.4000015258789, 364.2619934082031, 168.89199829101562, 376.6549987792969)}, {'spans': [{'size': 9.0, 'flags': 16, 'font': 'Helvetica-Bold', 'color': 0, 'ascender': 1.0700000524520874, 'descender': -0.3070000112056732, 'text': 'Narrowed by', 'origin': (261.3999938964844, 373.8919982910156), 'bbox': (261.3999938964844, 364.2619934082031, 315.9129943847656, 376.6549987792969)}], 'wmode': 0, 'dir': (1.0, 0.0), 'bbox': (261.3999938964844, 364.2619934082031, 315.9129943847656, 376.6549987792969)}]}, {'number': 19, 'type': 0, 'bbox': (111.4000015258789, 375.2170104980469, 495.4899597167969, 398.5830078125), 'lines': [{'spans': [{'size': 9.0, 'flags': 0, 'font': 'Helvetica', 'color': 0, 'ascender': 1.0750000476837158, 'descender': -0.29899999499320984, 'text': 'Cases', 'origin': (111.4000015258789, 384.8919982910156), 'bbox': (111.4000015258789, 375.2170104980469, 136.906005859375, 387.5830078125)}], 'wmode': 0, 'dir': (1.0, 0.0), 'bbox': (111.4000015258789, 375.2170104980469, 136.906005859375, 387.5830078125)}, {'spans': [{'size': 9.0, 'flags': 0, 'font': 'Helvetica', 'color': 0, 'ascender': 1.0750000476837158, 'descender': -0.29899999499320984, 'text': 'Practice Areas &amp; Topics: Antitrust &amp; Trade Law; Court: 1st ', 'origin': (261.3999938964844, 384.8919982910156), 'bbox': (261.3999938964844, 375.2170104980469, 495.4899597167969, 387.5830078125)}], 'wmode': 0, 'dir': (1.0, 0.0), 'bbox': (261.3999938964844, 375.2170104980469, 495.4899597167969, 387.5830078125)}, {'spans': [{'size': 9.0, 'flags': 0, 'font': 'Helvetica', 'color': 0, 'ascender': 1.0750000476837158, 'descender': -0.29899999499320984, 'text': 'Circuit &gt; 1st Circuit Court of Appeals', 'origin': (261.3999938964844, 395.8919982910156), 'bbox': (261.3999938964844, 386.2170104980469, 406.7049865722656, 398.5830078125)}], 'wmode': 0, 'dir': (1.0, 0.0), 'bbox': (261.3999938964844, 386.2170104980469, 406.7049865722656, 398.5830078125)}]}, {'number': 20, 'type': 0, 'bbox': (61.5, 413.72900390625, 351.63995361328125, 427.468994140625), 'lines': [{'spans': [{'size': 10.0, 'flags': 0, 'font': 'Helvetica', 'color': 0, 'ascender': 1.0750000476837158, 'descender': -0.29899999499320984, 'text': '3. ', </w:t>
      </w:r>
      <w:r>
        <w:lastRenderedPageBreak/>
        <w:t xml:space="preserve">'origin': (61.5, 424.47900390625), 'bbox': (61.5, 413.72900390625, 72.6199951171875, 427.468994140625)}, {'size': 10.0, 'flags': 2, </w:t>
      </w:r>
      <w:r w:rsidRPr="0040159E">
        <w:rPr>
          <w:highlight w:val="yellow"/>
        </w:rPr>
        <w:t>'font': 'Helvetica-Oblique'</w:t>
      </w:r>
      <w:r>
        <w:t xml:space="preserve">, 'color': 30668, 'ascender': 1.0700000524520874, 'descender': -0.2840000092983246, </w:t>
      </w:r>
      <w:r w:rsidRPr="0040159E">
        <w:rPr>
          <w:highlight w:val="yellow"/>
        </w:rPr>
        <w:t>'text': 'Convertible Top Replacement Co. v. Aro Mfg. Co., 312 F.2d 52'</w:t>
      </w:r>
      <w:r>
        <w:t xml:space="preserve">, 'origin': (72.62000274658203, 424.47900390625), 'bbox': (72.62000274658203, 413.77899169921875, 351.63995361328125, 427.3190002441406)}], 'wmode': 0, 'dir': (1.0, 0.0), 'bbox': (61.5, 413.72900390625, 351.63995361328125, 427.468994140625)}]}, {'number': 21, 'type': 0, 'bbox': (68.5, 429.72900390625, 165.74000549316406, 443.54901123046875), 'lines': [{'spans': [{'size': 10.0, 'flags': 16, 'font': 'Helvetica-Bold', 'color': 0, 'ascender': 1.0700000524520874, 'descender': -0.3070000112056732, 'text': 'Client/Matter: ', 'origin': (68.5, 440.47900390625), 'bbox': (68.5, 429.77899169921875, 135.17001342773438, 443.54901123046875)}, {'size': 10.0, 'flags': 0, 'font': 'Helvetica', 'color': 0, 'ascender': 1.0750000476837158, 'descender': -0.29899999499320984, 'text': '-None-', 'origin': (135.17001342773438, 440.47900390625), 'bbox': (135.17001342773438, 429.72900390625, 165.74000549316406, 443.468994140625)}], 'wmode': 0, 'dir': (1.0, 0.0), 'bbox': (68.5, 429.72900390625, 165.74000549316406, 443.54901123046875)}]}, {'number': 22, 'type': 0, 'bbox': (68.5, 445.72900390625, 201.20999145507812, 459.54901123046875), 'lines': [{'spans': [{'size': 10.0, 'flags': 16, 'font': 'Helvetica-Bold', 'color': 0, 'ascender': 1.0700000524520874, 'descender': -0.3070000112056732, 'text': 'Search Terms: ', 'origin': (68.5, 456.47900390625), 'bbox': (68.5, 445.77899169921875, 140.760009765625, 459.54901123046875)}, {'size': 10.0, 'flags': 0, 'font': 'Helvetica', 'color': 0, 'ascender': 1.0750000476837158, 'descender': -0.29899999499320984, 'text': '"antitrust law"', 'origin': (140.760009765625, 456.47900390625), 'bbox': (140.760009765625, 445.72900390625, 201.20999145507812, 459.468994140625)}], 'wmode': 0, 'dir': (1.0, 0.0), 'bbox': (68.5, 445.72900390625, 201.20999145507812, 459.54901123046875)}]}, {'number': 23, 'type': 0, 'bbox': (68.5, 461.72900390625, 216.36997985839844, 475.54901123046875), 'lines': [{'spans': [{'size': 10.0, 'flags': 16, 'font': 'Helvetica-Bold', 'color': 0, 'ascender': 1.0700000524520874, 'descender': -0.3070000112056732, 'text': 'Search Type: ', 'origin': (68.5, 472.47900390625), 'bbox': (68.5, 461.77899169921875, 134.0800018310547, 475.54901123046875)}, {'size': 10.0, 'flags': 0, 'font': 'Helvetica', 'color': 0, 'ascender': 1.0750000476837158, 'descender': -0.29899999499320984, 'text': 'Natural Language ', 'origin': (134.0800018310547, 472.47900390625), 'bbox': (134.0800018310547, 461.72900390625, 216.36997985839844, 475.468994140625)}], 'wmode': 0, 'dir': (1.0, 0.0), 'bbox': (68.5, 461.72900390625, 216.36997985839844, </w:t>
      </w:r>
      <w:r>
        <w:lastRenderedPageBreak/>
        <w:t xml:space="preserve">475.54901123046875)}]}, {'number': 24, 'type': 0, 'bbox': (68.5, 477.77899169921875, 135.1800079345703, 491.54901123046875), 'lines': [{'spans': [{'size': 10.0, 'flags': 16, 'font': 'Helvetica-Bold', 'color': 0, 'ascender': 1.0700000524520874, 'descender': -0.3070000112056732, 'text': 'Narrowed by: ', 'origin': (68.5, 488.47900390625), 'bbox': (68.5, 477.77899169921875, 135.1800079345703, 491.54901123046875)}], 'wmode': 0, 'dir': (1.0, 0.0), 'bbox': (68.5, 477.77899169921875, 135.1800079345703, 491.54901123046875)}]}, {'number': 25, 'type': 0, 'bbox': (111.4000015258789, 495.06097412109375, 315.9129943847656, 507.4539794921875), 'lines': [{'spans': [{'size': 9.0, 'flags': 16, 'font': 'Helvetica-Bold', 'color': 0, 'ascender': 1.0700000524520874, 'descender': -0.3070000112056732, 'text': 'Content Type', 'origin': (111.4000015258789, 504.69097900390625), 'bbox': (111.4000015258789, 495.06097412109375, 168.89199829101562, 507.4539794921875)}], 'wmode': 0, 'dir': (1.0, 0.0), 'bbox': (111.4000015258789, 495.06097412109375, 168.89199829101562, 507.4539794921875)}, {'spans': [{'size': 9.0, 'flags': 16, 'font': 'Helvetica-Bold', 'color': 0, 'ascender': 1.0700000524520874, 'descender': -0.3070000112056732, 'text': 'Narrowed by', 'origin': (261.3999938964844, 504.69097900390625), 'bbox': (261.3999938964844, 495.06097412109375, 315.9129943847656, 507.4539794921875)}], 'wmode': 0, 'dir': (1.0, 0.0), 'bbox': (261.3999938964844, 495.06097412109375, 315.9129943847656, 507.4539794921875)}]}, {'number': 26, 'type': 0, 'bbox': (111.4000015258789, 506.0159912109375, 495.4899597167969, 529.3819580078125), 'lines': [{'spans': [{'size': 9.0, 'flags': 0, 'font': 'Helvetica', 'color': 0, 'ascender': 1.0750000476837158, 'descender': -0.29899999499320984, 'text': 'Cases', 'origin': (111.4000015258789, 515.6909790039062), 'bbox': (111.4000015258789, 506.0159912109375, 136.906005859375, 518.3819580078125)}], 'wmode': 0, 'dir': (1.0, 0.0), 'bbox': (111.4000015258789, 506.0159912109375, 136.906005859375, 518.3819580078125)}, {'spans': [{'size': 9.0, 'flags': 0, 'font': 'Helvetica', 'color': 0, 'ascender': 1.0750000476837158, 'descender': -0.29899999499320984, 'text': 'Practice Areas &amp; Topics: Antitrust &amp; Trade Law; Court: 1st ', 'origin': (261.3999938964844, 515.6909790039062), 'bbox': (261.3999938964844, 506.0159912109375, 495.4899597167969, 518.3819580078125)}], 'wmode': 0, 'dir': (1.0, 0.0), 'bbox': (261.3999938964844, 506.0159912109375, 495.4899597167969, 518.3819580078125)}, {'spans': [{'size': 9.0, 'flags': 0, 'font': 'Helvetica', 'color': 0, 'ascender': 1.0750000476837158, 'descender': -0.29899999499320984, 'text': 'Circuit &gt; 1st Circuit Court of Appeals', 'origin': (261.3999938964844, 526.6909790039062), 'bbox': (261.3999938964844, 517.0159912109375, 406.7049865722656, 529.3819580078125)}], 'wmode': 0, 'dir': (1.0, 0.0), 'bbox': (261.3999938964844, 517.0159912109375, 406.7049865722656, </w:t>
      </w:r>
      <w:r>
        <w:lastRenderedPageBreak/>
        <w:t xml:space="preserve">529.3819580078125)}]}, {'number': 27, 'type': 0, 'bbox': (61.5, 544.5279541015625, 430.5998840332031, 558.2679443359375), 'lines': [{'spans': [{'size': 10.0, 'flags': 0, 'font': 'Helvetica', 'color': 0, 'ascender': 1.0750000476837158, 'descender': -0.29899999499320984, 'text': '4. ', 'origin': (61.5, 555.2779541015625), 'bbox': (61.5, 544.5279541015625, 72.6199951171875, 558.2679443359375)}, {'size': 10.0, 'flags': 2, </w:t>
      </w:r>
      <w:r w:rsidRPr="0040159E">
        <w:rPr>
          <w:highlight w:val="yellow"/>
        </w:rPr>
        <w:t>'font': 'Helvetica-Oblique'</w:t>
      </w:r>
      <w:r>
        <w:t xml:space="preserve">, 'color': 30668, 'ascender': 1.0700000524520874, 'descender': -0.2840000092983246, </w:t>
      </w:r>
      <w:r w:rsidRPr="0040159E">
        <w:rPr>
          <w:highlight w:val="yellow"/>
        </w:rPr>
        <w:t>'text': 'International Shoe Machine Corp. v. United Shoe Machinery Corp., 315 F.2d 449'</w:t>
      </w:r>
      <w:r>
        <w:t xml:space="preserve">, 'origin': (72.62000274658203, 555.2779541015625), 'bbox': (72.62000274658203, 544.5779418945312, 430.5998840332031, 558.1179809570312)}], 'wmode': 0, 'dir': (1.0, 0.0), 'bbox': (61.5, 544.5279541015625, 430.5998840332031, 558.2679443359375)}]}, {'number': 28, 'type': 0, 'bbox': (68.5, 560.5279541015625, 165.74000549316406, 574.3479614257812), 'lines': [{'spans': [{'size': 10.0, 'flags': 16, 'font': 'Helvetica-Bold', 'color': 0, 'ascender': 1.0700000524520874, 'descender': -0.3070000112056732, 'text': 'Client/Matter: ', 'origin': (68.5, 571.2779541015625), 'bbox': (68.5, 560.5779418945312, 135.17001342773438, 574.3479614257812)}, {'size': 10.0, 'flags': 0, 'font': 'Helvetica', 'color': 0, 'ascender': 1.0750000476837158, 'descender': -0.29899999499320984, 'text': '-None-', 'origin': (135.17001342773438, 571.2779541015625), 'bbox': (135.17001342773438, 560.5279541015625, 165.74000549316406, 574.2679443359375)}], 'wmode': 0, 'dir': (1.0, 0.0), 'bbox': (68.5, 560.5279541015625, 165.74000549316406, 574.3479614257812)}]}, {'number': 29, 'type': 0, 'bbox': (68.5, 576.5279541015625, 201.20999145507812, 590.3479614257812), 'lines': [{'spans': [{'size': 10.0, 'flags': 16, 'font': 'Helvetica-Bold', 'color': 0, 'ascender': 1.0700000524520874, 'descender': -0.3070000112056732, 'text': 'Search Terms: ', 'origin': (68.5, 587.2779541015625), 'bbox': (68.5, 576.5779418945312, 140.760009765625, 590.3479614257812)}, {'size': 10.0, 'flags': 0, 'font': 'Helvetica', 'color': 0, 'ascender': 1.0750000476837158, 'descender': -0.29899999499320984, 'text': '"antitrust law"', 'origin': (140.760009765625, 587.2779541015625), 'bbox': (140.760009765625, 576.5279541015625, 201.20999145507812, 590.2679443359375)}], 'wmode': 0, 'dir': (1.0, 0.0), 'bbox': (68.5, 576.5279541015625, 201.20999145507812, 590.3479614257812)}]}, {'number': 30, 'type': 0, 'bbox': (68.5, 592.5279541015625, 216.36997985839844, 606.3479614257812), 'lines': [{'spans': [{'size': 10.0, 'flags': 16, 'font': 'Helvetica-Bold', 'color': 0, 'ascender': 1.0700000524520874, 'descender': -0.3070000112056732, 'text': 'Search Type: ', 'origin': (68.5, 603.2779541015625), 'bbox': (68.5, 592.5779418945312, 134.0800018310547, 606.3479614257812)}, {'size': 10.0, 'flags': 0, 'font': 'Helvetica', 'color': 0, 'ascender': 1.0750000476837158, 'descender': -0.29899999499320984, 'text': 'Natural Language ', 'origin': (134.0800018310547, </w:t>
      </w:r>
      <w:r>
        <w:lastRenderedPageBreak/>
        <w:t xml:space="preserve">603.2779541015625), 'bbox': (134.0800018310547, 592.5279541015625, 216.36997985839844, 606.2679443359375)}], 'wmode': 0, 'dir': (1.0, 0.0), 'bbox': (68.5, 592.5279541015625, 216.36997985839844, 606.3479614257812)}]}, {'number': 31, 'type': 0, 'bbox': (68.5, 608.5779418945312, 135.1800079345703, 622.3479614257812), 'lines': [{'spans': [{'size': 10.0, 'flags': 16, 'font': 'Helvetica-Bold', 'color': 0, 'ascender': 1.0700000524520874, 'descender': -0.3070000112056732, 'text': 'Narrowed by: ', 'origin': (68.5, 619.2779541015625), 'bbox': (68.5, 608.5779418945312, 135.1800079345703, 622.3479614257812)}], 'wmode': 0, 'dir': (1.0, 0.0), 'bbox': (68.5, 608.5779418945312, 135.1800079345703, 622.3479614257812)}]}, {'number': 32, 'type': 0, 'bbox': (111.4000015258789, 625.8599853515625, 315.9129943847656, 638.2529907226562), 'lines': [{'spans': [{'size': 9.0, 'flags': 16, 'font': 'Helvetica-Bold', 'color': 0, 'ascender': 1.0700000524520874, 'descender': -0.3070000112056732, 'text': 'Content Type', 'origin': (111.4000015258789, 635.489990234375), 'bbox': (111.4000015258789, 625.8599853515625, 168.89199829101562, 638.2529907226562)}], 'wmode': 0, 'dir': (1.0, 0.0), 'bbox': (111.4000015258789, 625.8599853515625, 168.89199829101562, 638.2529907226562)}, {'spans': [{'size': 9.0, 'flags': 16, 'font': 'Helvetica-Bold', 'color': 0, 'ascender': 1.0700000524520874, 'descender': -0.3070000112056732, 'text': 'Narrowed by', 'origin': (261.3999938964844, 635.489990234375), 'bbox': (261.3999938964844, 625.8599853515625, 315.9129943847656, 638.2529907226562)}], 'wmode': 0, 'dir': (1.0, 0.0), 'bbox': (261.3999938964844, 625.8599853515625, 315.9129943847656, 638.2529907226562)}]}, {'number': 33, 'type': 0, 'bbox': (111.4000015258789, 636.8150024414062, 495.4899597167969, 660.1809692382812), 'lines': [{'spans': [{'size': 9.0, 'flags': 0, 'font': 'Helvetica', 'color': 0, 'ascender': 1.0750000476837158, 'descender': -0.29899999499320984, 'text': 'Cases', 'origin': (111.4000015258789, 646.489990234375), 'bbox': (111.4000015258789, 636.8150024414062, 136.906005859375, 649.1809692382812)}], 'wmode': 0, 'dir': (1.0, 0.0), 'bbox': (111.4000015258789, 636.8150024414062, 136.906005859375, 649.1809692382812)}, {'spans': [{'size': 9.0, 'flags': 0, 'font': 'Helvetica', 'color': 0, 'ascender': 1.0750000476837158, 'descender': -0.29899999499320984, 'text': 'Practice Areas &amp; Topics: Antitrust &amp; Trade Law; Court: 1st ', 'origin': (261.3999938964844, 646.489990234375), 'bbox': (261.3999938964844, 636.8150024414062, 495.4899597167969, 649.1809692382812)}], 'wmode': 0, 'dir': (1.0, 0.0), 'bbox': (261.3999938964844, 636.8150024414062, 495.4899597167969, 649.1809692382812)}, {'spans': [{'size': 9.0, 'flags': 0, 'font': 'Helvetica', 'color': 0, 'ascender': 1.0750000476837158, 'descender': -0.29899999499320984, 'text': 'Circuit &gt; 1st Circuit Court of Appeals', 'origin': (261.3999938964844, </w:t>
      </w:r>
      <w:r>
        <w:lastRenderedPageBreak/>
        <w:t xml:space="preserve">657.489990234375), 'bbox': (261.3999938964844, 647.8150024414062, 406.7049865722656, 660.1809692382812)}], 'wmode': 0, 'dir': (1.0, 0.0), 'bbox': (261.3999938964844, 647.8150024414062, 406.7049865722656, 660.1809692382812)}]}, {'number': 34, 'type': 0, 'bbox': (61.5, 675.3269653320312, 332.75994873046875, 689.0669555664062), 'lines': [{'spans': [{'size': 10.0, 'flags': 0, 'font': 'Helvetica', 'color': 0, 'ascender': 1.0750000476837158, 'descender': -0.29899999499320984, 'text': '5. ', 'origin': (61.5, 686.0769653320312), 'bbox': (61.5, 675.3269653320312, 72.6199951171875, 689.0669555664062)}, {'size': 10.0, 'flags': 2, </w:t>
      </w:r>
      <w:r w:rsidRPr="0040159E">
        <w:rPr>
          <w:highlight w:val="yellow"/>
        </w:rPr>
        <w:t>'font': 'Helvetica-Oblique'</w:t>
      </w:r>
      <w:r>
        <w:t xml:space="preserve">, 'color': 30668, 'ascender': 1.0700000524520874, 'descender': -0.2840000092983246, </w:t>
      </w:r>
      <w:r w:rsidRPr="0040159E">
        <w:rPr>
          <w:highlight w:val="yellow"/>
        </w:rPr>
        <w:t>'text': 'Haverhill Gazette Co. v. Union Leader Corp., 333 F.2d 808'</w:t>
      </w:r>
      <w:r>
        <w:t>, 'origin': (72.62000274658203, 686.0769653320312), 'bbox': (72.62000274658203, 675.376953125, 332.75994873046875, 688.9169921875)}], 'wmode': 0, 'dir': (1.0, 0.0), 'bbox': (61.5, 675.3269653320312, 332.75994873046875, 689.0669555664062)}]}, {'number': 35, 'type': 0, 'bbox': (68.5, 691.3269653320312, 165.74000549316406, 705.14697265625), 'lines': [{'spans': [{'size': 10.0, 'flags': 16, 'font': 'Helvetica-Bold', 'color': 0, 'ascender': 1.0700000524520874, 'descender': -0.3070000112056732, 'text': 'Client/Matter: ', 'origin': (68.5, 702.0769653320312), 'bbox': (68.5, 691.376953125, 135.17001342773438, 705.14697265625)}, {'size': 10.0, 'flags': 0, 'font': 'Helvetica', 'color': 0, 'ascender': 1.0750000476837158, 'descender': -0.29899999499320984, 'text': '-None-', 'origin': (135.17001342773438, 702.0769653320312), 'bbox': (135.17001342773438, 691.3269653320312, 165.74000549316406, 705.0669555664062)}], 'wmode': 0, 'dir': (1.0, 0.0), 'bbox': (68.5, 691.3269653320312, 165.74000549316406, 705.14697265625)}]}, {'number': 36, 'type': 0, 'bbox': (68.5, 707.3269653320312, 201.20999145507812, 721.14697265625), 'lines': [{'spans': [{'size': 10.0, 'flags': 16, 'font': 'Helvetica-Bold', 'color': 0, 'ascender': 1.0700000524520874, 'descender': -0.3070000112056732, 'text': 'Search Terms: ', 'origin': (68.5, 718.0769653320312), 'bbox': (68.5, 707.376953125, 140.760009765625, 721.14697265625)}, {'size': 10.0, 'flags': 0, 'font': 'Helvetica', 'color': 0, 'ascender': 1.0750000476837158, 'descender': -0.29899999499320984, 'text': '"antitrust law"', 'origin': (140.760009765625, 718.0769653320312), 'bbox': (140.760009765625, 707.3269653320312, 201.20999145507812, 721.0669555664062)}], 'wmode': 0, 'dir': (1.0, 0.0), 'bbox': (68.5, 707.3269653320312, 201.20999145507812, 721.14697265625)}]}, {'number': 37, 'type': 1, 'bbox': (54.0, 42.0, 201.75, 72.0), 'width': 197, 'height': 40, 'ext': 'png', 'colorspace': 3, 'xres': 96, 'yres': 96, 'bpc': 8, 'transform': (147.75, 0.0, -0.0, 30.0, 54.0, 42.0), 'size': 5357, 'image': b'\x89PNG\r\n\x1a\n\x00\x00\x00\rIHDR\x00\x00\x00\xc5\x00\x00\x00(\x08\x02\x00\x00\x00\xc1\x80\xa9\xfb\x00\x00\x00\tpHYs\x00\x00\x0e\xc4\x00\x00\x0e\xc4</w:t>
      </w:r>
      <w:r>
        <w:lastRenderedPageBreak/>
        <w:t>\x01\x95+\x0e\x1b\x00\x00\x06\x84IDATx\x9c\xed\\\xcdr\xdb8\x0c\xe6\x1b4M,\xcbulII&lt;\xd3C\x8fy\xff\xc7\xd8S\x0f\x9d\x9d\xa6\xfaq\xdb\xcd#p\tP\x94d\x8b\x04AYrl\x8f0\x1a\x8f-\x82$@|\x06\xc0\x1fI\xc8\x93\xe9\x9fo\xdf\xca8-\xa3\xb4\\&amp;\xe52=\xbc2u\xb3R_\xe2L\nqz_3]8\x9dd\xe3b\x95\x14\xcb\xb4\x8a\xd3\x1e\x8c\x1cW\x9c\xe4\xeb\xe7\xb1D\x9f\xe9\x02i \x9e\xf6\xd1\xa6`b\xa8w\xa9\x8ao\x8f\x8f\xe3\xaa1\xd3\x85P8\x9e\x84\xc0\xe8\x96\x012\xa2\xa4\x88\xd4gVF\x89\x8awU\x9c\x05\x00KE\xc0\x99n\x8e\x82\xf1\xa4b\x96rN\xf9z\x9dGO\x95J\x8f"\xc4\x96\xbe\xe2,\x7f\xc8\xf2/O\x15\xd7Q%*\xf7\x9aB\xab\x99&gt;\x8a\x02\xf1$\x84\xf2Ie\x9b0e\xd5\x12R(\xf0R+\x05\xa3\xed&gt;\xca\x14\xdaj\xceE\xcdVa\xb6\x8e\xce,\xab\x8e!\x95*hN\xa1\xd8L\x1fB\x01x*\x16\xe8\x8d\x9a\xcc\xfaK*\xc1]a\xbc\x03\xd0d\x05F\xb1b\xd5\tdB(\xc0\xfd\xc8\xe0N\x1emk&lt;E\xc7\x8e\xea\xc8K\tC\xa3h8\xd39\x89k\xb3\xaaY\x0b\x88\xb3\x9f\x1b\x88w:\x85\x02$-!yR71\xb5RQo\xd3\xa9\xf5\xa4\x00\xf7~\x07x\xdac@\xac\x80\xbf\x1f\xf8\x0er)\xd1\xa1\x11U\x9d\xe9\x0c\xc42\x18\xa4\xdb\xe8W\xfe\xfb\xfc\xfc\xf7~\xd7\x01D\x92/\x12\t\x0b\x07\xca9\xd5XQ\xce\xe6\xfbn\'\x01L-bT^\xf5\xef\'\x15\x19q}a\x99Y\xe6\x86q\xda\xca4\xe3\xe9j\xc9o0\xf01\xc6\xde\xf5\xf7:+J\xf0N\x82\xe9\x91J\xaa\x12\xcc\xae \xa3\x82\x15\xce^P+V\x80\xa4\xaavi\x96\xf4\xfc\xd7\xfa\xa5\x96i\xc6\xd3\xd5\x92\xdf`8qK%\xa6JM\x1a\xaeR\xa2\xb7\xc7\xc7\xd2,\x10(\xbf\xa5\xa6u:\x97\x82P\xb8\xb4/\x1cTx\xbfr\x94vW\x108`\xfaX\xcc\r\xeb\x9dY\xe5&lt;\xff\xa8)z\xf14\xa4rpe~p&lt;M\xfe\x14\xe9\x00\xb75?\xd3zE\n\x81\x02\xdf]p\xa9\xe7\x83N\xff\x84\x90\xda\x06\x88~\xb5x\xe2\xffUn\rO\xda3\x15\xad\x83A05\xb1,\xca\x90g\xabg\xfe]N\xf7\x9a\x13\xd4r\xe1I7\xc2\x15\xfd\x9a\xf1DW\xbc@&lt;q%\xf76T\x1d\x1a[\xa5\xde&amp;\x7f\x020\xa9,\xaa.\x82\xa5\x01\xd62\xa63\xde\xe1\xb5\x8f\xa2\xd0\xe1`\xf2_\x02\x89C\xe2\xb0\x9dS&lt;\x82\xc6\xc1\x13$I\xc6\xd2\x12\xb7\xed\xda\xe9\x18\x00hk@\xb0Q)\x14\x07L\x06Rn\x07\x86\xf14HC&amp;\xff%\x90\xe8\x91\x97\xed\xcc\x12\xbah\x1c&lt;5\xf1\x0bV\xb1;\x1e\xa8X\xed0U2)\x148\xaa\x80\xcd;\xd2EM\x8b\'z\\\xbcnc\x94\xf6\xbd\x90:\x11p\xb4\nAZ\xf0E\xaa\xd9\x88\xb2\xdf\x8b\xaf&amp;\xb4\xe9\xa5\x81\x83\x89\x98\x9e\xdcU1D\xa8\x9f\x9b\r\x1fL\xde\xcb\xab\xadKg&amp;\xbf\xcb\xa2L\x1b\xbbz\xa7\x1b\xe7\xf3\x10\x92xU\xa0\x87\xe5\x88\x9f\xaeN\x88G\x10\xc5Z\x98\x15p\x9c\xc1\xbd\xb4\xf6\x16\xe2\xfd.\xeb&amp;U\xcc\xcc\xe9\x03\xf1DX\xc2:\xbe\xb4!\xad\xbd\x13-\x07\xf1\xc8\x10K\x8f\xa2\x82\xb0\xfd\xa3h\t\x9d\xe3L\x94\x99\x84&amp;\x85\xeffNw\xf4\xf3\xed\x1eN2\x8d\x8b\xa7\xdf\x8b\x94%:[U\xaf%\\\x03\xca\xb9\xe9\xed\xc2%3\x87M\xb8\xf1d\xed\x94h\x96\xd6\xcbz\xc7*\x9bg\xa8\x892\r\x1a\x95h\xff\xc8\xdatGu\xf2}\xb7\xebfN\nR#\x82\t \xdb\xddQ&amp;Dgk\xeb2\x9b\xb5(\xd4&lt;\xde.\x08\x99O\xb1=\x93\xb9\xaf\x05\xa7\xa2oD\xdd\n\x12e%N\xc4$\x9ey\xaa\x13\xa9\xc3\xe8VM\x10\xec\x10O\xac\x94\x9c</w:t>
      </w:r>
      <w:r>
        <w:lastRenderedPageBreak/>
        <w:t>\xa9&lt;mi\xef@\xbb\xaa{M\xc8\x94\xd9Z1\xd4\xd2|\x15\\&lt;\x9c\xb1\xe2\x90\x07Oz\xf6\xdeD\xb7?\x0f\x1bi\xe2`\t\xcb\x04\xa9d\xaca\x86^:\x86\xfaE\xe7iN\x8c,g\xa0]\xbdpj1e\xee\xd7\xea72\x85\x16\xcc^\xe8\xe1=V\x90(+\xcd\x82x\xe3\x81\x9a\xfbM\xec\x93\x13\xe0I\x9f\x97\xf2\x8b\xceSx\x80%\xfa\xb58\xbd\x075\xcb\x172H\x85 -\xacE\xde6=\xa3M\x94aj\xfc\x0c\x87\x05\xb4\xa5q\xef\x05\xf6};\xc9\x93&lt;\xd8\'\x1e\xe1\xaa\xc6\x9e\xdf\x8db\t\xc2\x18\x9c\xee82\x13R\xf1U\xb0\xf6\xc5\x11\x95\xaf\x82g\xb4\x892\x85\x188\xb4d6X\n\xdc\xadk6\xef\x8a\x9e\xbb\x1a\xe7\xea\x1c\x84\xf2\x88\xceSu\xc8\xa0\xf8L\xe5\xed\xddkc~\xbfA\xca\x0eS!T\x0b\xaa_\xa2L\xe1\xe9\xfd.\xdb\x9bU\xa8&lt;z\x92\x10\xfb\xcc\\\xcf\x1c/\x19\x17OS\xfb\'~\xb3\xb4=\xacw\xbc\x12z\xc5p\xf58\xa9\n\x84\x16A\xfdJ\x1aO\xf9\x02\x1e\xbfl\xce\xd0\xe9iW\x115s\xbdz\x16VY\x1e\x0b\x1e~\xe5\x0f\xac\xe4I\x86\xfce\xf9\x03\xca\xb7\xa5\x97\x87S\x8b/\xadK\x05k\x9b\xc3\xf4\xa2\x05\xa6en\xf9\xc9B\x81\xcf\x92\xbf\x18&lt;\x81\xa5\x1b\xf4T\xad\x7f\x1a\rO\xc3\xce\xab\xd0\xc4dv\r\xbakX\x83\xda\xef\xb7\xc3W-H_W]\xabv\xc4OZ\x0bJr\x0e\x93\tpp\xd8\xadY\x8bj6n;wN\xc6S\xc4uN\xcc\xf1\x15C\xf1D\xf7%\'\xc6\x93\x8b3H\x05Z\x0b\xab\xbe\x1c\x15&lt;bs\x98\xb4\x07\xd2\xbb\xc2\xcd\x19\xdf&amp;\xd1)\x83\x1e\x0b&amp;\xaf\xa0\xc7;\xe9\xc1\xe5\xdb\xa3\xcf@wg\xfd\xe9j\x9fn\x84\xa3 Gk~\x17V\x15\x84\xcf\x0br\xa4\xad\xabs\x98\xb4\x072\xab\xe1\xed#\tR\xbc\xaa;\xbf\xd6/\xe3\xe0i~\x02\xfd\xfa\x89\x89\'D\x8c&gt;\xe9\xd6\x1c{R\xb9\xf3\xa2&gt;\xee=\x06\x98\xd2\xc9t\x9c\xe9|\xc4ue\xfa\xbd&lt;\xda!\xb5\x0b\x98\x06\x04\xa7\x87\xbc}H\xe64\xd3\xc5\x12\x17O\x7f\xef\xf1L\x01\xa6\xe4\xcd\xb9\xa8\xd2\xa4Pu\xe9\xe04|\x15\xf0X\xcbL\x97L\x01\xa9V\xbe\xa8\x1fhiw`:P(\x06\xaf\x1a\xcc\x91\xee\x86(l\xf7\xb8Xd\xc5*\x95\xb6]\x17\x15\n\x07\x80\x89\xbf\x1a&gt;\xd3UP\x18\x9e\xb0\xc6+~\x8a&gt;&amp;\xaa\xc0\x85\xa8\xf9\xdd\x87\xb7G\xe1x2\x04\x0fH\xc5u\xc0\x82\x97\xab \x951\xef\xc1\x84(\x91COl\xcdt\xc9t\x92Q\xf1U\x05\xe8\xa2:\xaf\xef\xfd\xf3\xb0!\x1e9/\x96\x99~}\xcfL7I#8\t\xf4I\xf0"\x9e\xc6KIH\xde\xb7\xdd\xf7g\xa8\xef\xf8v\x83\xd7\xd3\xbb\x9b\xe9\x92\xe9\x7f\x82\x00\x99\xf8t)!&gt;\x00\x00\x00\x00IEND\xaeB`\x82'}]</w:t>
      </w:r>
    </w:p>
    <w:p w14:paraId="19458981" w14:textId="4EEB2F22" w:rsidR="003D4B6F" w:rsidRDefault="00370443" w:rsidP="00370443">
      <w:r>
        <w:rPr>
          <w:rFonts w:hint="eastAsia"/>
        </w:rPr>
        <w:t xml:space="preserve">--- </w:t>
      </w:r>
      <w:r>
        <w:rPr>
          <w:rFonts w:hint="eastAsia"/>
        </w:rPr>
        <w:t>頁碼</w:t>
      </w:r>
      <w:r>
        <w:rPr>
          <w:rFonts w:hint="eastAsia"/>
        </w:rPr>
        <w:t xml:space="preserve"> 1 ---</w:t>
      </w:r>
    </w:p>
    <w:p w14:paraId="5598667B" w14:textId="77777777" w:rsidR="00CA7EF7" w:rsidRDefault="00CA7EF7" w:rsidP="00370443"/>
    <w:p w14:paraId="6E6BAA19" w14:textId="55B8D0E2" w:rsidR="00CA7EF7" w:rsidRPr="00CA7EF7" w:rsidRDefault="00CA7EF7" w:rsidP="00370443"/>
    <w:sectPr w:rsidR="00CA7EF7" w:rsidRPr="00CA7E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43"/>
    <w:rsid w:val="002312E6"/>
    <w:rsid w:val="00370443"/>
    <w:rsid w:val="003D4B6F"/>
    <w:rsid w:val="0040159E"/>
    <w:rsid w:val="00BC7AB7"/>
    <w:rsid w:val="00CA7EF7"/>
    <w:rsid w:val="00CC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92B1"/>
  <w15:chartTrackingRefBased/>
  <w15:docId w15:val="{9A86AA56-7B60-4CB4-AD03-02356FD3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DBAC6-9A10-4725-984E-0A96340BA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13</Pages>
  <Words>5570</Words>
  <Characters>31749</Characters>
  <Application>Microsoft Office Word</Application>
  <DocSecurity>0</DocSecurity>
  <Lines>264</Lines>
  <Paragraphs>74</Paragraphs>
  <ScaleCrop>false</ScaleCrop>
  <Company/>
  <LinksUpToDate>false</LinksUpToDate>
  <CharactersWithSpaces>37245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惟奇 李</dc:creator>
  <cp:keywords/>
  <dc:description/>
  <cp:lastModifiedBy>惟奇 李</cp:lastModifiedBy>
  <cp:revision>2</cp:revision>
  <dcterms:created xsi:type="dcterms:W3CDTF">2024-01-07T04:04:00Z</dcterms:created>
  <dcterms:modified xsi:type="dcterms:W3CDTF">2024-01-08T07:48:00Z</dcterms:modified>
</cp:coreProperties>
</file>