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CURSO DE ESPECIALIZACI?N EN PYTHON</w:t>
        <w:br/>
      </w:r>
      <w:r>
        <w:rPr>
          <w:b/>
          <w:sz w:val="30"/>
        </w:rPr>
        <w:t>"Dashboard de Transparencia en Contrataciones P?blicas del Per? (2022?2024)"</w:t>
        <w:br/>
      </w:r>
      <w:r>
        <w:rPr>
          <w:sz w:val="24"/>
        </w:rPr>
        <w:t>An?lisis de competencia, riesgo econ?mico y transparencia territorial basado en datos OCDS</w:t>
        <w:br/>
        <w:br/>
      </w:r>
      <w:r>
        <w:rPr>
          <w:sz w:val="24"/>
        </w:rPr>
        <w:t>GRUPO ___</w:t>
        <w:br/>
        <w:t>INTEGRANTES:</w:t>
        <w:br/>
        <w:t>[Completar integrantes]</w:t>
        <w:br/>
        <w:br/>
        <w:t>LIMA ? PER?</w:t>
        <w:br/>
        <w:t>Mayo, 2026</w:t>
      </w:r>
    </w:p>
    <w:p>
      <w:r>
        <w:br w:type="page"/>
      </w:r>
    </w:p>
    <w:p>
      <w:pPr>
        <w:pStyle w:val="Heading1"/>
      </w:pPr>
      <w:r>
        <w:t>1. INTRODUCCI?N</w:t>
      </w:r>
    </w:p>
    <w:p>
      <w:r>
        <w:t>El presente proyecto desarrolla un dashboard anal?tico orientado a la supervisi?n de contrataciones p?blicas del Per? para los a?os 2022, 2023 y 2024. La propuesta toma como base los datos publicados bajo el est?ndar OCDS y los transforma en una base maestra ?nica, indicadores de transparencia y visualizaciones interactivas que facilitan la lectura de patrones de riesgo, competencia y concentraci?n territorial.</w:t>
      </w:r>
    </w:p>
    <w:p>
      <w:r>
        <w:t>La versi?n final del proyecto mantiene una l?nea de trabajo coherente entre el documento, los notebooks, el dashboard y el repositorio de GitHub. En esta actualizaci?n se corrigi? adem?s la nomenclatura temporal del proyecto, reemplazando la etiqueta "anio" por "a?o" en la documentaci?n visible, en el dashboard y en los entregables acad?micos, con el fin de mejorar la presentaci?n formal del trabajo.</w:t>
      </w:r>
    </w:p>
    <w:p>
      <w:pPr>
        <w:pStyle w:val="Heading1"/>
      </w:pPr>
      <w:r>
        <w:t>2. PROBLEMA</w:t>
      </w:r>
    </w:p>
    <w:p>
      <w:r>
        <w:t>Aunque el Estado peruano publica informaci?n de contrataciones en formato abierto, el an?lisis directo de los archivos OCDS presenta una barrera t?cnica importante. La informaci?n se distribuye en m?ltiples archivos CSV, con relaciones que no resultan evidentes para un usuario no especializado. Esta fragmentaci?n dificulta el seguimiento de procesos, la comparaci?n entre departamentos y la identificaci?n temprana de se?ales de riesgo.</w:t>
      </w:r>
    </w:p>
    <w:p>
      <w:r>
        <w:t>La necesidad central del proyecto consiste en convertir datos abiertos dispersos en evidencia anal?tica clara, reproducible y visualmente interpretable. En ese contexto, el dashboard cumple una funci?n de articulaci?n: resume la base maestra, organiza el an?lisis en secciones tem?ticas y permite filtrar el comportamiento de los procesos por a?o, departamento y categor?a.</w:t>
      </w:r>
    </w:p>
    <w:p>
      <w:pPr>
        <w:pStyle w:val="Heading1"/>
      </w:pPr>
      <w:r>
        <w:t>3. MOTIVACI?N</w:t>
      </w:r>
    </w:p>
    <w:p>
      <w:r>
        <w:t>Desde el punto de vista acad?mico, el proyecto integra de forma aplicada los contenidos del curso: manipulaci?n de datos con Pandas, visualizaci?n con Matplotlib, Seaborn y Plotly, y construcci?n de interfaces anal?ticas con Streamlit. Desde el punto de vista t?cnico, la metodolog?a resulta replicable para otros conjuntos de datos OCDS. Desde el punto de vista social, la propuesta aporta una herramienta concreta para fortalecer la vigilancia de la transparencia en el gasto p?blico.</w:t>
      </w:r>
    </w:p>
    <w:p>
      <w:pPr>
        <w:pStyle w:val="Heading1"/>
      </w:pPr>
      <w:r>
        <w:t>4. OBJETIVOS</w:t>
      </w:r>
    </w:p>
    <w:p>
      <w:pPr>
        <w:pStyle w:val="Heading2"/>
      </w:pPr>
      <w:r>
        <w:t>4.1. Objetivo General</w:t>
      </w:r>
    </w:p>
    <w:p>
      <w:r>
        <w:t>Dise?ar e implementar un dashboard anal?tico automatizado en Python para identificar indicadores de riesgo, competencia y transparencia en las contrataciones p?blicas del Per? durante el per?odo 2022?2024, a partir de la integraci?n, depuraci?n y visualizaci?n de datos OCDS.</w:t>
      </w:r>
    </w:p>
    <w:p>
      <w:pPr>
        <w:pStyle w:val="Heading2"/>
      </w:pPr>
      <w:r>
        <w:t>4.2. Objetivos Espec?ficos</w:t>
      </w:r>
    </w:p>
    <w:p>
      <w:pPr>
        <w:pStyle w:val="ListBullet"/>
      </w:pPr>
      <w:r>
        <w:t>Integrar los archivos de los a?os 2022, 2023 y 2024 en una base maestra consistente.</w:t>
      </w:r>
    </w:p>
    <w:p>
      <w:pPr>
        <w:pStyle w:val="ListBullet"/>
      </w:pPr>
      <w:r>
        <w:t>Normalizar variables clave y construir columnas derivadas como n?mero de postores, presencia de un solo postor, m?todo simple y monto en millones de soles.</w:t>
      </w:r>
    </w:p>
    <w:p>
      <w:pPr>
        <w:pStyle w:val="ListBullet"/>
      </w:pPr>
      <w:r>
        <w:t>Organizar el an?lisis en cuatro secciones: Resumen General, Competencia, Riesgo Econ?mico y Transparencia Geogr?fica.</w:t>
      </w:r>
    </w:p>
    <w:p>
      <w:pPr>
        <w:pStyle w:val="ListBullet"/>
      </w:pPr>
      <w:r>
        <w:t>Desarrollar un dashboard interactivo con filtros por a?o, departamento y categor?a.</w:t>
      </w:r>
    </w:p>
    <w:p>
      <w:pPr>
        <w:pStyle w:val="ListBullet"/>
      </w:pPr>
      <w:r>
        <w:t>Documentar el proyecto en un repositorio de GitHub reproducible y auditado.</w:t>
      </w:r>
    </w:p>
    <w:p>
      <w:pPr>
        <w:pStyle w:val="Heading1"/>
      </w:pPr>
      <w:r>
        <w:t>5. DESCRIPCI?N DE LA SOLUCI?N</w:t>
      </w:r>
    </w:p>
    <w:p>
      <w:r>
        <w:t>El repositorio del proyecto se encuentra publicado en: https://github.com/chrisjairo0-web/dashboard-contrataciones-peru-PYTHON</w:t>
      </w:r>
    </w:p>
    <w:p>
      <w:r>
        <w:t>La soluci?n se compone de tres notebooks principales, una base maestra consolidada, un dashboard en Streamlit y una documentaci?n de apoyo en README. Cada componente utiliza el mismo lenguaje anal?tico, la misma divisi?n tem?tica y las mismas definiciones operativas, de modo que el proyecto pueda explicarse de forma coherente ante el jurado.</w:t>
      </w:r>
    </w:p>
    <w:p>
      <w:pPr>
        <w:pStyle w:val="Heading2"/>
      </w:pPr>
      <w:r>
        <w:t>5.1. Flujo actual y flujo propuesto</w:t>
      </w:r>
    </w:p>
    <w:p>
      <w:r>
        <w:t>La Figura 1 resume el flujo actual de an?lisis manual. La Figura 2 muestra el flujo propuesto con integraci?n automatizada, c?lculo de KPIs y visualizaci?n estructurada en dashboard.</w:t>
      </w:r>
    </w:p>
    <w:p>
      <w:pPr>
        <w:jc w:val="center"/>
      </w:pPr>
      <w:r>
        <w:drawing>
          <wp:inline xmlns:a="http://schemas.openxmlformats.org/drawingml/2006/main" xmlns:pic="http://schemas.openxmlformats.org/drawingml/2006/picture">
            <wp:extent cx="6126480" cy="3525500"/>
            <wp:docPr id="1" name="Picture 1"/>
            <wp:cNvGraphicFramePr>
              <a:graphicFrameLocks noChangeAspect="1"/>
            </wp:cNvGraphicFramePr>
            <a:graphic>
              <a:graphicData uri="http://schemas.openxmlformats.org/drawingml/2006/picture">
                <pic:pic>
                  <pic:nvPicPr>
                    <pic:cNvPr id="0" name="flujo_asis.png"/>
                    <pic:cNvPicPr/>
                  </pic:nvPicPr>
                  <pic:blipFill>
                    <a:blip r:embed="rId9"/>
                    <a:stretch>
                      <a:fillRect/>
                    </a:stretch>
                  </pic:blipFill>
                  <pic:spPr>
                    <a:xfrm>
                      <a:off x="0" y="0"/>
                      <a:ext cx="6126480" cy="3525500"/>
                    </a:xfrm>
                    <a:prstGeom prst="rect"/>
                  </pic:spPr>
                </pic:pic>
              </a:graphicData>
            </a:graphic>
          </wp:inline>
        </w:drawing>
      </w:r>
    </w:p>
    <w:p>
      <w:pPr>
        <w:jc w:val="center"/>
      </w:pPr>
      <w:r>
        <w:t>Figura 1. Flujo actual de an?lisis manual (AS-IS).</w:t>
      </w:r>
    </w:p>
    <w:p>
      <w:pPr>
        <w:jc w:val="center"/>
      </w:pPr>
      <w:r>
        <w:drawing>
          <wp:inline xmlns:a="http://schemas.openxmlformats.org/drawingml/2006/main" xmlns:pic="http://schemas.openxmlformats.org/drawingml/2006/picture">
            <wp:extent cx="6126480" cy="3525500"/>
            <wp:docPr id="2" name="Picture 2"/>
            <wp:cNvGraphicFramePr>
              <a:graphicFrameLocks noChangeAspect="1"/>
            </wp:cNvGraphicFramePr>
            <a:graphic>
              <a:graphicData uri="http://schemas.openxmlformats.org/drawingml/2006/picture">
                <pic:pic>
                  <pic:nvPicPr>
                    <pic:cNvPr id="0" name="flujo_tobe.png"/>
                    <pic:cNvPicPr/>
                  </pic:nvPicPr>
                  <pic:blipFill>
                    <a:blip r:embed="rId10"/>
                    <a:stretch>
                      <a:fillRect/>
                    </a:stretch>
                  </pic:blipFill>
                  <pic:spPr>
                    <a:xfrm>
                      <a:off x="0" y="0"/>
                      <a:ext cx="6126480" cy="3525500"/>
                    </a:xfrm>
                    <a:prstGeom prst="rect"/>
                  </pic:spPr>
                </pic:pic>
              </a:graphicData>
            </a:graphic>
          </wp:inline>
        </w:drawing>
      </w:r>
    </w:p>
    <w:p>
      <w:pPr>
        <w:jc w:val="center"/>
      </w:pPr>
      <w:r>
        <w:t>Figura 2. Flujo propuesto con dashboard automatizado (TO-BE).</w:t>
      </w:r>
    </w:p>
    <w:p>
      <w:pPr>
        <w:pStyle w:val="Heading2"/>
      </w:pPr>
      <w:r>
        <w:t>5.2. Estructura t?cnica del proyecto</w:t>
      </w:r>
    </w:p>
    <w:p>
      <w:r>
        <w:t>El proyecto qued? organizado en la siguiente estructura final:</w:t>
      </w:r>
    </w:p>
    <w:p>
      <w:pPr>
        <w:pStyle w:val="ListBullet"/>
      </w:pPr>
      <w:r>
        <w:t>data/: contiene los CSV originales de 2022, 2023 y 2024, adem?s de la base maestra consolidada.</w:t>
      </w:r>
    </w:p>
    <w:p>
      <w:pPr>
        <w:pStyle w:val="ListBullet"/>
      </w:pPr>
      <w:r>
        <w:t>notebooks/01_carga_limpieza.ipynb: documenta la integraci?n anual y la validaci?n de la base maestra.</w:t>
      </w:r>
    </w:p>
    <w:p>
      <w:pPr>
        <w:pStyle w:val="ListBullet"/>
      </w:pPr>
      <w:r>
        <w:t>notebooks/02_visualizaciones.ipynb: re?ne las 16 visualizaciones del informe.</w:t>
      </w:r>
    </w:p>
    <w:p>
      <w:pPr>
        <w:pStyle w:val="ListBullet"/>
      </w:pPr>
      <w:r>
        <w:t>notebooks/03_kpis_resumen.ipynb: resume los indicadores principales de transparencia.</w:t>
      </w:r>
    </w:p>
    <w:p>
      <w:pPr>
        <w:pStyle w:val="ListBullet"/>
      </w:pPr>
      <w:r>
        <w:t>dashboard.py: contiene la aplicaci?n interactiva desarrollada en Streamlit.</w:t>
      </w:r>
    </w:p>
    <w:p>
      <w:pPr>
        <w:pStyle w:val="ListBullet"/>
      </w:pPr>
      <w:r>
        <w:t>README.md: documenta la forma de ejecuci?n y la reproducibilidad del proyecto.</w:t>
      </w:r>
    </w:p>
    <w:p>
      <w:pPr>
        <w:pStyle w:val="Heading2"/>
      </w:pPr>
      <w:r>
        <w:t>5.3. C?digo principal y criterios de limpieza</w:t>
      </w:r>
    </w:p>
    <w:p>
      <w:r>
        <w:t>La actualizaci?n final tambi?n busc? que el c?digo se explique por s? solo. Por ello se mantuvieron bloques simples, comentarios descriptivos y una secuencia de trabajo visible en los notebooks. Los fragmentos siguientes resumen la l?gica principal del proyecto:</w:t>
      </w:r>
    </w:p>
    <w:p>
      <w:r>
        <w:rPr>
          <w:b/>
        </w:rPr>
        <w:t>Integraci?n anual de archivos</w:t>
      </w:r>
    </w:p>
    <w:p>
      <w:r>
        <w:rPr>
          <w:rFonts w:ascii="Consolas" w:hAnsi="Consolas" w:eastAsia="Consolas"/>
          <w:sz w:val="18"/>
        </w:rPr>
        <w:t>def apilar_main():</w:t>
        <w:br/>
        <w:t xml:space="preserve">    partes = []</w:t>
        <w:br/>
        <w:t xml:space="preserve">    for periodo in [2022, 2023, 2024]:</w:t>
        <w:br/>
        <w:t xml:space="preserve">        ruta = DATA_DIR / str(periodo) / 'main.csv'</w:t>
        <w:br/>
        <w:t xml:space="preserve">        temp = pd.read_csv(ruta, low_memory=False)</w:t>
        <w:br/>
        <w:t xml:space="preserve">        temp['a?o'] = periodo</w:t>
        <w:br/>
        <w:t xml:space="preserve">        partes.append(temp)</w:t>
        <w:br/>
        <w:t xml:space="preserve">    return pd.concat(partes, ignore_index=True)</w:t>
      </w:r>
    </w:p>
    <w:p>
      <w:r>
        <w:rPr>
          <w:b/>
        </w:rPr>
        <w:t>Normalizaci?n de columnas anal?ticas</w:t>
      </w:r>
    </w:p>
    <w:p>
      <w:r>
        <w:rPr>
          <w:rFonts w:ascii="Consolas" w:hAnsi="Consolas" w:eastAsia="Consolas"/>
          <w:sz w:val="18"/>
        </w:rPr>
        <w:t>df['monto_adjudicado'] = pd.to_numeric(df['monto_adjudicado'], errors='coerce').fillna(0)</w:t>
        <w:br/>
        <w:t>df['monto_MM'] = df['monto_adjudicado'] / 1_000_000</w:t>
        <w:br/>
        <w:t>df['n_postores'] = pd.to_numeric(df['n_postores'], errors='coerce').fillna(0)</w:t>
        <w:br/>
        <w:t>df['un_solo_postor'] = df['n_postores'].eq(1)</w:t>
        <w:br/>
        <w:t>df['directa'] = df['metodo_simple'].astype(str).str.contains('direct', case=False, na=False)</w:t>
      </w:r>
    </w:p>
    <w:p>
      <w:r>
        <w:rPr>
          <w:b/>
        </w:rPr>
        <w:t>Filtros globales del dashboard</w:t>
      </w:r>
    </w:p>
    <w:p>
      <w:r>
        <w:rPr>
          <w:rFonts w:ascii="Consolas" w:hAnsi="Consolas" w:eastAsia="Consolas"/>
          <w:sz w:val="18"/>
        </w:rPr>
        <w:t>filtro_a?os = st.multiselect('A?o', options=a?os, default=a?os)</w:t>
        <w:br/>
        <w:t>filtro_departamentos = st.multiselect('Departamento', options=departamentos)</w:t>
        <w:br/>
        <w:t>filtro_categorias = st.multiselect('Categor?a', options=categorias)</w:t>
        <w:br/>
        <w:br/>
        <w:t>if filtro_a?os:</w:t>
        <w:br/>
        <w:t xml:space="preserve">    dash = dash[dash['a?o'].isin(filtro_a?os)]</w:t>
      </w:r>
    </w:p>
    <w:p>
      <w:pPr>
        <w:pStyle w:val="Heading2"/>
      </w:pPr>
      <w:r>
        <w:t>5.4. Relaci?n entre documento, notebooks y dashboard</w:t>
      </w:r>
    </w:p>
    <w:p>
      <w:r>
        <w:t>El proyecto fue alineado para que todos los entregables hablen el mismo lenguaje. Las cuatro secciones del informe coinciden con las cuatro secciones del dashboard y con la organizaci?n del notebook de visualizaciones. Asimismo, el cambio de la etiqueta "anio" por "a?o" se reflej? en la presentaci?n visible del dashboard, en el README y en la narrativa del documento, manteniendo consistencia acad?mica en todos los puntos de exposici?n.</w:t>
      </w:r>
    </w:p>
    <w:p>
      <w:pPr>
        <w:pStyle w:val="Heading1"/>
      </w:pPr>
      <w:r>
        <w:t>6. RESULTADOS</w:t>
      </w:r>
    </w:p>
    <w:p>
      <w:r>
        <w:t>A continuaci?n se presentan los gr?ficos principales del proyecto, organizados por la misma estructura utilizada en el dashboard. Cada figura se corresponde con una visualizaci?n implementada en el notebook `02_visualizaciones.ipynb` y con su secci?n anal?tica dentro del tablero interactivo.</w:t>
      </w:r>
    </w:p>
    <w:p>
      <w:pPr>
        <w:pStyle w:val="Heading2"/>
      </w:pPr>
      <w:r>
        <w:t>6.1. Resumen General</w:t>
      </w:r>
    </w:p>
    <w:p>
      <w:pPr>
        <w:jc w:val="center"/>
      </w:pPr>
      <w:r>
        <w:drawing>
          <wp:inline xmlns:a="http://schemas.openxmlformats.org/drawingml/2006/main" xmlns:pic="http://schemas.openxmlformats.org/drawingml/2006/picture">
            <wp:extent cx="5943600" cy="3679974"/>
            <wp:docPr id="3" name="Picture 3"/>
            <wp:cNvGraphicFramePr>
              <a:graphicFrameLocks noChangeAspect="1"/>
            </wp:cNvGraphicFramePr>
            <a:graphic>
              <a:graphicData uri="http://schemas.openxmlformats.org/drawingml/2006/picture">
                <pic:pic>
                  <pic:nvPicPr>
                    <pic:cNvPr id="0" name="grafico_01.png"/>
                    <pic:cNvPicPr/>
                  </pic:nvPicPr>
                  <pic:blipFill>
                    <a:blip r:embed="rId11"/>
                    <a:stretch>
                      <a:fillRect/>
                    </a:stretch>
                  </pic:blipFill>
                  <pic:spPr>
                    <a:xfrm>
                      <a:off x="0" y="0"/>
                      <a:ext cx="5943600" cy="3679974"/>
                    </a:xfrm>
                    <a:prstGeom prst="rect"/>
                  </pic:spPr>
                </pic:pic>
              </a:graphicData>
            </a:graphic>
          </wp:inline>
        </w:drawing>
      </w:r>
    </w:p>
    <w:p>
      <w:pPr>
        <w:jc w:val="center"/>
      </w:pPr>
      <w:r>
        <w:t>Figura. Monto adjudicado por categoría. Identifica la categoría en la que se concentra el gasto adjudicado.</w:t>
      </w:r>
    </w:p>
    <w:p>
      <w:pPr>
        <w:jc w:val="center"/>
      </w:pPr>
      <w:r>
        <w:drawing>
          <wp:inline xmlns:a="http://schemas.openxmlformats.org/drawingml/2006/main" xmlns:pic="http://schemas.openxmlformats.org/drawingml/2006/picture">
            <wp:extent cx="5943600" cy="4211658"/>
            <wp:docPr id="4" name="Picture 4"/>
            <wp:cNvGraphicFramePr>
              <a:graphicFrameLocks noChangeAspect="1"/>
            </wp:cNvGraphicFramePr>
            <a:graphic>
              <a:graphicData uri="http://schemas.openxmlformats.org/drawingml/2006/picture">
                <pic:pic>
                  <pic:nvPicPr>
                    <pic:cNvPr id="0" name="grafico_02.png"/>
                    <pic:cNvPicPr/>
                  </pic:nvPicPr>
                  <pic:blipFill>
                    <a:blip r:embed="rId12"/>
                    <a:stretch>
                      <a:fillRect/>
                    </a:stretch>
                  </pic:blipFill>
                  <pic:spPr>
                    <a:xfrm>
                      <a:off x="0" y="0"/>
                      <a:ext cx="5943600" cy="4211658"/>
                    </a:xfrm>
                    <a:prstGeom prst="rect"/>
                  </pic:spPr>
                </pic:pic>
              </a:graphicData>
            </a:graphic>
          </wp:inline>
        </w:drawing>
      </w:r>
    </w:p>
    <w:p>
      <w:pPr>
        <w:jc w:val="center"/>
      </w:pPr>
      <w:r>
        <w:t>Figura. Cantidad de procesos por año. Compara la magnitud de procesos registrados en cada año.</w:t>
      </w:r>
    </w:p>
    <w:p>
      <w:pPr>
        <w:jc w:val="center"/>
      </w:pPr>
      <w:r>
        <w:drawing>
          <wp:inline xmlns:a="http://schemas.openxmlformats.org/drawingml/2006/main" xmlns:pic="http://schemas.openxmlformats.org/drawingml/2006/picture">
            <wp:extent cx="5943600" cy="6142797"/>
            <wp:docPr id="5" name="Picture 5"/>
            <wp:cNvGraphicFramePr>
              <a:graphicFrameLocks noChangeAspect="1"/>
            </wp:cNvGraphicFramePr>
            <a:graphic>
              <a:graphicData uri="http://schemas.openxmlformats.org/drawingml/2006/picture">
                <pic:pic>
                  <pic:nvPicPr>
                    <pic:cNvPr id="0" name="grafico_03.png"/>
                    <pic:cNvPicPr/>
                  </pic:nvPicPr>
                  <pic:blipFill>
                    <a:blip r:embed="rId13"/>
                    <a:stretch>
                      <a:fillRect/>
                    </a:stretch>
                  </pic:blipFill>
                  <pic:spPr>
                    <a:xfrm>
                      <a:off x="0" y="0"/>
                      <a:ext cx="5943600" cy="6142797"/>
                    </a:xfrm>
                    <a:prstGeom prst="rect"/>
                  </pic:spPr>
                </pic:pic>
              </a:graphicData>
            </a:graphic>
          </wp:inline>
        </w:drawing>
      </w:r>
    </w:p>
    <w:p>
      <w:pPr>
        <w:jc w:val="center"/>
      </w:pPr>
      <w:r>
        <w:t>Figura. Participación de procesos por método. Muestra la composición relativa de las modalidades de contratación.</w:t>
      </w:r>
    </w:p>
    <w:p>
      <w:pPr>
        <w:jc w:val="center"/>
      </w:pPr>
      <w:r>
        <w:drawing>
          <wp:inline xmlns:a="http://schemas.openxmlformats.org/drawingml/2006/main" xmlns:pic="http://schemas.openxmlformats.org/drawingml/2006/picture">
            <wp:extent cx="5943600" cy="3674761"/>
            <wp:docPr id="6" name="Picture 6"/>
            <wp:cNvGraphicFramePr>
              <a:graphicFrameLocks noChangeAspect="1"/>
            </wp:cNvGraphicFramePr>
            <a:graphic>
              <a:graphicData uri="http://schemas.openxmlformats.org/drawingml/2006/picture">
                <pic:pic>
                  <pic:nvPicPr>
                    <pic:cNvPr id="0" name="grafico_04.png"/>
                    <pic:cNvPicPr/>
                  </pic:nvPicPr>
                  <pic:blipFill>
                    <a:blip r:embed="rId14"/>
                    <a:stretch>
                      <a:fillRect/>
                    </a:stretch>
                  </pic:blipFill>
                  <pic:spPr>
                    <a:xfrm>
                      <a:off x="0" y="0"/>
                      <a:ext cx="5943600" cy="3674761"/>
                    </a:xfrm>
                    <a:prstGeom prst="rect"/>
                  </pic:spPr>
                </pic:pic>
              </a:graphicData>
            </a:graphic>
          </wp:inline>
        </w:drawing>
      </w:r>
    </w:p>
    <w:p>
      <w:pPr>
        <w:jc w:val="center"/>
      </w:pPr>
      <w:r>
        <w:t>Figura. Monto adjudicado por año y categoría. Permite observar la variación del gasto por categoría en cada período.</w:t>
      </w:r>
    </w:p>
    <w:p>
      <w:pPr>
        <w:pStyle w:val="Heading2"/>
      </w:pPr>
      <w:r>
        <w:t>6.2. Competencia</w:t>
      </w:r>
    </w:p>
    <w:p>
      <w:pPr>
        <w:jc w:val="center"/>
      </w:pPr>
      <w:r>
        <w:drawing>
          <wp:inline xmlns:a="http://schemas.openxmlformats.org/drawingml/2006/main" xmlns:pic="http://schemas.openxmlformats.org/drawingml/2006/picture">
            <wp:extent cx="5943600" cy="3677366"/>
            <wp:docPr id="7" name="Picture 7"/>
            <wp:cNvGraphicFramePr>
              <a:graphicFrameLocks noChangeAspect="1"/>
            </wp:cNvGraphicFramePr>
            <a:graphic>
              <a:graphicData uri="http://schemas.openxmlformats.org/drawingml/2006/picture">
                <pic:pic>
                  <pic:nvPicPr>
                    <pic:cNvPr id="0" name="grafico_05.png"/>
                    <pic:cNvPicPr/>
                  </pic:nvPicPr>
                  <pic:blipFill>
                    <a:blip r:embed="rId15"/>
                    <a:stretch>
                      <a:fillRect/>
                    </a:stretch>
                  </pic:blipFill>
                  <pic:spPr>
                    <a:xfrm>
                      <a:off x="0" y="0"/>
                      <a:ext cx="5943600" cy="3677366"/>
                    </a:xfrm>
                    <a:prstGeom prst="rect"/>
                  </pic:spPr>
                </pic:pic>
              </a:graphicData>
            </a:graphic>
          </wp:inline>
        </w:drawing>
      </w:r>
    </w:p>
    <w:p>
      <w:pPr>
        <w:jc w:val="center"/>
      </w:pPr>
      <w:r>
        <w:t>Figura. Distribución del número de postores. Describe el comportamiento general de la concurrencia en los procesos.</w:t>
      </w:r>
    </w:p>
    <w:p>
      <w:pPr>
        <w:jc w:val="center"/>
      </w:pPr>
      <w:r>
        <w:drawing>
          <wp:inline xmlns:a="http://schemas.openxmlformats.org/drawingml/2006/main" xmlns:pic="http://schemas.openxmlformats.org/drawingml/2006/picture">
            <wp:extent cx="5943600" cy="4211658"/>
            <wp:docPr id="8" name="Picture 8"/>
            <wp:cNvGraphicFramePr>
              <a:graphicFrameLocks noChangeAspect="1"/>
            </wp:cNvGraphicFramePr>
            <a:graphic>
              <a:graphicData uri="http://schemas.openxmlformats.org/drawingml/2006/picture">
                <pic:pic>
                  <pic:nvPicPr>
                    <pic:cNvPr id="0" name="grafico_06.png"/>
                    <pic:cNvPicPr/>
                  </pic:nvPicPr>
                  <pic:blipFill>
                    <a:blip r:embed="rId16"/>
                    <a:stretch>
                      <a:fillRect/>
                    </a:stretch>
                  </pic:blipFill>
                  <pic:spPr>
                    <a:xfrm>
                      <a:off x="0" y="0"/>
                      <a:ext cx="5943600" cy="4211658"/>
                    </a:xfrm>
                    <a:prstGeom prst="rect"/>
                  </pic:spPr>
                </pic:pic>
              </a:graphicData>
            </a:graphic>
          </wp:inline>
        </w:drawing>
      </w:r>
    </w:p>
    <w:p>
      <w:pPr>
        <w:jc w:val="center"/>
      </w:pPr>
      <w:r>
        <w:t>Figura. Porcentaje de procesos con un solo postor por año. Resume la principal señal de baja competencia por período.</w:t>
      </w:r>
    </w:p>
    <w:p>
      <w:pPr>
        <w:jc w:val="center"/>
      </w:pPr>
      <w:r>
        <w:drawing>
          <wp:inline xmlns:a="http://schemas.openxmlformats.org/drawingml/2006/main" xmlns:pic="http://schemas.openxmlformats.org/drawingml/2006/picture">
            <wp:extent cx="5943600" cy="4429307"/>
            <wp:docPr id="9" name="Picture 9"/>
            <wp:cNvGraphicFramePr>
              <a:graphicFrameLocks noChangeAspect="1"/>
            </wp:cNvGraphicFramePr>
            <a:graphic>
              <a:graphicData uri="http://schemas.openxmlformats.org/drawingml/2006/picture">
                <pic:pic>
                  <pic:nvPicPr>
                    <pic:cNvPr id="0" name="grafico_07.png"/>
                    <pic:cNvPicPr/>
                  </pic:nvPicPr>
                  <pic:blipFill>
                    <a:blip r:embed="rId17"/>
                    <a:stretch>
                      <a:fillRect/>
                    </a:stretch>
                  </pic:blipFill>
                  <pic:spPr>
                    <a:xfrm>
                      <a:off x="0" y="0"/>
                      <a:ext cx="5943600" cy="4429307"/>
                    </a:xfrm>
                    <a:prstGeom prst="rect"/>
                  </pic:spPr>
                </pic:pic>
              </a:graphicData>
            </a:graphic>
          </wp:inline>
        </w:drawing>
      </w:r>
    </w:p>
    <w:p>
      <w:pPr>
        <w:jc w:val="center"/>
      </w:pPr>
      <w:r>
        <w:t>Figura. Top 15 departamentos con un solo postor. Localiza territorialmente la mayor concentración de procesos con baja competencia.</w:t>
      </w:r>
    </w:p>
    <w:p>
      <w:pPr>
        <w:jc w:val="center"/>
      </w:pPr>
      <w:r>
        <w:drawing>
          <wp:inline xmlns:a="http://schemas.openxmlformats.org/drawingml/2006/main" xmlns:pic="http://schemas.openxmlformats.org/drawingml/2006/picture">
            <wp:extent cx="5943600" cy="3674761"/>
            <wp:docPr id="10" name="Picture 10"/>
            <wp:cNvGraphicFramePr>
              <a:graphicFrameLocks noChangeAspect="1"/>
            </wp:cNvGraphicFramePr>
            <a:graphic>
              <a:graphicData uri="http://schemas.openxmlformats.org/drawingml/2006/picture">
                <pic:pic>
                  <pic:nvPicPr>
                    <pic:cNvPr id="0" name="grafico_08.png"/>
                    <pic:cNvPicPr/>
                  </pic:nvPicPr>
                  <pic:blipFill>
                    <a:blip r:embed="rId18"/>
                    <a:stretch>
                      <a:fillRect/>
                    </a:stretch>
                  </pic:blipFill>
                  <pic:spPr>
                    <a:xfrm>
                      <a:off x="0" y="0"/>
                      <a:ext cx="5943600" cy="3674761"/>
                    </a:xfrm>
                    <a:prstGeom prst="rect"/>
                  </pic:spPr>
                </pic:pic>
              </a:graphicData>
            </a:graphic>
          </wp:inline>
        </w:drawing>
      </w:r>
    </w:p>
    <w:p>
      <w:pPr>
        <w:jc w:val="center"/>
      </w:pPr>
      <w:r>
        <w:t>Figura. Distribución de postores por categoría. Compara el comportamiento competitivo típico entre categorías.</w:t>
      </w:r>
    </w:p>
    <w:p>
      <w:pPr>
        <w:pStyle w:val="Heading2"/>
      </w:pPr>
      <w:r>
        <w:t>6.3. Riesgo Econ?mico</w:t>
      </w:r>
    </w:p>
    <w:p>
      <w:pPr>
        <w:pStyle w:val="Heading2"/>
      </w:pPr>
      <w:r>
        <w:t>6.4. Transparencia Geogr?fica</w:t>
      </w:r>
    </w:p>
    <w:p>
      <w:pPr>
        <w:pStyle w:val="Heading1"/>
      </w:pPr>
      <w:r>
        <w:t>7. REPOSITORIO Y REPRODUCIBILIDAD</w:t>
      </w:r>
    </w:p>
    <w:p>
      <w:r>
        <w:t>La versi?n final del proyecto fue actualizada en el repositorio https://github.com/chrisjairo0-web/dashboard-contrataciones-peru-PYTHON. El README describe la estructura del proyecto, los archivos principales, la ejecuci?n de notebooks y la puesta en marcha del dashboard. Esta documentaci?n se mantiene alineada con la nomenclatura y la l?gica descritas en el presente informe.</w:t>
      </w:r>
    </w:p>
    <w:p>
      <w:pPr>
        <w:pStyle w:val="Heading1"/>
      </w:pPr>
      <w:r>
        <w:t>8. CONCLUSIONES</w:t>
      </w:r>
    </w:p>
    <w:p>
      <w:r>
        <w:t>El proyecto demuestra que los datos abiertos de contrataciones p?blicas pueden transformarse en una herramienta anal?tica de apoyo a la supervisi?n cuando se integran en una base maestra y se visualizan con criterios claros. La estructura final del dashboard permite examinar el sistema desde cuatro dimensiones complementarias y facilita una exposici?n acad?mica coherente, visual y sustentada en evidencia.</w:t>
      </w:r>
    </w:p>
    <w:p>
      <w:r>
        <w:t>La actualizaci?n final mejor? la consistencia entre c?digo, visualizaciones, dashboard y documentaci?n. En particular, se corrigi? la presentaci?n visible de la variable temporal, se reorganiz? la narrativa del informe y se incorporaron anexos que explican la relaci?n entre secciones, columnas utilizadas y prop?sito anal?tico de cada gr?fico.</w:t>
      </w:r>
    </w:p>
    <w:p>
      <w:pPr>
        <w:pStyle w:val="Heading1"/>
      </w:pPr>
      <w:r>
        <w:t>ANEXOS</w:t>
      </w:r>
    </w:p>
    <w:p>
      <w:pPr>
        <w:pStyle w:val="Heading2"/>
      </w:pPr>
      <w:r>
        <w:t>Anexo 1. Cuadro de estructuraci?n del dashboard</w:t>
      </w:r>
    </w:p>
    <w:p>
      <w:r>
        <w:t>El cuadro siguiente resume la secci?n, el gr?fico, las columnas utilizadas y la finalidad anal?tica de cada componente visual, siguiendo el formato solicitado en clase.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Secci?n</w:t>
            </w:r>
          </w:p>
        </w:tc>
        <w:tc>
          <w:tcPr>
            <w:tcW w:type="dxa" w:w="1930"/>
          </w:tcPr>
          <w:p>
            <w:r>
              <w:t>Gr?fico / Indicador</w:t>
            </w:r>
          </w:p>
        </w:tc>
        <w:tc>
          <w:tcPr>
            <w:tcW w:type="dxa" w:w="1930"/>
          </w:tcPr>
          <w:p>
            <w:r>
              <w:t>Columnas utilizadas</w:t>
            </w:r>
          </w:p>
        </w:tc>
        <w:tc>
          <w:tcPr>
            <w:tcW w:type="dxa" w:w="1930"/>
          </w:tcPr>
          <w:p>
            <w:r>
              <w:t>Finalidad anal?tica</w:t>
            </w:r>
          </w:p>
        </w:tc>
        <w:tc>
          <w:tcPr>
            <w:tcW w:type="dxa" w:w="1930"/>
          </w:tcPr>
          <w:p>
            <w:r>
              <w:t>Archivo</w:t>
            </w:r>
          </w:p>
        </w:tc>
      </w:tr>
      <w:tr>
        <w:tc>
          <w:tcPr>
            <w:tcW w:type="dxa" w:w="1930"/>
          </w:tcPr>
          <w:p>
            <w:r>
              <w:t>Resumen General</w:t>
            </w:r>
          </w:p>
        </w:tc>
        <w:tc>
          <w:tcPr>
            <w:tcW w:type="dxa" w:w="1930"/>
          </w:tcPr>
          <w:p>
            <w:r>
              <w:t>Monto adjudicado por categoría</w:t>
            </w:r>
          </w:p>
        </w:tc>
        <w:tc>
          <w:tcPr>
            <w:tcW w:type="dxa" w:w="1930"/>
          </w:tcPr>
          <w:p>
            <w:r>
              <w:t>categoria, monto_MM</w:t>
            </w:r>
          </w:p>
        </w:tc>
        <w:tc>
          <w:tcPr>
            <w:tcW w:type="dxa" w:w="1930"/>
          </w:tcPr>
          <w:p>
            <w:r>
              <w:t>Identifica la categoría en la que se concentra el gasto adjudicado.</w:t>
            </w:r>
          </w:p>
        </w:tc>
        <w:tc>
          <w:tcPr>
            <w:tcW w:type="dxa" w:w="1930"/>
          </w:tcPr>
          <w:p>
            <w:r>
              <w:t>grafico_01.png</w:t>
            </w:r>
          </w:p>
        </w:tc>
      </w:tr>
      <w:tr>
        <w:tc>
          <w:tcPr>
            <w:tcW w:type="dxa" w:w="1930"/>
          </w:tcPr>
          <w:p>
            <w:r>
              <w:t>Resumen General</w:t>
            </w:r>
          </w:p>
        </w:tc>
        <w:tc>
          <w:tcPr>
            <w:tcW w:type="dxa" w:w="1930"/>
          </w:tcPr>
          <w:p>
            <w:r>
              <w:t>Cantidad de procesos por año</w:t>
            </w:r>
          </w:p>
        </w:tc>
        <w:tc>
          <w:tcPr>
            <w:tcW w:type="dxa" w:w="1930"/>
          </w:tcPr>
          <w:p>
            <w:r>
              <w:t>ocid, año</w:t>
            </w:r>
          </w:p>
        </w:tc>
        <w:tc>
          <w:tcPr>
            <w:tcW w:type="dxa" w:w="1930"/>
          </w:tcPr>
          <w:p>
            <w:r>
              <w:t>Compara la magnitud de procesos registrados en cada año.</w:t>
            </w:r>
          </w:p>
        </w:tc>
        <w:tc>
          <w:tcPr>
            <w:tcW w:type="dxa" w:w="1930"/>
          </w:tcPr>
          <w:p>
            <w:r>
              <w:t>grafico_02.png</w:t>
            </w:r>
          </w:p>
        </w:tc>
      </w:tr>
      <w:tr>
        <w:tc>
          <w:tcPr>
            <w:tcW w:type="dxa" w:w="1930"/>
          </w:tcPr>
          <w:p>
            <w:r>
              <w:t>Resumen General</w:t>
            </w:r>
          </w:p>
        </w:tc>
        <w:tc>
          <w:tcPr>
            <w:tcW w:type="dxa" w:w="1930"/>
          </w:tcPr>
          <w:p>
            <w:r>
              <w:t>Participación de procesos por método</w:t>
            </w:r>
          </w:p>
        </w:tc>
        <w:tc>
          <w:tcPr>
            <w:tcW w:type="dxa" w:w="1930"/>
          </w:tcPr>
          <w:p>
            <w:r>
              <w:t>metodo_simple, ocid</w:t>
            </w:r>
          </w:p>
        </w:tc>
        <w:tc>
          <w:tcPr>
            <w:tcW w:type="dxa" w:w="1930"/>
          </w:tcPr>
          <w:p>
            <w:r>
              <w:t>Muestra la composición relativa de las modalidades de contratación.</w:t>
            </w:r>
          </w:p>
        </w:tc>
        <w:tc>
          <w:tcPr>
            <w:tcW w:type="dxa" w:w="1930"/>
          </w:tcPr>
          <w:p>
            <w:r>
              <w:t>grafico_03.png</w:t>
            </w:r>
          </w:p>
        </w:tc>
      </w:tr>
      <w:tr>
        <w:tc>
          <w:tcPr>
            <w:tcW w:type="dxa" w:w="1930"/>
          </w:tcPr>
          <w:p>
            <w:r>
              <w:t>Resumen General</w:t>
            </w:r>
          </w:p>
        </w:tc>
        <w:tc>
          <w:tcPr>
            <w:tcW w:type="dxa" w:w="1930"/>
          </w:tcPr>
          <w:p>
            <w:r>
              <w:t>Monto adjudicado por año y categoría</w:t>
            </w:r>
          </w:p>
        </w:tc>
        <w:tc>
          <w:tcPr>
            <w:tcW w:type="dxa" w:w="1930"/>
          </w:tcPr>
          <w:p>
            <w:r>
              <w:t>año, categoria, monto_MM</w:t>
            </w:r>
          </w:p>
        </w:tc>
        <w:tc>
          <w:tcPr>
            <w:tcW w:type="dxa" w:w="1930"/>
          </w:tcPr>
          <w:p>
            <w:r>
              <w:t>Permite observar la variación del gasto por categoría en cada período.</w:t>
            </w:r>
          </w:p>
        </w:tc>
        <w:tc>
          <w:tcPr>
            <w:tcW w:type="dxa" w:w="1930"/>
          </w:tcPr>
          <w:p>
            <w:r>
              <w:t>grafico_04.png</w:t>
            </w:r>
          </w:p>
        </w:tc>
      </w:tr>
      <w:tr>
        <w:tc>
          <w:tcPr>
            <w:tcW w:type="dxa" w:w="1930"/>
          </w:tcPr>
          <w:p>
            <w:r>
              <w:t>Competencia</w:t>
            </w:r>
          </w:p>
        </w:tc>
        <w:tc>
          <w:tcPr>
            <w:tcW w:type="dxa" w:w="1930"/>
          </w:tcPr>
          <w:p>
            <w:r>
              <w:t>Distribución del número de postores</w:t>
            </w:r>
          </w:p>
        </w:tc>
        <w:tc>
          <w:tcPr>
            <w:tcW w:type="dxa" w:w="1930"/>
          </w:tcPr>
          <w:p>
            <w:r>
              <w:t>n_postores</w:t>
            </w:r>
          </w:p>
        </w:tc>
        <w:tc>
          <w:tcPr>
            <w:tcW w:type="dxa" w:w="1930"/>
          </w:tcPr>
          <w:p>
            <w:r>
              <w:t>Describe el comportamiento general de la concurrencia en los procesos.</w:t>
            </w:r>
          </w:p>
        </w:tc>
        <w:tc>
          <w:tcPr>
            <w:tcW w:type="dxa" w:w="1930"/>
          </w:tcPr>
          <w:p>
            <w:r>
              <w:t>grafico_05.png</w:t>
            </w:r>
          </w:p>
        </w:tc>
      </w:tr>
      <w:tr>
        <w:tc>
          <w:tcPr>
            <w:tcW w:type="dxa" w:w="1930"/>
          </w:tcPr>
          <w:p>
            <w:r>
              <w:t>Competencia</w:t>
            </w:r>
          </w:p>
        </w:tc>
        <w:tc>
          <w:tcPr>
            <w:tcW w:type="dxa" w:w="1930"/>
          </w:tcPr>
          <w:p>
            <w:r>
              <w:t>Porcentaje de procesos con un solo postor por año</w:t>
            </w:r>
          </w:p>
        </w:tc>
        <w:tc>
          <w:tcPr>
            <w:tcW w:type="dxa" w:w="1930"/>
          </w:tcPr>
          <w:p>
            <w:r>
              <w:t>año, un_solo_postor</w:t>
            </w:r>
          </w:p>
        </w:tc>
        <w:tc>
          <w:tcPr>
            <w:tcW w:type="dxa" w:w="1930"/>
          </w:tcPr>
          <w:p>
            <w:r>
              <w:t>Resume la principal señal de baja competencia por período.</w:t>
            </w:r>
          </w:p>
        </w:tc>
        <w:tc>
          <w:tcPr>
            <w:tcW w:type="dxa" w:w="1930"/>
          </w:tcPr>
          <w:p>
            <w:r>
              <w:t>grafico_06.png</w:t>
            </w:r>
          </w:p>
        </w:tc>
      </w:tr>
      <w:tr>
        <w:tc>
          <w:tcPr>
            <w:tcW w:type="dxa" w:w="1930"/>
          </w:tcPr>
          <w:p>
            <w:r>
              <w:t>Competencia</w:t>
            </w:r>
          </w:p>
        </w:tc>
        <w:tc>
          <w:tcPr>
            <w:tcW w:type="dxa" w:w="1930"/>
          </w:tcPr>
          <w:p>
            <w:r>
              <w:t>Top 15 departamentos con un solo postor</w:t>
            </w:r>
          </w:p>
        </w:tc>
        <w:tc>
          <w:tcPr>
            <w:tcW w:type="dxa" w:w="1930"/>
          </w:tcPr>
          <w:p>
            <w:r>
              <w:t>departamento, ocid, un_solo_postor</w:t>
            </w:r>
          </w:p>
        </w:tc>
        <w:tc>
          <w:tcPr>
            <w:tcW w:type="dxa" w:w="1930"/>
          </w:tcPr>
          <w:p>
            <w:r>
              <w:t>Localiza territorialmente la mayor concentración de procesos con baja competencia.</w:t>
            </w:r>
          </w:p>
        </w:tc>
        <w:tc>
          <w:tcPr>
            <w:tcW w:type="dxa" w:w="1930"/>
          </w:tcPr>
          <w:p>
            <w:r>
              <w:t>grafico_07.png</w:t>
            </w:r>
          </w:p>
        </w:tc>
      </w:tr>
      <w:tr>
        <w:tc>
          <w:tcPr>
            <w:tcW w:type="dxa" w:w="1930"/>
          </w:tcPr>
          <w:p>
            <w:r>
              <w:t>Competencia</w:t>
            </w:r>
          </w:p>
        </w:tc>
        <w:tc>
          <w:tcPr>
            <w:tcW w:type="dxa" w:w="1930"/>
          </w:tcPr>
          <w:p>
            <w:r>
              <w:t>Distribución de postores por categoría</w:t>
            </w:r>
          </w:p>
        </w:tc>
        <w:tc>
          <w:tcPr>
            <w:tcW w:type="dxa" w:w="1930"/>
          </w:tcPr>
          <w:p>
            <w:r>
              <w:t>categoria, n_postores</w:t>
            </w:r>
          </w:p>
        </w:tc>
        <w:tc>
          <w:tcPr>
            <w:tcW w:type="dxa" w:w="1930"/>
          </w:tcPr>
          <w:p>
            <w:r>
              <w:t>Compara el comportamiento competitivo típico entre categorías.</w:t>
            </w:r>
          </w:p>
        </w:tc>
        <w:tc>
          <w:tcPr>
            <w:tcW w:type="dxa" w:w="1930"/>
          </w:tcPr>
          <w:p>
            <w:r>
              <w:t>grafico_08.png</w:t>
            </w:r>
          </w:p>
        </w:tc>
      </w:tr>
      <w:tr>
        <w:tc>
          <w:tcPr>
            <w:tcW w:type="dxa" w:w="1930"/>
          </w:tcPr>
          <w:p>
            <w:r>
              <w:t>Riesgo Económico</w:t>
            </w:r>
          </w:p>
        </w:tc>
        <w:tc>
          <w:tcPr>
            <w:tcW w:type="dxa" w:w="1930"/>
          </w:tcPr>
          <w:p>
            <w:r>
              <w:t>Monto en riesgo frente a monto competitivo por año</w:t>
            </w:r>
          </w:p>
        </w:tc>
        <w:tc>
          <w:tcPr>
            <w:tcW w:type="dxa" w:w="1930"/>
          </w:tcPr>
          <w:p>
            <w:r>
              <w:t>año, monto_adjudicado, un_solo_postor</w:t>
            </w:r>
          </w:p>
        </w:tc>
        <w:tc>
          <w:tcPr>
            <w:tcW w:type="dxa" w:w="1930"/>
          </w:tcPr>
          <w:p>
            <w:r>
              <w:t>Separa la exposición económica según el nivel de competencia observado.</w:t>
            </w:r>
          </w:p>
        </w:tc>
        <w:tc>
          <w:tcPr>
            <w:tcW w:type="dxa" w:w="1930"/>
          </w:tcPr>
          <w:p>
            <w:r>
              <w:t>grafico_09.png</w:t>
            </w:r>
          </w:p>
        </w:tc>
      </w:tr>
      <w:tr>
        <w:tc>
          <w:tcPr>
            <w:tcW w:type="dxa" w:w="1930"/>
          </w:tcPr>
          <w:p>
            <w:r>
              <w:t>Riesgo Económico</w:t>
            </w:r>
          </w:p>
        </w:tc>
        <w:tc>
          <w:tcPr>
            <w:tcW w:type="dxa" w:w="1930"/>
          </w:tcPr>
          <w:p>
            <w:r>
              <w:t>Evolución anual del gasto por categoría</w:t>
            </w:r>
          </w:p>
        </w:tc>
        <w:tc>
          <w:tcPr>
            <w:tcW w:type="dxa" w:w="1930"/>
          </w:tcPr>
          <w:p>
            <w:r>
              <w:t>año, categoria, monto_MM</w:t>
            </w:r>
          </w:p>
        </w:tc>
        <w:tc>
          <w:tcPr>
            <w:tcW w:type="dxa" w:w="1930"/>
          </w:tcPr>
          <w:p>
            <w:r>
              <w:t>Muestra cambios en la importancia relativa de cada categoría de compra.</w:t>
            </w:r>
          </w:p>
        </w:tc>
        <w:tc>
          <w:tcPr>
            <w:tcW w:type="dxa" w:w="1930"/>
          </w:tcPr>
          <w:p>
            <w:r>
              <w:t>grafico_10.png</w:t>
            </w:r>
          </w:p>
        </w:tc>
      </w:tr>
      <w:tr>
        <w:tc>
          <w:tcPr>
            <w:tcW w:type="dxa" w:w="1930"/>
          </w:tcPr>
          <w:p>
            <w:r>
              <w:t>Riesgo Económico</w:t>
            </w:r>
          </w:p>
        </w:tc>
        <w:tc>
          <w:tcPr>
            <w:tcW w:type="dxa" w:w="1930"/>
          </w:tcPr>
          <w:p>
            <w:r>
              <w:t>Top 15 entidades con más contrataciones directas</w:t>
            </w:r>
          </w:p>
        </w:tc>
        <w:tc>
          <w:tcPr>
            <w:tcW w:type="dxa" w:w="1930"/>
          </w:tcPr>
          <w:p>
            <w:r>
              <w:t>entidad_compradora, metodo_simple, ocid</w:t>
            </w:r>
          </w:p>
        </w:tc>
        <w:tc>
          <w:tcPr>
            <w:tcW w:type="dxa" w:w="1930"/>
          </w:tcPr>
          <w:p>
            <w:r>
              <w:t>Identifica concentración institucional de procedimientos directos.</w:t>
            </w:r>
          </w:p>
        </w:tc>
        <w:tc>
          <w:tcPr>
            <w:tcW w:type="dxa" w:w="1930"/>
          </w:tcPr>
          <w:p>
            <w:r>
              <w:t>grafico_11.png</w:t>
            </w:r>
          </w:p>
        </w:tc>
      </w:tr>
      <w:tr>
        <w:tc>
          <w:tcPr>
            <w:tcW w:type="dxa" w:w="1930"/>
          </w:tcPr>
          <w:p>
            <w:r>
              <w:t>Riesgo Económico</w:t>
            </w:r>
          </w:p>
        </w:tc>
        <w:tc>
          <w:tcPr>
            <w:tcW w:type="dxa" w:w="1930"/>
          </w:tcPr>
          <w:p>
            <w:r>
              <w:t>Monto adjudicado frente a número de postores</w:t>
            </w:r>
          </w:p>
        </w:tc>
        <w:tc>
          <w:tcPr>
            <w:tcW w:type="dxa" w:w="1930"/>
          </w:tcPr>
          <w:p>
            <w:r>
              <w:t>n_postores, monto_adjudicado, un_solo_postor</w:t>
            </w:r>
          </w:p>
        </w:tc>
        <w:tc>
          <w:tcPr>
            <w:tcW w:type="dxa" w:w="1930"/>
          </w:tcPr>
          <w:p>
            <w:r>
              <w:t>Contrasta dimensión económica y nivel de concurrencia.</w:t>
            </w:r>
          </w:p>
        </w:tc>
        <w:tc>
          <w:tcPr>
            <w:tcW w:type="dxa" w:w="1930"/>
          </w:tcPr>
          <w:p>
            <w:r>
              <w:t>grafico_12.png</w:t>
            </w:r>
          </w:p>
        </w:tc>
      </w:tr>
      <w:tr>
        <w:tc>
          <w:tcPr>
            <w:tcW w:type="dxa" w:w="1930"/>
          </w:tcPr>
          <w:p>
            <w:r>
              <w:t>Transparencia Geográfica</w:t>
            </w:r>
          </w:p>
        </w:tc>
        <w:tc>
          <w:tcPr>
            <w:tcW w:type="dxa" w:w="1930"/>
          </w:tcPr>
          <w:p>
            <w:r>
              <w:t>Riesgo por departamento y categoría (%)</w:t>
            </w:r>
          </w:p>
        </w:tc>
        <w:tc>
          <w:tcPr>
            <w:tcW w:type="dxa" w:w="1930"/>
          </w:tcPr>
          <w:p>
            <w:r>
              <w:t>departamento, categoria, un_solo_postor</w:t>
            </w:r>
          </w:p>
        </w:tc>
        <w:tc>
          <w:tcPr>
            <w:tcW w:type="dxa" w:w="1930"/>
          </w:tcPr>
          <w:p>
            <w:r>
              <w:t>Resume el porcentaje de procesos con un solo postor según territorio y categoría.</w:t>
            </w:r>
          </w:p>
        </w:tc>
        <w:tc>
          <w:tcPr>
            <w:tcW w:type="dxa" w:w="1930"/>
          </w:tcPr>
          <w:p>
            <w:r>
              <w:t>grafico_13.png</w:t>
            </w:r>
          </w:p>
        </w:tc>
      </w:tr>
      <w:tr>
        <w:tc>
          <w:tcPr>
            <w:tcW w:type="dxa" w:w="1930"/>
          </w:tcPr>
          <w:p>
            <w:r>
              <w:t>Transparencia Geográfica</w:t>
            </w:r>
          </w:p>
        </w:tc>
        <w:tc>
          <w:tcPr>
            <w:tcW w:type="dxa" w:w="1930"/>
          </w:tcPr>
          <w:p>
            <w:r>
              <w:t>Evolución mensual de directas frente a competitivas</w:t>
            </w:r>
          </w:p>
        </w:tc>
        <w:tc>
          <w:tcPr>
            <w:tcW w:type="dxa" w:w="1930"/>
          </w:tcPr>
          <w:p>
            <w:r>
              <w:t>mes, metodo_simple, ocid</w:t>
            </w:r>
          </w:p>
        </w:tc>
        <w:tc>
          <w:tcPr>
            <w:tcW w:type="dxa" w:w="1930"/>
          </w:tcPr>
          <w:p>
            <w:r>
              <w:t>Permite observar la trayectoria temporal del método de contratación.</w:t>
            </w:r>
          </w:p>
        </w:tc>
        <w:tc>
          <w:tcPr>
            <w:tcW w:type="dxa" w:w="1930"/>
          </w:tcPr>
          <w:p>
            <w:r>
              <w:t>grafico_14.png</w:t>
            </w:r>
          </w:p>
        </w:tc>
      </w:tr>
      <w:tr>
        <w:tc>
          <w:tcPr>
            <w:tcW w:type="dxa" w:w="1930"/>
          </w:tcPr>
          <w:p>
            <w:r>
              <w:t>Transparencia Geográfica</w:t>
            </w:r>
          </w:p>
        </w:tc>
        <w:tc>
          <w:tcPr>
            <w:tcW w:type="dxa" w:w="1930"/>
          </w:tcPr>
          <w:p>
            <w:r>
              <w:t>Top 15 proveedores ganadores repetidos</w:t>
            </w:r>
          </w:p>
        </w:tc>
        <w:tc>
          <w:tcPr>
            <w:tcW w:type="dxa" w:w="1930"/>
          </w:tcPr>
          <w:p>
            <w:r>
              <w:t>proveedor_ganador, ocid</w:t>
            </w:r>
          </w:p>
        </w:tc>
        <w:tc>
          <w:tcPr>
            <w:tcW w:type="dxa" w:w="1930"/>
          </w:tcPr>
          <w:p>
            <w:r>
              <w:t>Muestra la concentración de adjudicaciones en un grupo reducido de proveedores.</w:t>
            </w:r>
          </w:p>
        </w:tc>
        <w:tc>
          <w:tcPr>
            <w:tcW w:type="dxa" w:w="1930"/>
          </w:tcPr>
          <w:p>
            <w:r>
              <w:t>grafico_15.png</w:t>
            </w:r>
          </w:p>
        </w:tc>
      </w:tr>
      <w:tr>
        <w:tc>
          <w:tcPr>
            <w:tcW w:type="dxa" w:w="1930"/>
          </w:tcPr>
          <w:p>
            <w:r>
              <w:t>Transparencia Geográfica</w:t>
            </w:r>
          </w:p>
        </w:tc>
        <w:tc>
          <w:tcPr>
            <w:tcW w:type="dxa" w:w="1930"/>
          </w:tcPr>
          <w:p>
            <w:r>
              <w:t>Score de transparencia por departamento</w:t>
            </w:r>
          </w:p>
        </w:tc>
        <w:tc>
          <w:tcPr>
            <w:tcW w:type="dxa" w:w="1930"/>
          </w:tcPr>
          <w:p>
            <w:r>
              <w:t>departamento, directa, un_solo_postor, monto_adjudicado</w:t>
            </w:r>
          </w:p>
        </w:tc>
        <w:tc>
          <w:tcPr>
            <w:tcW w:type="dxa" w:w="1930"/>
          </w:tcPr>
          <w:p>
            <w:r>
              <w:t>Sintetiza tres señales de interés en un único indicador territorial.</w:t>
            </w:r>
          </w:p>
        </w:tc>
        <w:tc>
          <w:tcPr>
            <w:tcW w:type="dxa" w:w="1930"/>
          </w:tcPr>
          <w:p>
            <w:r>
              <w:t>grafico_16.png</w:t>
            </w:r>
          </w:p>
        </w:tc>
      </w:tr>
    </w:tbl>
    <w:p>
      <w:pPr>
        <w:pStyle w:val="Heading2"/>
      </w:pPr>
      <w:r>
        <w:t>Anexo 2. Capturas del flujo del proyecto</w:t>
      </w:r>
    </w:p>
    <w:p>
      <w:r>
        <w:t>Las Figuras 1 y 2 ya incorporadas en la secci?n de soluci?n sintetizan el flujo de trabajo actual y el flujo automatizado propuesto. Estas capturas cumplen la misma funci?n did?ctica que el modelo de referencia presentado en clase.</w:t>
      </w:r>
    </w:p>
    <w:p>
      <w:pPr>
        <w:pStyle w:val="Heading2"/>
      </w:pPr>
      <w:r>
        <w:t>Anexo 3. Enlace del repositorio</w:t>
      </w:r>
    </w:p>
    <w:p>
      <w:r>
        <w:t>https://github.com/chrisjairo0-web/dashboard-contrataciones-peru-PYTHON</w:t>
      </w:r>
    </w:p>
    <w:p>
      <w:r>
        <w:br w:type="page"/>
      </w:r>
    </w:p>
    <w:p>
      <w:pPr>
        <w:pStyle w:val="Heading1"/>
      </w:pPr>
      <w:r>
        <w:t>Actualizaci?n final de consistencia visual y anal?tica</w:t>
      </w:r>
    </w:p>
    <w:p>
      <w:r>
        <w:t>En la revisi?n final se corrigi? el Gr?fico 14 para que la evoluci?n mensual se construya con el per?odo del reporte 2022?2024 y no con fechas hist?ricas previas del proceso original.</w:t>
      </w:r>
    </w:p>
    <w:p>
      <w:r>
        <w:t>Asimismo, el Gr?fico 5 fue acotado a una escala pedag?gica de 1 a 10 postores, dejando expl?cito que el ?ltimo tramo representa 10 o m?s postores, con el fin de mejorar la lectura acad?mica del histograma.</w:t>
      </w:r>
    </w:p>
    <w:p>
      <w:r>
        <w:t>Finalmente, se elimin? la exposici?n de etiquetas de relleno como Sin dato o No especificado en los gr?ficos de m?todo, proveedores y salidas territoriales, y se redise?aron los diagramas de flujo para que el texto permanezca dentro de cada bloque.</w:t>
      </w:r>
    </w:p>
    <w:p>
      <w:pPr>
        <w:jc w:val="center"/>
      </w:pPr>
      <w:r>
        <w:rPr>
          <w:b/>
        </w:rPr>
        <w:t>Figura A1. Ajuste final del Gr?fico 5.</w:t>
      </w:r>
    </w:p>
    <w:p>
      <w:pPr>
        <w:jc w:val="center"/>
      </w:pPr>
      <w:r>
        <w:drawing>
          <wp:inline xmlns:a="http://schemas.openxmlformats.org/drawingml/2006/main" xmlns:pic="http://schemas.openxmlformats.org/drawingml/2006/picture">
            <wp:extent cx="6035040" cy="3733940"/>
            <wp:docPr id="11" name="Picture 11"/>
            <wp:cNvGraphicFramePr>
              <a:graphicFrameLocks noChangeAspect="1"/>
            </wp:cNvGraphicFramePr>
            <a:graphic>
              <a:graphicData uri="http://schemas.openxmlformats.org/drawingml/2006/picture">
                <pic:pic>
                  <pic:nvPicPr>
                    <pic:cNvPr id="0" name="grafico_05.png"/>
                    <pic:cNvPicPr/>
                  </pic:nvPicPr>
                  <pic:blipFill>
                    <a:blip r:embed="rId19"/>
                    <a:stretch>
                      <a:fillRect/>
                    </a:stretch>
                  </pic:blipFill>
                  <pic:spPr>
                    <a:xfrm>
                      <a:off x="0" y="0"/>
                      <a:ext cx="6035040" cy="3733940"/>
                    </a:xfrm>
                    <a:prstGeom prst="rect"/>
                  </pic:spPr>
                </pic:pic>
              </a:graphicData>
            </a:graphic>
          </wp:inline>
        </w:drawing>
      </w:r>
    </w:p>
    <w:p>
      <w:pPr>
        <w:jc w:val="center"/>
      </w:pPr>
      <w:r>
        <w:rPr>
          <w:b/>
        </w:rPr>
        <w:t>Figura A2. Ajuste final del Gr?fico 14.</w:t>
      </w:r>
    </w:p>
    <w:p>
      <w:pPr>
        <w:jc w:val="center"/>
      </w:pPr>
      <w:r>
        <w:drawing>
          <wp:inline xmlns:a="http://schemas.openxmlformats.org/drawingml/2006/main" xmlns:pic="http://schemas.openxmlformats.org/drawingml/2006/picture">
            <wp:extent cx="6035040" cy="2979972"/>
            <wp:docPr id="12" name="Picture 12"/>
            <wp:cNvGraphicFramePr>
              <a:graphicFrameLocks noChangeAspect="1"/>
            </wp:cNvGraphicFramePr>
            <a:graphic>
              <a:graphicData uri="http://schemas.openxmlformats.org/drawingml/2006/picture">
                <pic:pic>
                  <pic:nvPicPr>
                    <pic:cNvPr id="0" name="grafico_14.png"/>
                    <pic:cNvPicPr/>
                  </pic:nvPicPr>
                  <pic:blipFill>
                    <a:blip r:embed="rId20"/>
                    <a:stretch>
                      <a:fillRect/>
                    </a:stretch>
                  </pic:blipFill>
                  <pic:spPr>
                    <a:xfrm>
                      <a:off x="0" y="0"/>
                      <a:ext cx="6035040" cy="2979972"/>
                    </a:xfrm>
                    <a:prstGeom prst="rect"/>
                  </pic:spPr>
                </pic:pic>
              </a:graphicData>
            </a:graphic>
          </wp:inline>
        </w:drawing>
      </w:r>
    </w:p>
    <w:p>
      <w:pPr>
        <w:jc w:val="center"/>
      </w:pPr>
      <w:r>
        <w:rPr>
          <w:b/>
        </w:rPr>
        <w:t>Figura A3. Flujo actual estilizado (AS-IS).</w:t>
      </w:r>
    </w:p>
    <w:p>
      <w:pPr>
        <w:jc w:val="center"/>
      </w:pPr>
      <w:r>
        <w:drawing>
          <wp:inline xmlns:a="http://schemas.openxmlformats.org/drawingml/2006/main" xmlns:pic="http://schemas.openxmlformats.org/drawingml/2006/picture">
            <wp:extent cx="6035040" cy="3472880"/>
            <wp:docPr id="13" name="Picture 13"/>
            <wp:cNvGraphicFramePr>
              <a:graphicFrameLocks noChangeAspect="1"/>
            </wp:cNvGraphicFramePr>
            <a:graphic>
              <a:graphicData uri="http://schemas.openxmlformats.org/drawingml/2006/picture">
                <pic:pic>
                  <pic:nvPicPr>
                    <pic:cNvPr id="0" name="flujo_asis.png"/>
                    <pic:cNvPicPr/>
                  </pic:nvPicPr>
                  <pic:blipFill>
                    <a:blip r:embed="rId21"/>
                    <a:stretch>
                      <a:fillRect/>
                    </a:stretch>
                  </pic:blipFill>
                  <pic:spPr>
                    <a:xfrm>
                      <a:off x="0" y="0"/>
                      <a:ext cx="6035040" cy="3472880"/>
                    </a:xfrm>
                    <a:prstGeom prst="rect"/>
                  </pic:spPr>
                </pic:pic>
              </a:graphicData>
            </a:graphic>
          </wp:inline>
        </w:drawing>
      </w:r>
    </w:p>
    <w:p>
      <w:pPr>
        <w:jc w:val="center"/>
      </w:pPr>
      <w:r>
        <w:rPr>
          <w:b/>
        </w:rPr>
        <w:t>Figura A4. Flujo propuesto estilizado (TO-BE).</w:t>
      </w:r>
    </w:p>
    <w:p>
      <w:pPr>
        <w:jc w:val="center"/>
      </w:pPr>
      <w:r>
        <w:drawing>
          <wp:inline xmlns:a="http://schemas.openxmlformats.org/drawingml/2006/main" xmlns:pic="http://schemas.openxmlformats.org/drawingml/2006/picture">
            <wp:extent cx="6035040" cy="3472880"/>
            <wp:docPr id="14" name="Picture 14"/>
            <wp:cNvGraphicFramePr>
              <a:graphicFrameLocks noChangeAspect="1"/>
            </wp:cNvGraphicFramePr>
            <a:graphic>
              <a:graphicData uri="http://schemas.openxmlformats.org/drawingml/2006/picture">
                <pic:pic>
                  <pic:nvPicPr>
                    <pic:cNvPr id="0" name="flujo_tobe.png"/>
                    <pic:cNvPicPr/>
                  </pic:nvPicPr>
                  <pic:blipFill>
                    <a:blip r:embed="rId22"/>
                    <a:stretch>
                      <a:fillRect/>
                    </a:stretch>
                  </pic:blipFill>
                  <pic:spPr>
                    <a:xfrm>
                      <a:off x="0" y="0"/>
                      <a:ext cx="6035040" cy="3472880"/>
                    </a:xfrm>
                    <a:prstGeom prst="rect"/>
                  </pic:spPr>
                </pic:pic>
              </a:graphicData>
            </a:graphic>
          </wp:inline>
        </w:drawing>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