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Roboto" w:cs="Roboto" w:eastAsia="Roboto" w:hAnsi="Roboto"/>
          <w:b/>
          <w:bCs/>
          <w:color w:val="0A3454"/>
          <w:sz w:val="48"/>
          <w:szCs w:val="48"/>
        </w:rPr>
        <w:t xml:space="preserve">RWI Makerspace</w:t>
      </w:r>
    </w:p>
    <w:p>
      <w:pPr>
        <w:spacing w:after="40"/>
      </w:pPr>
      <w:r>
        <w:rPr>
          <w:rFonts w:ascii="Roboto" w:cs="Roboto" w:eastAsia="Roboto" w:hAnsi="Roboto"/>
          <w:color w:val="4491A9"/>
          <w:sz w:val="36"/>
          <w:szCs w:val="36"/>
        </w:rPr>
        <w:t xml:space="preserve">Data Collection Methodology</w:t>
      </w:r>
    </w:p>
    <w:p>
      <w:pPr>
        <w:spacing w:after="200"/>
      </w:pPr>
      <w:r>
        <w:rPr>
          <w:rFonts w:ascii="Roboto" w:cs="Roboto" w:eastAsia="Roboto" w:hAnsi="Roboto"/>
          <w:color w:val="404040"/>
          <w:sz w:val="22"/>
          <w:szCs w:val="22"/>
        </w:rPr>
        <w:t xml:space="preserve">2026 KPI Framework | Gap #3 Resolution | March 28, 2026</w:t>
      </w:r>
    </w:p>
    <w:p>
      <w:pPr>
        <w:pBdr>
          <w:bottom w:val="single" w:color="F05927" w:sz="6" w:space="1"/>
        </w:pBdr>
        <w:spacing w:after="40"/>
      </w:pPr>
    </w:p>
    <w:p>
      <w:pPr>
        <w:spacing w:after="60"/>
      </w:pPr>
    </w:p>
    <w:p>
      <w:pPr>
        <w:pStyle w:val="Heading1"/>
      </w:pPr>
      <w:r>
        <w:t xml:space="preserve">Purpose</w:t>
      </w:r>
    </w:p>
    <w:p>
      <w:pPr>
        <w:spacing w:after="120"/>
      </w:pPr>
      <w:r>
        <w:rPr>
          <w:rFonts w:ascii="Roboto" w:cs="Roboto" w:eastAsia="Roboto" w:hAnsi="Roboto"/>
          <w:color w:val="404040"/>
          <w:sz w:val="22"/>
          <w:szCs w:val="22"/>
        </w:rPr>
        <w:t xml:space="preserve">This document defines the measurement instruments for each active RWI Makerspace program across all four KPI framework categories: IMPACT, INFLUENCE, ORGANIZATIONAL HEALTH &amp; VIABILITY, and DATA COLLECTION METHODOLOGY (self-referential: this document is the methodology layer).</w:t>
      </w:r>
    </w:p>
    <w:p>
      <w:pPr>
        <w:spacing w:after="120"/>
      </w:pPr>
      <w:r>
        <w:rPr>
          <w:rFonts w:ascii="Roboto" w:cs="Roboto" w:eastAsia="Roboto" w:hAnsi="Roboto"/>
          <w:color w:val="404040"/>
          <w:sz w:val="22"/>
          <w:szCs w:val="22"/>
        </w:rPr>
        <w:t xml:space="preserve">For each program, the matrix specifies: what data is collected, how it is collected, how often, who is responsible, and a sample item to illustrate the type of information captured. This resolves Gap #3 from the 2026 KPI Framework Mapping exercise.</w:t>
      </w:r>
    </w:p>
    <w:p>
      <w:pPr>
        <w:spacing w:after="60"/>
      </w:pPr>
    </w:p>
    <w:p>
      <w:pPr>
        <w:pStyle w:val="Heading1"/>
      </w:pPr>
      <w:r>
        <w:t xml:space="preserve">Instrument Types Used</w:t>
      </w:r>
    </w:p>
    <w:p>
      <w:pPr>
        <w:pStyle w:val="ListParagraph"/>
        <w:numPr>
          <w:ilvl w:val="0"/>
          <w:numId w:val="2"/>
        </w:numPr>
        <w:spacing w:after="80"/>
      </w:pPr>
      <w:r>
        <w:rPr>
          <w:rFonts w:ascii="Roboto" w:cs="Roboto" w:eastAsia="Roboto" w:hAnsi="Roboto"/>
          <w:b/>
          <w:bCs/>
          <w:color w:val="404040"/>
          <w:sz w:val="22"/>
          <w:szCs w:val="22"/>
        </w:rPr>
        <w:t xml:space="preserve">Participant/practitioner surveys: </w:t>
      </w:r>
      <w:r>
        <w:rPr>
          <w:rFonts w:ascii="Roboto" w:cs="Roboto" w:eastAsia="Roboto" w:hAnsi="Roboto"/>
          <w:color w:val="404040"/>
          <w:sz w:val="22"/>
          <w:szCs w:val="22"/>
        </w:rPr>
        <w:t xml:space="preserve">Structured questionnaires administered to program participants at defined intervals. Kept short (3-10 items) to maximize response rates.</w:t>
      </w:r>
    </w:p>
    <w:p>
      <w:pPr>
        <w:pStyle w:val="ListParagraph"/>
        <w:numPr>
          <w:ilvl w:val="0"/>
          <w:numId w:val="2"/>
        </w:numPr>
        <w:spacing w:after="80"/>
      </w:pPr>
      <w:r>
        <w:rPr>
          <w:rFonts w:ascii="Roboto" w:cs="Roboto" w:eastAsia="Roboto" w:hAnsi="Roboto"/>
          <w:b/>
          <w:bCs/>
          <w:color w:val="404040"/>
          <w:sz w:val="22"/>
          <w:szCs w:val="22"/>
        </w:rPr>
        <w:t xml:space="preserve">Platform data pulls: </w:t>
      </w:r>
      <w:r>
        <w:rPr>
          <w:rFonts w:ascii="Roboto" w:cs="Roboto" w:eastAsia="Roboto" w:hAnsi="Roboto"/>
          <w:color w:val="404040"/>
          <w:sz w:val="22"/>
          <w:szCs w:val="22"/>
        </w:rPr>
        <w:t xml:space="preserve">Analytics from website, registration systems, CRM, and community platforms. Automated where possible.</w:t>
      </w:r>
    </w:p>
    <w:p>
      <w:pPr>
        <w:pStyle w:val="ListParagraph"/>
        <w:numPr>
          <w:ilvl w:val="0"/>
          <w:numId w:val="2"/>
        </w:numPr>
        <w:spacing w:after="80"/>
      </w:pPr>
      <w:r>
        <w:rPr>
          <w:rFonts w:ascii="Roboto" w:cs="Roboto" w:eastAsia="Roboto" w:hAnsi="Roboto"/>
          <w:b/>
          <w:bCs/>
          <w:color w:val="404040"/>
          <w:sz w:val="22"/>
          <w:szCs w:val="22"/>
        </w:rPr>
        <w:t xml:space="preserve">Admin data: </w:t>
      </w:r>
      <w:r>
        <w:rPr>
          <w:rFonts w:ascii="Roboto" w:cs="Roboto" w:eastAsia="Roboto" w:hAnsi="Roboto"/>
          <w:color w:val="404040"/>
          <w:sz w:val="22"/>
          <w:szCs w:val="22"/>
        </w:rPr>
        <w:t xml:space="preserve">Financial records, delivery tracking, and operational metrics from existing RW/RWI systems.</w:t>
      </w:r>
    </w:p>
    <w:p>
      <w:pPr>
        <w:pStyle w:val="ListParagraph"/>
        <w:numPr>
          <w:ilvl w:val="0"/>
          <w:numId w:val="2"/>
        </w:numPr>
        <w:spacing w:after="80"/>
      </w:pPr>
      <w:r>
        <w:rPr>
          <w:rFonts w:ascii="Roboto" w:cs="Roboto" w:eastAsia="Roboto" w:hAnsi="Roboto"/>
          <w:b/>
          <w:bCs/>
          <w:color w:val="404040"/>
          <w:sz w:val="22"/>
          <w:szCs w:val="22"/>
        </w:rPr>
        <w:t xml:space="preserve">Subjective assessments: </w:t>
      </w:r>
      <w:r>
        <w:rPr>
          <w:rFonts w:ascii="Roboto" w:cs="Roboto" w:eastAsia="Roboto" w:hAnsi="Roboto"/>
          <w:color w:val="404040"/>
          <w:sz w:val="22"/>
          <w:szCs w:val="22"/>
        </w:rPr>
        <w:t xml:space="preserve">Qualitative ratings by program leaders on defined dimensions. Used only for Salons where participant-level measurement is not practical.</w:t>
      </w:r>
    </w:p>
    <w:p>
      <w:pPr>
        <w:pStyle w:val="ListParagraph"/>
        <w:numPr>
          <w:ilvl w:val="0"/>
          <w:numId w:val="2"/>
        </w:numPr>
        <w:spacing w:after="80"/>
      </w:pPr>
      <w:r>
        <w:rPr>
          <w:rFonts w:ascii="Roboto" w:cs="Roboto" w:eastAsia="Roboto" w:hAnsi="Roboto"/>
          <w:b/>
          <w:bCs/>
          <w:color w:val="404040"/>
          <w:sz w:val="22"/>
          <w:szCs w:val="22"/>
        </w:rPr>
        <w:t xml:space="preserve">Automated quality checks: </w:t>
      </w:r>
      <w:r>
        <w:rPr>
          <w:rFonts w:ascii="Roboto" w:cs="Roboto" w:eastAsia="Roboto" w:hAnsi="Roboto"/>
          <w:color w:val="404040"/>
          <w:sz w:val="22"/>
          <w:szCs w:val="22"/>
        </w:rPr>
        <w:t xml:space="preserve">Response rates, completion rates, and conversion metrics that validate the reliability of the instruments above.</w:t>
      </w:r>
    </w:p>
    <w:p>
      <w:pPr>
        <w:spacing w:after="60"/>
      </w:pPr>
    </w:p>
    <w:p>
      <w:pPr>
        <w:pStyle w:val="Heading1"/>
      </w:pPr>
      <w:r>
        <w:t xml:space="preserve">All-Program Summary</w:t>
      </w:r>
    </w:p>
    <w:p>
      <w:pPr>
        <w:spacing w:after="120"/>
      </w:pPr>
      <w:r>
        <w:rPr>
          <w:rFonts w:ascii="Roboto" w:cs="Roboto" w:eastAsia="Roboto" w:hAnsi="Roboto"/>
          <w:color w:val="404040"/>
          <w:sz w:val="22"/>
          <w:szCs w:val="22"/>
        </w:rPr>
        <w:t xml:space="preserve">At a glance: what instrument type covers each KPI category for each program.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Program</w:t>
            </w:r>
          </w:p>
        </w:tc>
        <w:tc>
          <w:tcPr>
            <w:tcW w:type="dxa" w:w="1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IMPACT Instrument</w:t>
            </w:r>
          </w:p>
        </w:tc>
        <w:tc>
          <w:tcPr>
            <w:tcW w:type="dxa" w:w="1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INFLUENCE Instrument</w:t>
            </w:r>
          </w:p>
        </w:tc>
        <w:tc>
          <w:tcPr>
            <w:tcW w:type="dxa" w:w="1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ORG HEALTH Instrument</w:t>
            </w:r>
          </w:p>
        </w:tc>
        <w:tc>
          <w:tcPr>
            <w:tcW w:type="dxa" w:w="3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QUALITY Check</w:t>
            </w:r>
          </w:p>
        </w:tc>
      </w:tr>
      <w:tr>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Empathy Project</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Pre/post participant survey</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Website analytics, media tracking</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Financial records, CRM</w:t>
            </w:r>
          </w:p>
        </w:tc>
        <w:tc>
          <w:tcPr>
            <w:tcW w:type="dxa" w:w="3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Survey response rate tracking</w:t>
            </w:r>
          </w:p>
        </w:tc>
      </w:tr>
      <w:tr>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Technology Review</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Practitioner follow-up survey (6-12 mo post-download)</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Download analytics, geographic/audience data</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Sponsor revenue, publication delivery tracking</w:t>
            </w:r>
          </w:p>
        </w:tc>
        <w:tc>
          <w:tcPr>
            <w:tcW w:type="dxa" w:w="3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Download-to-survey conversion rate</w:t>
            </w:r>
          </w:p>
        </w:tc>
      </w:tr>
      <w:tr>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Regional Campus</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Post-event participant survey</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Registration data, referral tracking</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Revenue per event (entity-split), budget forecaster</w:t>
            </w:r>
          </w:p>
        </w:tc>
        <w:tc>
          <w:tcPr>
            <w:tcW w:type="dxa" w:w="3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Registration-to-attendance, survey completion rate</w:t>
            </w:r>
          </w:p>
        </w:tc>
      </w:tr>
      <w:tr>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AI Magic</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Brief post-session poll (3 items)</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 repeat attendance tracking</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Cost per session tracking</w:t>
            </w:r>
          </w:p>
        </w:tc>
        <w:tc>
          <w:tcPr>
            <w:tcW w:type="dxa" w:w="3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Attendance-to-poll conversion rate</w:t>
            </w:r>
          </w:p>
        </w:tc>
      </w:tr>
      <w:tr>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MS Alumni Network</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Annual alumni survey</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Network growth + referral tracking via CRM</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Alumni subscription revenue (when activated)</w:t>
            </w:r>
          </w:p>
        </w:tc>
        <w:tc>
          <w:tcPr>
            <w:tcW w:type="dxa" w:w="3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Survey participation rate</w:t>
            </w:r>
          </w:p>
        </w:tc>
      </w:tr>
      <w:tr>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Salons</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 subjective assessment (Chris, 1-5 scale)</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 returning attendee %</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Cost per salon tracking</w:t>
            </w:r>
          </w:p>
        </w:tc>
        <w:tc>
          <w:tcPr>
            <w:tcW w:type="dxa" w:w="3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consistency trends</w:t>
            </w:r>
          </w:p>
        </w:tc>
      </w:tr>
    </w:tbl>
    <w:p>
      <w:pPr>
        <w:spacing w:after="60"/>
      </w:pPr>
    </w:p>
    <w:p>
      <w:r>
        <w:br w:type="page"/>
      </w:r>
    </w:p>
    <w:p>
      <w:pPr>
        <w:pStyle w:val="Heading1"/>
      </w:pPr>
      <w:r>
        <w:t xml:space="preserve">Program Detail: Empathy Project</w:t>
      </w:r>
    </w:p>
    <w:p>
      <w:pPr>
        <w:spacing w:after="120"/>
      </w:pPr>
      <w:r>
        <w:rPr>
          <w:rFonts w:ascii="Roboto" w:cs="Roboto" w:eastAsia="Roboto" w:hAnsi="Roboto"/>
          <w:color w:val="404040"/>
          <w:sz w:val="22"/>
          <w:szCs w:val="22"/>
        </w:rPr>
        <w:t xml:space="preserve">The Empathy Project's IMPACT measurement centers on behavioral change in participants: are they engaging differently with people whose perspectives differ from their own? The pre/post/follow-up survey structure allows tracking of both immediate and sustained change.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Participant pre/post survey</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Short survey (5-8 items)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Pre + post + 6-mo follow-up</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Program lead</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"In the last month, how often did you initiate a conversation with someone whose perspective differs from your own?"</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Website analytics + media tracking</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Platform data pull</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Unique downloads, media mentions, speaking invitations referencing EP</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Financial records + CRM</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Monthly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Angela / 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Revenue attributed to EP, participant count, completion rate</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Survey response rate tracking</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cohort</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Program lead</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Response rate %, completion rate %, drop-off point</w:t>
            </w:r>
          </w:p>
        </w:tc>
      </w:tr>
    </w:tbl>
    <w:p>
      <w:pPr>
        <w:spacing w:after="60"/>
      </w:pPr>
    </w:p>
    <w:p>
      <w:r>
        <w:br w:type="page"/>
      </w:r>
    </w:p>
    <w:p>
      <w:pPr>
        <w:pStyle w:val="Heading1"/>
      </w:pPr>
      <w:r>
        <w:t xml:space="preserve">Program Detail: Technology Review</w:t>
      </w:r>
    </w:p>
    <w:p>
      <w:pPr>
        <w:spacing w:after="120"/>
      </w:pPr>
      <w:r>
        <w:rPr>
          <w:rFonts w:ascii="Roboto" w:cs="Roboto" w:eastAsia="Roboto" w:hAnsi="Roboto"/>
          <w:color w:val="404040"/>
          <w:sz w:val="22"/>
          <w:szCs w:val="22"/>
        </w:rPr>
        <w:t xml:space="preserve">The Tech Review's IMPACT measurement (defined in RWI-TechReview-IMPACT-Pathway-v1.docx) requires a practitioner follow-up survey administered 6-12 months after download. This is the most complex instrument in the portfolio because it must distinguish the review's contribution from other procurement influences.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Practitioner follow-up survey</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Email survey (8-10 items)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6-12 mo post-download</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"After reading the Tech Review, how many solutions on your shortlist were new to you?"</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Website analytics + download tracking</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Platform data pull</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Monthly post-pub</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Downloads, geographic distribution, audience composition, vendor participation</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Financial records + sponsor tracking</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Sponsor revenue (E4E Relief, Gates), publication delivery vs. target date</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Download-to-survey conversion</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edition</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Survey response rate among downloaders, opt-in rate at download</w:t>
            </w:r>
          </w:p>
        </w:tc>
      </w:tr>
    </w:tbl>
    <w:p>
      <w:pPr>
        <w:spacing w:after="60"/>
      </w:pPr>
    </w:p>
    <w:p>
      <w:r>
        <w:br w:type="page"/>
      </w:r>
    </w:p>
    <w:p>
      <w:pPr>
        <w:pStyle w:val="Heading1"/>
      </w:pPr>
      <w:r>
        <w:t xml:space="preserve">Program Detail: Regional Campus</w:t>
      </w:r>
    </w:p>
    <w:p>
      <w:pPr>
        <w:spacing w:after="120"/>
      </w:pPr>
      <w:r>
        <w:rPr>
          <w:rFonts w:ascii="Roboto" w:cs="Roboto" w:eastAsia="Roboto" w:hAnsi="Roboto"/>
          <w:color w:val="404040"/>
          <w:sz w:val="22"/>
          <w:szCs w:val="22"/>
        </w:rPr>
        <w:t xml:space="preserve">Regional Campus events generate the richest immediate-feedback opportunity: participants are physically present and can be surveyed in the moment. The post-event survey should capture both satisfaction and intended behavior change, with a 30-day follow-up prompt built into the original survey ask.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Participant feedback survey</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Post-event survey (6-8 items)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After each event</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Campus facilitator</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"Name one thing you will do differently in your program within 30 days as a result of this session."</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 referral tracking</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Registration data + survey</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event</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Attendee count, companies represented, % who heard about it from a colleague</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Revenue + delivery tracking</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 + budget forecaster</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event</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Revenue per event (entity-split per attribution rules), seat fill rate, margin</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Reg-to-attendance + survey completion</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event</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Show rate %, survey completion rate %</w:t>
            </w:r>
          </w:p>
        </w:tc>
      </w:tr>
    </w:tbl>
    <w:p>
      <w:pPr>
        <w:spacing w:after="60"/>
      </w:pPr>
    </w:p>
    <w:p>
      <w:r>
        <w:br w:type="page"/>
      </w:r>
    </w:p>
    <w:p>
      <w:pPr>
        <w:pStyle w:val="Heading1"/>
      </w:pPr>
      <w:r>
        <w:t xml:space="preserve">Program Detail: AI Magic</w:t>
      </w:r>
    </w:p>
    <w:p>
      <w:pPr>
        <w:spacing w:after="120"/>
      </w:pPr>
      <w:r>
        <w:rPr>
          <w:rFonts w:ascii="Roboto" w:cs="Roboto" w:eastAsia="Roboto" w:hAnsi="Roboto"/>
          <w:color w:val="404040"/>
          <w:sz w:val="22"/>
          <w:szCs w:val="22"/>
        </w:rPr>
        <w:t xml:space="preserve">AI Magic sessions are lighter-touch, community-oriented learning experiences. The measurement instrument reflects this: a brief 3-item poll rather than a full survey. The focus is on whether participants plan to apply what they learned, not on deep outcome tracking. Repeat attendance serves as a behavioral proxy for value.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Session participation + application</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Brief post-session poll (3 items)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After each session</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Session facilitator</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"Did you learn something today you plan to apply in your work this week?" (Yes / No / Not sure)</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 community engagement</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Platform data</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Monthly</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Session attendance, repeat attendance rate, community channel activity</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Cost tracking</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Cost per session, sponsorship revenue if any</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Attendance-to-poll conversion</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session</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Poll response rate %</w:t>
            </w:r>
          </w:p>
        </w:tc>
      </w:tr>
    </w:tbl>
    <w:p>
      <w:pPr>
        <w:spacing w:after="60"/>
      </w:pPr>
    </w:p>
    <w:p>
      <w:r>
        <w:br w:type="page"/>
      </w:r>
    </w:p>
    <w:p>
      <w:pPr>
        <w:pStyle w:val="Heading1"/>
      </w:pPr>
      <w:r>
        <w:t xml:space="preserve">Program Detail: MS Alumni Network</w:t>
      </w:r>
    </w:p>
    <w:p>
      <w:pPr>
        <w:spacing w:after="120"/>
      </w:pPr>
      <w:r>
        <w:rPr>
          <w:rFonts w:ascii="Roboto" w:cs="Roboto" w:eastAsia="Roboto" w:hAnsi="Roboto"/>
          <w:color w:val="404040"/>
          <w:sz w:val="22"/>
          <w:szCs w:val="22"/>
        </w:rPr>
        <w:t xml:space="preserve">The MS Alumni Network operates on a longer cycle than other programs. Annual surveying is appropriate because alumni engagement builds over years. The key IMPACT question is whether alumni are still using Makerspace frameworks in their work, which is a proxy for sustained prosocial identity change.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Alumni engagement tracking</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Annual alumni survey (5-6 items)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Annually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"Have you applied any Makerspace frameworks in your current role in the past 12 months?"</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Network growth + referral tracking</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CRM / membership data</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Active alumni count, referrals generated, alumni-to-new-participant conversion</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Revenue + engagement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Alumni subscription revenue (when activated), event participation rate</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Survey participation</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Annually</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Survey response rate among active alumni</w:t>
            </w:r>
          </w:p>
        </w:tc>
      </w:tr>
    </w:tbl>
    <w:p>
      <w:pPr>
        <w:spacing w:after="60"/>
      </w:pPr>
    </w:p>
    <w:p>
      <w:r>
        <w:br w:type="page"/>
      </w:r>
    </w:p>
    <w:p>
      <w:pPr>
        <w:pStyle w:val="Heading1"/>
      </w:pPr>
      <w:r>
        <w:t xml:space="preserve">Program Detail: Salons</w:t>
      </w:r>
    </w:p>
    <w:p>
      <w:pPr>
        <w:spacing w:after="120"/>
      </w:pPr>
      <w:r>
        <w:rPr>
          <w:rFonts w:ascii="Roboto" w:cs="Roboto" w:eastAsia="Roboto" w:hAnsi="Roboto"/>
          <w:color w:val="404040"/>
          <w:sz w:val="22"/>
          <w:szCs w:val="22"/>
        </w:rPr>
        <w:t xml:space="preserve">Salons are exploratory, community-building spaces where traditional participant-level measurement would change the character of the experience. Instead, IMPACT is assessed through Chris's quarterly subjective rating on three dimensions: idea generation that influenced active programs, participant engagement depth, and connection to Makerspace themes.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000"/>
        <w:gridCol w:w="1160"/>
        <w:gridCol w:w="3200"/>
      </w:tblGrid>
      <w:tr>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KPI 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Data Source</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Instrument</w:t>
            </w:r>
          </w:p>
        </w:tc>
        <w:tc>
          <w:tcPr>
            <w:tcW w:type="dxa" w:w="1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Frequency</w:t>
            </w:r>
          </w:p>
        </w:tc>
        <w:tc>
          <w:tcPr>
            <w:tcW w:type="dxa" w:w="11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Administered By</w:t>
            </w:r>
          </w:p>
        </w:tc>
        <w:tc>
          <w:tcPr>
            <w:tcW w:type="dxa" w:w="3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tcPr>
          <w:p>
            <w:r>
              <w:rPr>
                <w:rFonts w:ascii="Roboto" w:cs="Roboto" w:eastAsia="Roboto" w:hAnsi="Roboto"/>
                <w:b/>
                <w:bCs/>
                <w:color w:val="FFFFFF"/>
                <w:sz w:val="18"/>
                <w:szCs w:val="18"/>
              </w:rPr>
              <w:t xml:space="preserve">Sample Item</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IMPACT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Subjective quarterly assessment</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Chris qualitative rating (1-5, 3 dims)</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Chris</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i/>
                <w:iCs/>
                <w:color w:val="404040"/>
                <w:sz w:val="18"/>
                <w:szCs w:val="18"/>
              </w:rPr>
              <w:t xml:space="preserve">"To what extent did this quarter's salons surface ideas that influenced active Makerspace programs?" (1-5)</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INFLUENCE</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 engagement</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Platform data</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Per salon</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Attendance count, % returning attendees, topic diversity</w:t>
            </w:r>
          </w:p>
        </w:tc>
      </w:tr>
      <w:tr>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ORG HEALTH</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Cost tracking</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Admin data</w:t>
            </w:r>
          </w:p>
        </w:tc>
        <w:tc>
          <w:tcPr>
            <w:tcW w:type="dxa" w:w="1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Finance</w:t>
            </w:r>
          </w:p>
        </w:tc>
        <w:tc>
          <w:tcPr>
            <w:tcW w:type="dxa" w:w="3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color w:val="404040"/>
                <w:sz w:val="18"/>
                <w:szCs w:val="18"/>
              </w:rPr>
              <w:t xml:space="preserve">Cost per salon, time investment</w:t>
            </w:r>
          </w:p>
        </w:tc>
      </w:tr>
      <w:tr>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i w:val="false"/>
                <w:iCs w:val="false"/>
                <w:color w:val="404040"/>
                <w:sz w:val="18"/>
                <w:szCs w:val="18"/>
              </w:rPr>
              <w:t xml:space="preserve">DATA QUALITY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Attendance consistency</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Automated</w:t>
            </w:r>
          </w:p>
        </w:tc>
        <w:tc>
          <w:tcPr>
            <w:tcW w:type="dxa" w:w="1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Quarterly</w:t>
            </w:r>
          </w:p>
        </w:tc>
        <w:tc>
          <w:tcPr>
            <w:tcW w:type="dxa" w:w="11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i w:val="false"/>
                <w:iCs w:val="false"/>
                <w:color w:val="404040"/>
                <w:sz w:val="18"/>
                <w:szCs w:val="18"/>
              </w:rPr>
              <w:t xml:space="preserve">RWI ops</w:t>
            </w:r>
          </w:p>
        </w:tc>
        <w:tc>
          <w:tcPr>
            <w:tcW w:type="dxa" w:w="3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18"/>
                <w:szCs w:val="18"/>
              </w:rPr>
              <w:t xml:space="preserve">Average attendance trend, no-show rate</w:t>
            </w:r>
          </w:p>
        </w:tc>
      </w:tr>
    </w:tbl>
    <w:p>
      <w:pPr>
        <w:spacing w:after="60"/>
      </w:pPr>
    </w:p>
    <w:p>
      <w:r>
        <w:br w:type="page"/>
      </w:r>
    </w:p>
    <w:p>
      <w:pPr>
        <w:pStyle w:val="Heading1"/>
      </w:pPr>
      <w:r>
        <w:t xml:space="preserve">Implementation Notes</w:t>
      </w:r>
    </w:p>
    <w:p>
      <w:pPr>
        <w:pStyle w:val="Heading3"/>
      </w:pPr>
      <w:r>
        <w:t xml:space="preserve">Priority Order</w:t>
      </w:r>
    </w:p>
    <w:p>
      <w:pPr>
        <w:spacing w:after="120"/>
      </w:pPr>
      <w:r>
        <w:rPr>
          <w:rFonts w:ascii="Roboto" w:cs="Roboto" w:eastAsia="Roboto" w:hAnsi="Roboto"/>
          <w:color w:val="404040"/>
          <w:sz w:val="22"/>
          <w:szCs w:val="22"/>
        </w:rPr>
        <w:t xml:space="preserve">Not all instruments need to launch simultaneously. Recommended priority:</w:t>
      </w:r>
    </w:p>
    <w:p>
      <w:pPr>
        <w:spacing w:after="60"/>
      </w:pPr>
    </w:p>
    <w:p>
      <w:pPr>
        <w:pStyle w:val="ListParagraph"/>
        <w:numPr>
          <w:ilvl w:val="0"/>
          <w:numId w:val="2"/>
        </w:numPr>
        <w:spacing w:after="80"/>
      </w:pPr>
      <w:r>
        <w:rPr>
          <w:rFonts w:ascii="Roboto" w:cs="Roboto" w:eastAsia="Roboto" w:hAnsi="Roboto"/>
          <w:b/>
          <w:bCs/>
          <w:color w:val="404040"/>
          <w:sz w:val="22"/>
          <w:szCs w:val="22"/>
        </w:rPr>
        <w:t xml:space="preserve">Immediate (Q2 2026): </w:t>
      </w:r>
      <w:r>
        <w:rPr>
          <w:rFonts w:ascii="Roboto" w:cs="Roboto" w:eastAsia="Roboto" w:hAnsi="Roboto"/>
          <w:color w:val="404040"/>
          <w:sz w:val="22"/>
          <w:szCs w:val="22"/>
        </w:rPr>
        <w:t xml:space="preserve">Regional Campus post-event survey (events already scheduled), Salons quarterly assessment (Chris can start scoring retroactively), AI Magic post-session poll (lightweight).</w:t>
      </w:r>
    </w:p>
    <w:p>
      <w:pPr>
        <w:pStyle w:val="ListParagraph"/>
        <w:numPr>
          <w:ilvl w:val="0"/>
          <w:numId w:val="2"/>
        </w:numPr>
        <w:spacing w:after="80"/>
      </w:pPr>
      <w:r>
        <w:rPr>
          <w:rFonts w:ascii="Roboto" w:cs="Roboto" w:eastAsia="Roboto" w:hAnsi="Roboto"/>
          <w:b/>
          <w:bCs/>
          <w:color w:val="404040"/>
          <w:sz w:val="22"/>
          <w:szCs w:val="22"/>
        </w:rPr>
        <w:t xml:space="preserve">Next edition (Q3 2026): </w:t>
      </w:r>
      <w:r>
        <w:rPr>
          <w:rFonts w:ascii="Roboto" w:cs="Roboto" w:eastAsia="Roboto" w:hAnsi="Roboto"/>
          <w:color w:val="404040"/>
          <w:sz w:val="22"/>
          <w:szCs w:val="22"/>
        </w:rPr>
        <w:t xml:space="preserve">Technology Review practitioner follow-up survey (design before next edition publishes; deploy after).</w:t>
      </w:r>
    </w:p>
    <w:p>
      <w:pPr>
        <w:pStyle w:val="ListParagraph"/>
        <w:numPr>
          <w:ilvl w:val="0"/>
          <w:numId w:val="2"/>
        </w:numPr>
        <w:spacing w:after="80"/>
      </w:pPr>
      <w:r>
        <w:rPr>
          <w:rFonts w:ascii="Roboto" w:cs="Roboto" w:eastAsia="Roboto" w:hAnsi="Roboto"/>
          <w:b/>
          <w:bCs/>
          <w:color w:val="404040"/>
          <w:sz w:val="22"/>
          <w:szCs w:val="22"/>
        </w:rPr>
        <w:t xml:space="preserve">With next cohort: </w:t>
      </w:r>
      <w:r>
        <w:rPr>
          <w:rFonts w:ascii="Roboto" w:cs="Roboto" w:eastAsia="Roboto" w:hAnsi="Roboto"/>
          <w:color w:val="404040"/>
          <w:sz w:val="22"/>
          <w:szCs w:val="22"/>
        </w:rPr>
        <w:t xml:space="preserve">Empathy Project pre/post survey (requires cohort timing alignment).</w:t>
      </w:r>
    </w:p>
    <w:p>
      <w:pPr>
        <w:pStyle w:val="ListParagraph"/>
        <w:numPr>
          <w:ilvl w:val="0"/>
          <w:numId w:val="2"/>
        </w:numPr>
        <w:spacing w:after="80"/>
      </w:pPr>
      <w:r>
        <w:rPr>
          <w:rFonts w:ascii="Roboto" w:cs="Roboto" w:eastAsia="Roboto" w:hAnsi="Roboto"/>
          <w:b/>
          <w:bCs/>
          <w:color w:val="404040"/>
          <w:sz w:val="22"/>
          <w:szCs w:val="22"/>
        </w:rPr>
        <w:t xml:space="preserve">When activated: </w:t>
      </w:r>
      <w:r>
        <w:rPr>
          <w:rFonts w:ascii="Roboto" w:cs="Roboto" w:eastAsia="Roboto" w:hAnsi="Roboto"/>
          <w:color w:val="404040"/>
          <w:sz w:val="22"/>
          <w:szCs w:val="22"/>
        </w:rPr>
        <w:t xml:space="preserve">MS Alumni Network annual survey (depends on network formalization).</w:t>
      </w:r>
    </w:p>
    <w:p>
      <w:pPr>
        <w:spacing w:after="60"/>
      </w:pPr>
    </w:p>
    <w:p>
      <w:pPr>
        <w:pStyle w:val="Heading3"/>
      </w:pPr>
      <w:r>
        <w:t xml:space="preserve">Data Storage and Reporting</w:t>
      </w:r>
    </w:p>
    <w:p>
      <w:pPr>
        <w:spacing w:after="120"/>
      </w:pPr>
      <w:r>
        <w:rPr>
          <w:rFonts w:ascii="Roboto" w:cs="Roboto" w:eastAsia="Roboto" w:hAnsi="Roboto"/>
          <w:color w:val="404040"/>
          <w:sz w:val="22"/>
          <w:szCs w:val="22"/>
        </w:rPr>
        <w:t xml:space="preserve">All instrument data flows into the KPI scoring framework. The recommended reporting cadence is quarterly, with each program's scores aggregated into the Makerspace dashboard. INFLUENCE and ORG HEALTH metrics can typically be pulled from existing systems. IMPACT metrics require new instruments (surveys and polls) that do not yet exist and must be built.</w:t>
      </w:r>
    </w:p>
    <w:p>
      <w:pPr>
        <w:spacing w:after="60"/>
      </w:pPr>
    </w:p>
    <w:p>
      <w:pPr>
        <w:pStyle w:val="Heading3"/>
      </w:pPr>
      <w:r>
        <w:t xml:space="preserve">Relationship to Other Gap Resolutions</w:t>
      </w:r>
    </w:p>
    <w:p>
      <w:pPr>
        <w:pStyle w:val="ListParagraph"/>
        <w:numPr>
          <w:ilvl w:val="0"/>
          <w:numId w:val="2"/>
        </w:numPr>
        <w:spacing w:after="80"/>
      </w:pPr>
      <w:r>
        <w:rPr>
          <w:rFonts w:ascii="Roboto" w:cs="Roboto" w:eastAsia="Roboto" w:hAnsi="Roboto"/>
          <w:b/>
          <w:bCs/>
          <w:color w:val="404040"/>
          <w:sz w:val="22"/>
          <w:szCs w:val="22"/>
        </w:rPr>
        <w:t xml:space="preserve">Gap #1 (Tech Review IMPACT): </w:t>
      </w:r>
      <w:r>
        <w:rPr>
          <w:rFonts w:ascii="Roboto" w:cs="Roboto" w:eastAsia="Roboto" w:hAnsi="Roboto"/>
          <w:color w:val="404040"/>
          <w:sz w:val="22"/>
          <w:szCs w:val="22"/>
        </w:rPr>
        <w:t xml:space="preserve">Resolved. The practitioner follow-up survey defined here is the instrument for the 4 IMPACT KPIs defined in RWI-TechReview-IMPACT-Pathway-v1.docx.</w:t>
      </w:r>
    </w:p>
    <w:p>
      <w:pPr>
        <w:pStyle w:val="ListParagraph"/>
        <w:numPr>
          <w:ilvl w:val="0"/>
          <w:numId w:val="2"/>
        </w:numPr>
        <w:spacing w:after="80"/>
      </w:pPr>
      <w:r>
        <w:rPr>
          <w:rFonts w:ascii="Roboto" w:cs="Roboto" w:eastAsia="Roboto" w:hAnsi="Roboto"/>
          <w:b/>
          <w:bCs/>
          <w:color w:val="404040"/>
          <w:sz w:val="22"/>
          <w:szCs w:val="22"/>
        </w:rPr>
        <w:t xml:space="preserve">Gap #2 (Revenue Attribution): </w:t>
      </w:r>
      <w:r>
        <w:rPr>
          <w:rFonts w:ascii="Roboto" w:cs="Roboto" w:eastAsia="Roboto" w:hAnsi="Roboto"/>
          <w:color w:val="404040"/>
          <w:sz w:val="22"/>
          <w:szCs w:val="22"/>
        </w:rPr>
        <w:t xml:space="preserve">Resolved. ORG HEALTH &gt; Revenue instruments use the per-transaction attribution rules from RWI-Revenue-Attribution-Methodology-v1.docx.</w:t>
      </w:r>
    </w:p>
    <w:p>
      <w:pPr>
        <w:pStyle w:val="ListParagraph"/>
        <w:numPr>
          <w:ilvl w:val="0"/>
          <w:numId w:val="2"/>
        </w:numPr>
        <w:spacing w:after="80"/>
      </w:pPr>
      <w:r>
        <w:rPr>
          <w:rFonts w:ascii="Roboto" w:cs="Roboto" w:eastAsia="Roboto" w:hAnsi="Roboto"/>
          <w:b/>
          <w:bCs/>
          <w:color w:val="404040"/>
          <w:sz w:val="22"/>
          <w:szCs w:val="22"/>
        </w:rPr>
        <w:t xml:space="preserve">Gap #4 (Salons/AI Magic Scoring): </w:t>
      </w:r>
      <w:r>
        <w:rPr>
          <w:rFonts w:ascii="Roboto" w:cs="Roboto" w:eastAsia="Roboto" w:hAnsi="Roboto"/>
          <w:color w:val="404040"/>
          <w:sz w:val="22"/>
          <w:szCs w:val="22"/>
        </w:rPr>
        <w:t xml:space="preserve">Partially addressed. This document defines the instrument types. Specific scoring questions for Salons need further refinement (see Remaining Gaps).</w:t>
      </w:r>
    </w:p>
    <w:p>
      <w:pPr>
        <w:pStyle w:val="ListParagraph"/>
        <w:numPr>
          <w:ilvl w:val="0"/>
          <w:numId w:val="2"/>
        </w:numPr>
        <w:spacing w:after="80"/>
      </w:pPr>
      <w:r>
        <w:rPr>
          <w:rFonts w:ascii="Roboto" w:cs="Roboto" w:eastAsia="Roboto" w:hAnsi="Roboto"/>
          <w:b/>
          <w:bCs/>
          <w:color w:val="404040"/>
          <w:sz w:val="22"/>
          <w:szCs w:val="22"/>
        </w:rPr>
        <w:t xml:space="preserve">Gap #5 (Paused Programs): </w:t>
      </w:r>
      <w:r>
        <w:rPr>
          <w:rFonts w:ascii="Roboto" w:cs="Roboto" w:eastAsia="Roboto" w:hAnsi="Roboto"/>
          <w:color w:val="404040"/>
          <w:sz w:val="22"/>
          <w:szCs w:val="22"/>
        </w:rPr>
        <w:t xml:space="preserve">Not addressed here. Standards &amp; Measures, HPPT, and Nudge Unit will need instruments when they activate.</w:t>
      </w:r>
    </w:p>
    <w:p>
      <w:pPr>
        <w:spacing w:after="60"/>
      </w:pPr>
    </w:p>
    <w:p>
      <w:pPr>
        <w:pStyle w:val="Heading1"/>
      </w:pPr>
      <w:r>
        <w:t xml:space="preserve">Remaining Gaps After This Resolution</w:t>
      </w:r>
    </w:p>
    <w:p>
      <w:pPr>
        <w:pStyle w:val="ListParagraph"/>
        <w:numPr>
          <w:ilvl w:val="0"/>
          <w:numId w:val="2"/>
        </w:numPr>
        <w:spacing w:after="80"/>
      </w:pPr>
      <w:r>
        <w:rPr>
          <w:rFonts w:ascii="Roboto" w:cs="Roboto" w:eastAsia="Roboto" w:hAnsi="Roboto"/>
          <w:b/>
          <w:bCs/>
          <w:color w:val="404040"/>
          <w:sz w:val="22"/>
          <w:szCs w:val="22"/>
        </w:rPr>
        <w:t xml:space="preserve">Gap #4 (partial): </w:t>
      </w:r>
      <w:r>
        <w:rPr>
          <w:rFonts w:ascii="Roboto" w:cs="Roboto" w:eastAsia="Roboto" w:hAnsi="Roboto"/>
          <w:color w:val="404040"/>
          <w:sz w:val="22"/>
          <w:szCs w:val="22"/>
        </w:rPr>
        <w:t xml:space="preserve">Salons subjective assessment dimensions need the specific 3 scoring questions written out. AI Magic's 3-item poll needs the actual questions drafted.</w:t>
      </w:r>
    </w:p>
    <w:p>
      <w:pPr>
        <w:pStyle w:val="ListParagraph"/>
        <w:numPr>
          <w:ilvl w:val="0"/>
          <w:numId w:val="2"/>
        </w:numPr>
        <w:spacing w:after="80"/>
      </w:pPr>
      <w:r>
        <w:rPr>
          <w:rFonts w:ascii="Roboto" w:cs="Roboto" w:eastAsia="Roboto" w:hAnsi="Roboto"/>
          <w:b/>
          <w:bCs/>
          <w:color w:val="404040"/>
          <w:sz w:val="22"/>
          <w:szCs w:val="22"/>
        </w:rPr>
        <w:t xml:space="preserve">Gap #5: </w:t>
      </w:r>
      <w:r>
        <w:rPr>
          <w:rFonts w:ascii="Roboto" w:cs="Roboto" w:eastAsia="Roboto" w:hAnsi="Roboto"/>
          <w:color w:val="404040"/>
          <w:sz w:val="22"/>
          <w:szCs w:val="22"/>
        </w:rPr>
        <w:t xml:space="preserve">Paused program placeholders still needed for when S&amp;M, HPPT, and Nudge Unit activate.</w:t>
      </w:r>
    </w:p>
    <w:p>
      <w:pPr>
        <w:pStyle w:val="ListParagraph"/>
        <w:numPr>
          <w:ilvl w:val="0"/>
          <w:numId w:val="2"/>
        </w:numPr>
        <w:spacing w:after="80"/>
      </w:pPr>
      <w:r>
        <w:rPr>
          <w:rFonts w:ascii="Roboto" w:cs="Roboto" w:eastAsia="Roboto" w:hAnsi="Roboto"/>
          <w:b/>
          <w:bCs/>
          <w:color w:val="404040"/>
          <w:sz w:val="22"/>
          <w:szCs w:val="22"/>
        </w:rPr>
        <w:t xml:space="preserve">Survey build-out: </w:t>
      </w:r>
      <w:r>
        <w:rPr>
          <w:rFonts w:ascii="Roboto" w:cs="Roboto" w:eastAsia="Roboto" w:hAnsi="Roboto"/>
          <w:color w:val="404040"/>
          <w:sz w:val="22"/>
          <w:szCs w:val="22"/>
        </w:rPr>
        <w:t xml:space="preserve">The instruments defined here are specifications, not finished surveys. Each survey/poll needs to be drafted, tested, and deployed. The survey-design skill is available for behavioral science refinement when ready.</w:t>
      </w:r>
    </w:p>
    <w:p>
      <w:pPr>
        <w:spacing w:after="60"/>
      </w:pPr>
    </w:p>
    <w:p>
      <w:pPr>
        <w:pBdr>
          <w:top w:val="single" w:color="F05927" w:sz="6" w:space="1"/>
        </w:pBdr>
        <w:spacing w:before="400"/>
      </w:pPr>
    </w:p>
    <w:p>
      <w:pPr>
        <w:spacing w:after="60"/>
      </w:pPr>
    </w:p>
    <w:p>
      <w:pPr>
        <w:spacing w:after="120"/>
      </w:pPr>
      <w:r>
        <w:rPr>
          <w:rFonts w:ascii="Roboto" w:cs="Roboto" w:eastAsia="Roboto" w:hAnsi="Roboto"/>
          <w:b/>
          <w:bCs/>
          <w:color w:val="404040"/>
          <w:sz w:val="22"/>
          <w:szCs w:val="22"/>
        </w:rPr>
        <w:t xml:space="preserve">Document: </w:t>
      </w:r>
      <w:r>
        <w:rPr>
          <w:rFonts w:ascii="Roboto" w:cs="Roboto" w:eastAsia="Roboto" w:hAnsi="Roboto"/>
          <w:color w:val="404040"/>
          <w:sz w:val="22"/>
          <w:szCs w:val="22"/>
        </w:rPr>
        <w:t xml:space="preserve">RWI-DataCollection-Methodology-v1</w:t>
      </w:r>
    </w:p>
    <w:p>
      <w:pPr>
        <w:spacing w:after="120"/>
      </w:pPr>
      <w:r>
        <w:rPr>
          <w:rFonts w:ascii="Roboto" w:cs="Roboto" w:eastAsia="Roboto" w:hAnsi="Roboto"/>
          <w:b/>
          <w:bCs/>
          <w:color w:val="404040"/>
          <w:sz w:val="22"/>
          <w:szCs w:val="22"/>
        </w:rPr>
        <w:t xml:space="preserve">Date: </w:t>
      </w:r>
      <w:r>
        <w:rPr>
          <w:rFonts w:ascii="Roboto" w:cs="Roboto" w:eastAsia="Roboto" w:hAnsi="Roboto"/>
          <w:color w:val="404040"/>
          <w:sz w:val="22"/>
          <w:szCs w:val="22"/>
        </w:rPr>
        <w:t xml:space="preserve">March 28, 2026</w:t>
      </w:r>
    </w:p>
    <w:p>
      <w:pPr>
        <w:spacing w:after="120"/>
      </w:pPr>
      <w:r>
        <w:rPr>
          <w:rFonts w:ascii="Roboto" w:cs="Roboto" w:eastAsia="Roboto" w:hAnsi="Roboto"/>
          <w:b/>
          <w:bCs/>
          <w:color w:val="404040"/>
          <w:sz w:val="22"/>
          <w:szCs w:val="22"/>
        </w:rPr>
        <w:t xml:space="preserve">Status: </w:t>
      </w:r>
      <w:r>
        <w:rPr>
          <w:rFonts w:ascii="Roboto" w:cs="Roboto" w:eastAsia="Roboto" w:hAnsi="Roboto"/>
          <w:color w:val="404040"/>
          <w:sz w:val="22"/>
          <w:szCs w:val="22"/>
        </w:rPr>
        <w:t xml:space="preserve">Decided</w:t>
      </w:r>
    </w:p>
    <w:p>
      <w:pPr>
        <w:spacing w:after="120"/>
      </w:pPr>
      <w:r>
        <w:rPr>
          <w:rFonts w:ascii="Roboto" w:cs="Roboto" w:eastAsia="Roboto" w:hAnsi="Roboto"/>
          <w:b/>
          <w:bCs/>
          <w:color w:val="404040"/>
          <w:sz w:val="22"/>
          <w:szCs w:val="22"/>
        </w:rPr>
        <w:t xml:space="preserve">Companion documents: </w:t>
      </w:r>
      <w:r>
        <w:rPr>
          <w:rFonts w:ascii="Roboto" w:cs="Roboto" w:eastAsia="Roboto" w:hAnsi="Roboto"/>
          <w:color w:val="404040"/>
          <w:sz w:val="22"/>
          <w:szCs w:val="22"/>
        </w:rPr>
        <w:t xml:space="preserve">RWI-Revenue-Attribution-Methodology-v1.docx, RWI-TechReview-IMPACT-Pathway-v1.docx</w:t>
      </w:r>
    </w:p>
    <w:sectPr>
      <w:headerReference w:type="default" r:id="rId7"/>
      <w:footerReference w:type="default" r:id="rId8"/>
      <w:pgSz w:w="15840" w:h="12240"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404040"/>
        <w:sz w:val="16"/>
        <w:szCs w:val="16"/>
      </w:rPr>
      <w:t xml:space="preserve">RW Institute | Data Collection Methodology | </w:t>
    </w:r>
    <w:r>
      <w:rPr>
        <w:rFonts w:ascii="Roboto" w:cs="Roboto" w:eastAsia="Roboto" w:hAnsi="Roboto"/>
        <w:color w:val="404040"/>
        <w:sz w:val="16"/>
        <w:szCs w:val="16"/>
      </w:rPr>
      <w:t xml:space="preserve">Page </w:t>
    </w:r>
    <w:r>
      <w:rPr>
        <w:rFonts w:ascii="Roboto" w:cs="Roboto" w:eastAsia="Roboto" w:hAnsi="Roboto"/>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28700" cy="276225"/>
          <wp:effectExtent t="0" r="0" b="0" l="0"/>
          <wp:docPr id="1" name="RW Logo" descr="Realized Worth Logo" title="R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Roboto" w:cs="Roboto" w:eastAsia="Roboto" w:hAnsi="Roboto"/>
      <w:b/>
      <w:bCs/>
      <w:color w:val="0A3454"/>
      <w:sz w:val="36"/>
      <w:szCs w:val="36"/>
    </w:rPr>
  </w:style>
  <w:style w:type="paragraph" w:styleId="Heading2">
    <w:name w:val="Heading 2"/>
    <w:basedOn w:val="Normal"/>
    <w:next w:val="Normal"/>
    <w:qFormat/>
    <w:pPr>
      <w:spacing w:after="160" w:before="280"/>
      <w:outlineLvl w:val="1"/>
    </w:pPr>
    <w:rPr>
      <w:rFonts w:ascii="Roboto" w:cs="Roboto" w:eastAsia="Roboto" w:hAnsi="Roboto"/>
      <w:b/>
      <w:bCs/>
      <w:color w:val="0A3454"/>
      <w:sz w:val="28"/>
      <w:szCs w:val="28"/>
    </w:rPr>
  </w:style>
  <w:style w:type="paragraph" w:styleId="Heading3">
    <w:name w:val="Heading 3"/>
    <w:basedOn w:val="Normal"/>
    <w:next w:val="Normal"/>
    <w:qFormat/>
    <w:pPr>
      <w:spacing w:after="120" w:before="200"/>
      <w:outlineLvl w:val="2"/>
    </w:pPr>
    <w:rPr>
      <w:rFonts w:ascii="Roboto" w:cs="Roboto" w:eastAsia="Roboto" w:hAnsi="Roboto"/>
      <w:b/>
      <w:bCs/>
      <w:color w:val="4491A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a46715f4e6013bdf6ef583be2d92b6461f7796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2026-03-28T17:33:51.039Z</dcterms:created>
  <dcterms:modified xsi:type="dcterms:W3CDTF">2026-03-28T17:33:51.039Z</dcterms:modified>
</cp:coreProperties>
</file>

<file path=docProps/custom.xml><?xml version="1.0" encoding="utf-8"?>
<Properties xmlns="http://schemas.openxmlformats.org/officeDocument/2006/custom-properties" xmlns:vt="http://schemas.openxmlformats.org/officeDocument/2006/docPropsVTypes"/>
</file>