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Roboto" w:cs="Roboto" w:eastAsia="Roboto" w:hAnsi="Roboto"/>
          <w:b/>
          <w:bCs/>
          <w:color w:val="0A3454"/>
          <w:sz w:val="48"/>
          <w:szCs w:val="48"/>
        </w:rPr>
        <w:t xml:space="preserve">Revenue Attribution Methodology</w:t>
      </w:r>
    </w:p>
    <w:p>
      <w:pPr>
        <w:spacing w:after="120"/>
      </w:pPr>
      <w:r>
        <w:rPr>
          <w:rFonts w:ascii="Roboto" w:cs="Roboto" w:eastAsia="Roboto" w:hAnsi="Roboto"/>
          <w:color w:val="4491A9"/>
          <w:sz w:val="24"/>
          <w:szCs w:val="24"/>
        </w:rPr>
        <w:t xml:space="preserve">2026 KPI Framework | Resolving Entity-Split Revenue for RW and RWI Programs</w:t>
      </w:r>
    </w:p>
    <w:p>
      <w:pPr>
        <w:pBdr>
          <w:bottom w:val="single" w:color="F05927" w:sz="8" w:space="8"/>
        </w:pBdr>
        <w:spacing w:after="400"/>
      </w:pPr>
      <w:r>
        <w:rPr>
          <w:rFonts w:ascii="Roboto" w:cs="Roboto" w:eastAsia="Roboto" w:hAnsi="Roboto"/>
          <w:color w:val="404040"/>
          <w:sz w:val="20"/>
          <w:szCs w:val="20"/>
        </w:rPr>
        <w:t xml:space="preserve">Version 1.0  |  March 28, 2026  |  Prepared by Chris Jarvis</w:t>
      </w:r>
    </w:p>
    <w:p>
      <w:pPr>
        <w:pStyle w:val="Heading1"/>
      </w:pPr>
      <w:r>
        <w:t xml:space="preserve">Purpose</w:t>
      </w:r>
    </w:p>
    <w:p>
      <w:pPr>
        <w:spacing w:after="200"/>
      </w:pPr>
      <w:r>
        <w:t xml:space="preserve">The 2026 KPI framework measures Organizational Health and Viability through a Revenue category. Several RWI Makerspace programs generate revenue that flows through both RW (the consulting firm) and RWI (the institute, fiscally sponsored by Global Impact). Without clear attribution rules, the same dollar could appear on both entities’ scorecards, inflating the combined picture and undermining the framework’s credibility.</w:t>
      </w:r>
    </w:p>
    <w:p>
      <w:pPr>
        <w:spacing w:after="200"/>
      </w:pPr>
      <w:r>
        <w:t xml:space="preserve">This document establishes four rules that govern how every revenue transaction is attributed in the KPI framework. The goal: each dollar shows up exactly once, assigned to the entity that books it.</w:t>
      </w:r>
    </w:p>
    <w:p>
      <w:pPr>
        <w:pStyle w:val="Heading1"/>
      </w:pPr>
      <w:r>
        <w:t xml:space="preserve">The Problem: Entity-Split Programs</w:t>
      </w:r>
    </w:p>
    <w:p>
      <w:pPr>
        <w:spacing w:after="200"/>
      </w:pPr>
      <w:r>
        <w:t xml:space="preserve">Most programs sit cleanly in one entity. The Technology Review is RWI. Its $25K E4E Relief sponsorship is RWI revenue. RW consulting engagements are RW revenue. No ambiguity.</w:t>
      </w:r>
    </w:p>
    <w:p>
      <w:pPr>
        <w:spacing w:after="200"/>
      </w:pPr>
      <w:r>
        <w:t xml:space="preserve">Two program types create attribution complexity:</w:t>
      </w:r>
    </w:p>
    <w:p>
      <w:pPr>
        <w:pStyle w:val="Heading2"/>
      </w:pPr>
      <w:r>
        <w:t xml:space="preserve">Regional Campus</w:t>
      </w:r>
    </w:p>
    <w:p>
      <w:pPr>
        <w:spacing w:after="200"/>
      </w:pPr>
      <w:r>
        <w:t xml:space="preserve">A single cohort (e.g., Seattle Q2) can have multiple payment types in the same room. Companies purchase group packages of 6, 12, or 18 seats, routing payment either through Global Impact (charitable contribution, booked as RWI) or directly to RW (consulting purchase). Individual practitioners (employee champions) pay out of pocket, either to RW directly or as a donation to RWI. Same program, same sessions, mixed revenue entities determined by each buyer’s situation.</w:t>
      </w:r>
    </w:p>
    <w:p>
      <w:pPr>
        <w:spacing w:after="200"/>
      </w:pPr>
      <w:r>
        <w:t xml:space="preserve">RW also delivers sessions for RWI-booked cohorts, creating inter-entity payments flowing from RWI to RW.</w:t>
      </w:r>
    </w:p>
    <w:p>
      <w:pPr>
        <w:pStyle w:val="Heading2"/>
      </w:pPr>
      <w:r>
        <w:t xml:space="preserve">MS Alumni Network</w:t>
      </w:r>
    </w:p>
    <w:p>
      <w:pPr>
        <w:spacing w:after="200"/>
      </w:pPr>
      <w:r>
        <w:t xml:space="preserve">The SOW is $40K with RWI as the contracting entity. RW delivers the work. RWI books the revenue; RW receives a delivery fee. Cleaner than Regional Campus because the entity was chosen at contract signing, but the inter-entity delivery payment still needs handling.</w:t>
      </w:r>
    </w:p>
    <w:p>
      <w:r>
        <w:br w:type="page"/>
      </w:r>
    </w:p>
    <w:p>
      <w:pPr>
        <w:pStyle w:val="Heading1"/>
      </w:pPr>
      <w:r>
        <w:t xml:space="preserve">The Four Attribution Rules</w:t>
      </w:r>
    </w:p>
    <w:p>
      <w:pPr>
        <w:pStyle w:val="Heading2"/>
      </w:pPr>
      <w:r>
        <w:t xml:space="preserve">Rule 1: Revenue Follows the Receiving Entity, Per Transaction</w:t>
      </w:r>
    </w:p>
    <w:p>
      <w:pPr>
        <w:spacing w:after="200"/>
      </w:pPr>
      <w:r>
        <w:t xml:space="preserve">Whichever entity receives the payment books the revenue. Attribution is determined at the transaction level, not the program level or the cohort level. A single Regional Campus cohort can generate transactions attributed to both RW and RWI. The determining factor is always: who received the money?</w:t>
      </w:r>
    </w:p>
    <w:p>
      <w:pPr>
        <w:spacing w:after="120"/>
      </w:pPr>
      <w:r>
        <w:t xml:space="preserve">Practical test: If the funds landed in RWI’s account at Global Impact, it’s RWI revenue. If the funds landed in RW’s bank account, it’s RW revenue. No exceptions.</w:t>
      </w:r>
    </w:p>
    <w:p>
      <w:pPr>
        <w:spacing w:after="200"/>
      </w:pPr>
      <w:r>
        <w:rPr>
          <w:i/>
          <w:iCs/>
          <w:color w:val="666666"/>
        </w:rPr>
        <w:t xml:space="preserve">This rule eliminates the most common source of double-counting: attributing the same program revenue to both entities because both were involved in delivery.</w:t>
      </w:r>
    </w:p>
    <w:p>
      <w:pPr>
        <w:pStyle w:val="Heading2"/>
      </w:pPr>
      <w:r>
        <w:t xml:space="preserve">Rule 2: Inter-Entity Delivery Fees Are Costs, Not Revenue</w:t>
      </w:r>
    </w:p>
    <w:p>
      <w:pPr>
        <w:spacing w:after="200"/>
      </w:pPr>
      <w:r>
        <w:t xml:space="preserve">When RWI pays RW to deliver a program (or vice versa), the payment is recorded as:</w:t>
      </w:r>
    </w:p>
    <w:p>
      <w:pPr>
        <w:pStyle w:val="ListParagraph"/>
        <w:numPr>
          <w:ilvl w:val="0"/>
          <w:numId w:val="2"/>
        </w:numPr>
        <w:spacing w:after="80"/>
      </w:pPr>
      <w:r>
        <w:rPr>
          <w:b/>
          <w:bCs/>
        </w:rPr>
        <w:t xml:space="preserve">A delivery cost </w:t>
      </w:r>
      <w:r>
        <w:t xml:space="preserve">on the paying entity’s KPI scorecard</w:t>
      </w:r>
    </w:p>
    <w:p>
      <w:pPr>
        <w:pStyle w:val="ListParagraph"/>
        <w:numPr>
          <w:ilvl w:val="0"/>
          <w:numId w:val="2"/>
        </w:numPr>
        <w:spacing w:after="80"/>
      </w:pPr>
      <w:r>
        <w:rPr>
          <w:b/>
          <w:bCs/>
        </w:rPr>
        <w:t xml:space="preserve">Operational income </w:t>
      </w:r>
      <w:r>
        <w:t xml:space="preserve">on the receiving entity’s books</w:t>
      </w:r>
    </w:p>
    <w:p>
      <w:pPr>
        <w:pStyle w:val="ListParagraph"/>
        <w:numPr>
          <w:ilvl w:val="0"/>
          <w:numId w:val="2"/>
        </w:numPr>
        <w:spacing w:after="200"/>
      </w:pPr>
      <w:r>
        <w:rPr>
          <w:b/>
          <w:bCs/>
        </w:rPr>
        <w:t xml:space="preserve">Never </w:t>
      </w:r>
      <w:r>
        <w:t xml:space="preserve">as program revenue in the KPI framework for either entity</w:t>
      </w:r>
    </w:p>
    <w:p>
      <w:pPr>
        <w:spacing w:after="200"/>
      </w:pPr>
      <w:r>
        <w:t xml:space="preserve">Example: MS Alumni Network. RWI books $40K as program revenue. RWI pays RW a delivery fee. In the KPI framework, RWI shows $40K revenue and a delivery cost. RW shows the fee as operational income. The $40K appears once as program revenue, under RWI.</w:t>
      </w:r>
    </w:p>
    <w:p>
      <w:pPr>
        <w:pStyle w:val="Heading2"/>
      </w:pPr>
      <w:r>
        <w:t xml:space="preserve">Rule 3: Program-Level Reporting Aggregates; Entity-Level Reporting Never Double-Counts</w:t>
      </w:r>
    </w:p>
    <w:p>
      <w:pPr>
        <w:spacing w:after="200"/>
      </w:pPr>
      <w:r>
        <w:t xml:space="preserve">The KPI framework carries two views of every revenue figure:</w:t>
      </w:r>
    </w:p>
    <w:p>
      <w:pPr>
        <w:pStyle w:val="ListParagraph"/>
        <w:numPr>
          <w:ilvl w:val="0"/>
          <w:numId w:val="2"/>
        </w:numPr>
        <w:spacing w:after="80"/>
      </w:pPr>
      <w:r>
        <w:rPr>
          <w:b/>
          <w:bCs/>
        </w:rPr>
        <w:t xml:space="preserve">Program view: </w:t>
      </w:r>
      <w:r>
        <w:t xml:space="preserve">Total revenue generated by the program across all entities. Useful for understanding program health and reach.</w:t>
      </w:r>
    </w:p>
    <w:p>
      <w:pPr>
        <w:pStyle w:val="ListParagraph"/>
        <w:numPr>
          <w:ilvl w:val="0"/>
          <w:numId w:val="2"/>
        </w:numPr>
        <w:spacing w:after="200"/>
      </w:pPr>
      <w:r>
        <w:rPr>
          <w:b/>
          <w:bCs/>
        </w:rPr>
        <w:t xml:space="preserve">Entity view: </w:t>
      </w:r>
      <w:r>
        <w:t xml:space="preserve">Revenue attributed to each entity. This is the number that matters for organizational health scoring. No dollar appears in both the RW and RWI columns.</w:t>
      </w:r>
    </w:p>
    <w:p>
      <w:pPr>
        <w:spacing w:after="200"/>
      </w:pPr>
      <w:r>
        <w:t xml:space="preserve">The program view is the sum of the entity views. If the program view and the entity views don’t reconcile, something is double-counted.</w:t>
      </w:r>
    </w:p>
    <w:p>
      <w:pPr>
        <w:pStyle w:val="Heading2"/>
      </w:pPr>
      <w:r>
        <w:t xml:space="preserve">Rule 4: Transaction Type Determines Revenue Category</w:t>
      </w:r>
    </w:p>
    <w:p>
      <w:pPr>
        <w:spacing w:after="200"/>
      </w:pPr>
      <w:r>
        <w:t xml:space="preserve">The KPI framework’s ORG HEALTH &gt; Revenue section distinguishes between revenue types. Each transaction is categorized based on its 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vAlign w:val="center"/>
          </w:tcPr>
          <w:p>
            <w:r>
              <w:rPr>
                <w:rFonts w:ascii="Roboto" w:cs="Roboto" w:eastAsia="Roboto" w:hAnsi="Roboto"/>
                <w:b/>
                <w:bCs/>
                <w:color w:val="FFFFFF"/>
                <w:sz w:val="20"/>
                <w:szCs w:val="20"/>
              </w:rPr>
              <w:t xml:space="preserve">Transaction Type</w:t>
            </w:r>
          </w:p>
        </w:tc>
        <w:tc>
          <w:tcPr>
            <w:tcW w:type="dxa" w:w="328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vAlign w:val="center"/>
          </w:tcPr>
          <w:p>
            <w:r>
              <w:rPr>
                <w:rFonts w:ascii="Roboto" w:cs="Roboto" w:eastAsia="Roboto" w:hAnsi="Roboto"/>
                <w:b/>
                <w:bCs/>
                <w:color w:val="FFFFFF"/>
                <w:sz w:val="20"/>
                <w:szCs w:val="20"/>
              </w:rPr>
              <w:t xml:space="preserve">Revenue Category</w:t>
            </w:r>
          </w:p>
        </w:tc>
        <w:tc>
          <w:tcPr>
            <w:tcW w:type="dxa" w:w="328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vAlign w:val="center"/>
          </w:tcPr>
          <w:p>
            <w:r>
              <w:rPr>
                <w:rFonts w:ascii="Roboto" w:cs="Roboto" w:eastAsia="Roboto" w:hAnsi="Roboto"/>
                <w:b/>
                <w:bCs/>
                <w:color w:val="FFFFFF"/>
                <w:sz w:val="20"/>
                <w:szCs w:val="20"/>
              </w:rPr>
              <w:t xml:space="preserve">Example</w:t>
            </w:r>
          </w:p>
        </w:tc>
      </w:tr>
      <w:tr>
        <w:tc>
          <w:tcPr>
            <w:tcW w:type="dxa" w:w="28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Company group package (via Global Impact)</w:t>
            </w:r>
          </w:p>
        </w:tc>
        <w:tc>
          <w:tcPr>
            <w:tcW w:type="dxa" w:w="328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Earned revenue (RWI)</w:t>
            </w:r>
          </w:p>
        </w:tc>
        <w:tc>
          <w:tcPr>
            <w:tcW w:type="dxa" w:w="328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SAP buys 12-seat package, routes through GI for charitable receipt</w:t>
            </w:r>
          </w:p>
        </w:tc>
      </w:tr>
      <w:tr>
        <w:tc>
          <w:tcPr>
            <w:tcW w:type="dxa" w:w="28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Company group package (direct to RW)</w:t>
            </w:r>
          </w:p>
        </w:tc>
        <w:tc>
          <w:tcPr>
            <w:tcW w:type="dxa" w:w="328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Earned revenue (RW)</w:t>
            </w:r>
          </w:p>
        </w:tc>
        <w:tc>
          <w:tcPr>
            <w:tcW w:type="dxa" w:w="328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Acme Corp buys 6-seat package, pays RW directly</w:t>
            </w:r>
          </w:p>
        </w:tc>
      </w:tr>
      <w:tr>
        <w:tc>
          <w:tcPr>
            <w:tcW w:type="dxa" w:w="28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Individual practitioner payment (to RW)</w:t>
            </w:r>
          </w:p>
        </w:tc>
        <w:tc>
          <w:tcPr>
            <w:tcW w:type="dxa" w:w="328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Earned revenue (RW)</w:t>
            </w:r>
          </w:p>
        </w:tc>
        <w:tc>
          <w:tcPr>
            <w:tcW w:type="dxa" w:w="328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Employee champion registers and pays RW out of pocket</w:t>
            </w:r>
          </w:p>
        </w:tc>
      </w:tr>
      <w:tr>
        <w:tc>
          <w:tcPr>
            <w:tcW w:type="dxa" w:w="28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Individual practitioner donation (to RWI)</w:t>
            </w:r>
          </w:p>
        </w:tc>
        <w:tc>
          <w:tcPr>
            <w:tcW w:type="dxa" w:w="328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Philanthropic revenue (RWI)</w:t>
            </w:r>
          </w:p>
        </w:tc>
        <w:tc>
          <w:tcPr>
            <w:tcW w:type="dxa" w:w="328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Employee champion donates to RWI to participate</w:t>
            </w:r>
          </w:p>
        </w:tc>
      </w:tr>
      <w:tr>
        <w:tc>
          <w:tcPr>
            <w:tcW w:type="dxa" w:w="28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Sponsorship (to RWI)</w:t>
            </w:r>
          </w:p>
        </w:tc>
        <w:tc>
          <w:tcPr>
            <w:tcW w:type="dxa" w:w="328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Earned revenue (RWI)</w:t>
            </w:r>
          </w:p>
        </w:tc>
        <w:tc>
          <w:tcPr>
            <w:tcW w:type="dxa" w:w="328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E4E Relief sponsors the Technology Review ($25K)</w:t>
            </w:r>
          </w:p>
        </w:tc>
      </w:tr>
      <w:tr>
        <w:tc>
          <w:tcPr>
            <w:tcW w:type="dxa" w:w="28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SOW-based partnership (to RWI)</w:t>
            </w:r>
          </w:p>
        </w:tc>
        <w:tc>
          <w:tcPr>
            <w:tcW w:type="dxa" w:w="328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Partnership revenue (RWI)</w:t>
            </w:r>
          </w:p>
        </w:tc>
        <w:tc>
          <w:tcPr>
            <w:tcW w:type="dxa" w:w="328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MS Alumni Network SOW ($40K)</w:t>
            </w:r>
          </w:p>
        </w:tc>
      </w:tr>
      <w:tr>
        <w:tc>
          <w:tcPr>
            <w:tcW w:type="dxa" w:w="28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Subscription (to RWI, when launched)</w:t>
            </w:r>
          </w:p>
        </w:tc>
        <w:tc>
          <w:tcPr>
            <w:tcW w:type="dxa" w:w="328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Earned revenue (RWI)</w:t>
            </w:r>
          </w:p>
        </w:tc>
        <w:tc>
          <w:tcPr>
            <w:tcW w:type="dxa" w:w="328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Individual or org subscribes to Makerspace access</w:t>
            </w:r>
          </w:p>
        </w:tc>
      </w:tr>
    </w:tbl>
    <w:p>
      <w:pPr>
        <w:spacing w:after="200" w:before="200"/>
      </w:pPr>
      <w:r>
        <w:t xml:space="preserve">This categorization matters because it reveals revenue composition. An entity that relies entirely on one-time philanthropic donations has a different sustainability profile than one generating recurring earned revenue. The KPI framework should surface that distinction.</w:t>
      </w:r>
    </w:p>
    <w:p>
      <w:r>
        <w:br w:type="page"/>
      </w:r>
    </w:p>
    <w:p>
      <w:pPr>
        <w:pStyle w:val="Heading1"/>
      </w:pPr>
      <w:r>
        <w:t xml:space="preserve">Applied: Regional Campus Cohort Example</w:t>
      </w:r>
    </w:p>
    <w:p>
      <w:pPr>
        <w:spacing w:after="200"/>
      </w:pPr>
      <w:r>
        <w:t xml:space="preserve">Seattle Q2 2026 cohort. 24 seats filled across four transaction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560"/>
        <w:gridCol w:w="1400"/>
        <w:gridCol w:w="1400"/>
      </w:tblGrid>
      <w:tr>
        <w:tc>
          <w:tcPr>
            <w:tcW w:type="dxa" w:w="26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vAlign w:val="center"/>
          </w:tcPr>
          <w:p>
            <w:r>
              <w:rPr>
                <w:rFonts w:ascii="Roboto" w:cs="Roboto" w:eastAsia="Roboto" w:hAnsi="Roboto"/>
                <w:b/>
                <w:bCs/>
                <w:color w:val="FFFFFF"/>
                <w:sz w:val="20"/>
                <w:szCs w:val="20"/>
              </w:rPr>
              <w:t xml:space="preserve">Buyer</w:t>
            </w:r>
          </w:p>
        </w:tc>
        <w:tc>
          <w:tcPr>
            <w:tcW w:type="dxa" w:w="12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vAlign w:val="center"/>
          </w:tcPr>
          <w:p>
            <w:r>
              <w:rPr>
                <w:rFonts w:ascii="Roboto" w:cs="Roboto" w:eastAsia="Roboto" w:hAnsi="Roboto"/>
                <w:b/>
                <w:bCs/>
                <w:color w:val="FFFFFF"/>
                <w:sz w:val="20"/>
                <w:szCs w:val="20"/>
              </w:rPr>
              <w:t xml:space="preserve">Seats</w:t>
            </w:r>
          </w:p>
        </w:tc>
        <w:tc>
          <w:tcPr>
            <w:tcW w:type="dxa" w:w="12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vAlign w:val="center"/>
          </w:tcPr>
          <w:p>
            <w:r>
              <w:rPr>
                <w:rFonts w:ascii="Roboto" w:cs="Roboto" w:eastAsia="Roboto" w:hAnsi="Roboto"/>
                <w:b/>
                <w:bCs/>
                <w:color w:val="FFFFFF"/>
                <w:sz w:val="20"/>
                <w:szCs w:val="20"/>
              </w:rPr>
              <w:t xml:space="preserve">Amount</w:t>
            </w:r>
          </w:p>
        </w:tc>
        <w:tc>
          <w:tcPr>
            <w:tcW w:type="dxa" w:w="156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vAlign w:val="center"/>
          </w:tcPr>
          <w:p>
            <w:r>
              <w:rPr>
                <w:rFonts w:ascii="Roboto" w:cs="Roboto" w:eastAsia="Roboto" w:hAnsi="Roboto"/>
                <w:b/>
                <w:bCs/>
                <w:color w:val="FFFFFF"/>
                <w:sz w:val="20"/>
                <w:szCs w:val="20"/>
              </w:rPr>
              <w:t xml:space="preserve">Entity</w:t>
            </w:r>
          </w:p>
        </w:tc>
        <w:tc>
          <w:tcPr>
            <w:tcW w:type="dxa" w:w="14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vAlign w:val="center"/>
          </w:tcPr>
          <w:p>
            <w:r>
              <w:rPr>
                <w:rFonts w:ascii="Roboto" w:cs="Roboto" w:eastAsia="Roboto" w:hAnsi="Roboto"/>
                <w:b/>
                <w:bCs/>
                <w:color w:val="FFFFFF"/>
                <w:sz w:val="20"/>
                <w:szCs w:val="20"/>
              </w:rPr>
              <w:t xml:space="preserve">Category</w:t>
            </w:r>
          </w:p>
        </w:tc>
        <w:tc>
          <w:tcPr>
            <w:tcW w:type="dxa" w:w="14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vAlign w:val="center"/>
          </w:tcPr>
          <w:p>
            <w:r>
              <w:rPr>
                <w:rFonts w:ascii="Roboto" w:cs="Roboto" w:eastAsia="Roboto" w:hAnsi="Roboto"/>
                <w:b/>
                <w:bCs/>
                <w:color w:val="FFFFFF"/>
                <w:sz w:val="20"/>
                <w:szCs w:val="20"/>
              </w:rPr>
              <w:t xml:space="preserve">Via GI?</w:t>
            </w:r>
          </w:p>
        </w:tc>
      </w:tr>
      <w:tr>
        <w:tc>
          <w:tcPr>
            <w:tcW w:type="dxa" w:w="26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Company A (group pkg)</w:t>
            </w:r>
          </w:p>
        </w:tc>
        <w:tc>
          <w:tcPr>
            <w:tcW w:type="dxa" w:w="12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12</w:t>
            </w:r>
          </w:p>
        </w:tc>
        <w:tc>
          <w:tcPr>
            <w:tcW w:type="dxa" w:w="12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$18,000</w:t>
            </w:r>
          </w:p>
        </w:tc>
        <w:tc>
          <w:tcPr>
            <w:tcW w:type="dxa" w:w="156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bCs/>
                <w:color w:val="404040"/>
                <w:sz w:val="20"/>
                <w:szCs w:val="20"/>
              </w:rPr>
              <w:t xml:space="preserve">RWI</w:t>
            </w:r>
          </w:p>
        </w:tc>
        <w:tc>
          <w:tcPr>
            <w:tcW w:type="dxa" w:w="1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Earned</w:t>
            </w:r>
          </w:p>
        </w:tc>
        <w:tc>
          <w:tcPr>
            <w:tcW w:type="dxa" w:w="1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Yes (6%)</w:t>
            </w:r>
          </w:p>
        </w:tc>
      </w:tr>
      <w:tr>
        <w:tc>
          <w:tcPr>
            <w:tcW w:type="dxa" w:w="26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Company B (group pkg)</w:t>
            </w:r>
          </w:p>
        </w:tc>
        <w:tc>
          <w:tcPr>
            <w:tcW w:type="dxa" w:w="12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6</w:t>
            </w:r>
          </w:p>
        </w:tc>
        <w:tc>
          <w:tcPr>
            <w:tcW w:type="dxa" w:w="12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$9,000</w:t>
            </w:r>
          </w:p>
        </w:tc>
        <w:tc>
          <w:tcPr>
            <w:tcW w:type="dxa" w:w="156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bCs/>
                <w:color w:val="404040"/>
                <w:sz w:val="20"/>
                <w:szCs w:val="20"/>
              </w:rPr>
              <w:t xml:space="preserve">RW</w:t>
            </w:r>
          </w:p>
        </w:tc>
        <w:tc>
          <w:tcPr>
            <w:tcW w:type="dxa" w:w="1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Earned</w:t>
            </w:r>
          </w:p>
        </w:tc>
        <w:tc>
          <w:tcPr>
            <w:tcW w:type="dxa" w:w="1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No</w:t>
            </w:r>
          </w:p>
        </w:tc>
      </w:tr>
      <w:tr>
        <w:tc>
          <w:tcPr>
            <w:tcW w:type="dxa" w:w="26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3 individuals (direct)</w:t>
            </w:r>
          </w:p>
        </w:tc>
        <w:tc>
          <w:tcPr>
            <w:tcW w:type="dxa" w:w="12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3</w:t>
            </w:r>
          </w:p>
        </w:tc>
        <w:tc>
          <w:tcPr>
            <w:tcW w:type="dxa" w:w="12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$2,400</w:t>
            </w:r>
          </w:p>
        </w:tc>
        <w:tc>
          <w:tcPr>
            <w:tcW w:type="dxa" w:w="156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bCs/>
                <w:color w:val="404040"/>
                <w:sz w:val="20"/>
                <w:szCs w:val="20"/>
              </w:rPr>
              <w:t xml:space="preserve">RW</w:t>
            </w:r>
          </w:p>
        </w:tc>
        <w:tc>
          <w:tcPr>
            <w:tcW w:type="dxa" w:w="1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Earned</w:t>
            </w:r>
          </w:p>
        </w:tc>
        <w:tc>
          <w:tcPr>
            <w:tcW w:type="dxa" w:w="1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No</w:t>
            </w:r>
          </w:p>
        </w:tc>
      </w:tr>
      <w:tr>
        <w:tc>
          <w:tcPr>
            <w:tcW w:type="dxa" w:w="26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3 individuals (donation)</w:t>
            </w:r>
          </w:p>
        </w:tc>
        <w:tc>
          <w:tcPr>
            <w:tcW w:type="dxa" w:w="12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3</w:t>
            </w:r>
          </w:p>
        </w:tc>
        <w:tc>
          <w:tcPr>
            <w:tcW w:type="dxa" w:w="12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$2,400</w:t>
            </w:r>
          </w:p>
        </w:tc>
        <w:tc>
          <w:tcPr>
            <w:tcW w:type="dxa" w:w="156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bCs/>
                <w:color w:val="404040"/>
                <w:sz w:val="20"/>
                <w:szCs w:val="20"/>
              </w:rPr>
              <w:t xml:space="preserve">RWI</w:t>
            </w:r>
          </w:p>
        </w:tc>
        <w:tc>
          <w:tcPr>
            <w:tcW w:type="dxa" w:w="1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Philanthropic</w:t>
            </w:r>
          </w:p>
        </w:tc>
        <w:tc>
          <w:tcPr>
            <w:tcW w:type="dxa" w:w="1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Yes (6%)</w:t>
            </w:r>
          </w:p>
        </w:tc>
      </w:tr>
    </w:tbl>
    <w:p>
      <w:pPr>
        <w:spacing w:after="120" w:before="240"/>
      </w:pPr>
      <w:r>
        <w:rPr>
          <w:b/>
          <w:bCs/>
        </w:rPr>
        <w:t xml:space="preserve">KPI Scorecard Entry:</w:t>
      </w:r>
    </w:p>
    <w:p>
      <w:pPr>
        <w:pStyle w:val="ListParagraph"/>
        <w:numPr>
          <w:ilvl w:val="0"/>
          <w:numId w:val="2"/>
        </w:numPr>
        <w:spacing w:after="80"/>
      </w:pPr>
      <w:r>
        <w:rPr>
          <w:b/>
          <w:bCs/>
        </w:rPr>
        <w:t xml:space="preserve">Program view: </w:t>
      </w:r>
      <w:r>
        <w:t xml:space="preserve">Regional Campus Seattle Q2: $31,800 total</w:t>
      </w:r>
    </w:p>
    <w:p>
      <w:pPr>
        <w:pStyle w:val="ListParagraph"/>
        <w:numPr>
          <w:ilvl w:val="0"/>
          <w:numId w:val="2"/>
        </w:numPr>
        <w:spacing w:after="80"/>
      </w:pPr>
      <w:r>
        <w:rPr>
          <w:b/>
          <w:bCs/>
        </w:rPr>
        <w:t xml:space="preserve">RWI entity view: </w:t>
      </w:r>
      <w:r>
        <w:t xml:space="preserve">$20,400 ($18,000 earned + $2,400 philanthropic). Global Impact retains $1,224 (6% admin). Net to RWI: $19,176.</w:t>
      </w:r>
    </w:p>
    <w:p>
      <w:pPr>
        <w:pStyle w:val="ListParagraph"/>
        <w:numPr>
          <w:ilvl w:val="0"/>
          <w:numId w:val="2"/>
        </w:numPr>
        <w:spacing w:after="80"/>
      </w:pPr>
      <w:r>
        <w:rPr>
          <w:b/>
          <w:bCs/>
        </w:rPr>
        <w:t xml:space="preserve">RW entity view: </w:t>
      </w:r>
      <w:r>
        <w:t xml:space="preserve">$11,400 ($9,000 + $2,400 earned)</w:t>
      </w:r>
    </w:p>
    <w:p>
      <w:pPr>
        <w:pStyle w:val="ListParagraph"/>
        <w:numPr>
          <w:ilvl w:val="0"/>
          <w:numId w:val="2"/>
        </w:numPr>
        <w:spacing w:after="200"/>
      </w:pPr>
      <w:r>
        <w:rPr>
          <w:b/>
          <w:bCs/>
        </w:rPr>
        <w:t xml:space="preserve">Inter-entity: </w:t>
      </w:r>
      <w:r>
        <w:t xml:space="preserve">If RWI pays RW a delivery fee for the RWI-booked seats, that fee appears as a cost on RWI’s scorecard and operational income on RW’s. Not counted as program revenue for either.</w:t>
      </w:r>
    </w:p>
    <w:p>
      <w:pPr>
        <w:spacing w:after="200"/>
      </w:pPr>
      <w:r>
        <w:rPr>
          <w:b/>
          <w:bCs/>
        </w:rPr>
        <w:t xml:space="preserve">Reconciliation check: </w:t>
      </w:r>
      <w:r>
        <w:t xml:space="preserve">$20,400 (RWI) + $11,400 (RW) = $31,800 (program total). No double-counting.</w:t>
      </w:r>
    </w:p>
    <w:p>
      <w:pPr>
        <w:pStyle w:val="Heading1"/>
      </w:pPr>
      <w:r>
        <w:t xml:space="preserve">Applied: MS Alumni Network</w:t>
      </w:r>
    </w:p>
    <w:p>
      <w:pPr>
        <w:pStyle w:val="ListParagraph"/>
        <w:numPr>
          <w:ilvl w:val="0"/>
          <w:numId w:val="2"/>
        </w:numPr>
        <w:spacing w:after="80"/>
      </w:pPr>
      <w:r>
        <w:t xml:space="preserve">SOW: $40K. Home entity: RWI. Revenue category: Partnership revenue.</w:t>
      </w:r>
    </w:p>
    <w:p>
      <w:pPr>
        <w:pStyle w:val="ListParagraph"/>
        <w:numPr>
          <w:ilvl w:val="0"/>
          <w:numId w:val="2"/>
        </w:numPr>
        <w:spacing w:after="80"/>
      </w:pPr>
      <w:r>
        <w:t xml:space="preserve">RW delivers the work. RWI pays RW a delivery fee (Rule 2: cost to RWI, operational income to RW).</w:t>
      </w:r>
    </w:p>
    <w:p>
      <w:pPr>
        <w:pStyle w:val="ListParagraph"/>
        <w:numPr>
          <w:ilvl w:val="0"/>
          <w:numId w:val="2"/>
        </w:numPr>
        <w:spacing w:after="80"/>
      </w:pPr>
      <w:r>
        <w:t xml:space="preserve">KPI scorecard shows $40K as RWI partnership revenue. RW does not count this as its program revenue.</w:t>
      </w:r>
    </w:p>
    <w:p>
      <w:pPr>
        <w:pStyle w:val="ListParagraph"/>
        <w:numPr>
          <w:ilvl w:val="0"/>
          <w:numId w:val="2"/>
        </w:numPr>
        <w:spacing w:after="200"/>
      </w:pPr>
      <w:r>
        <w:t xml:space="preserve">The delivery fee is visible in RWI’s cost structure and RW’s operational income, but it is not double-counted as program revenue.</w:t>
      </w:r>
    </w:p>
    <w:p>
      <w:pPr>
        <w:pStyle w:val="Heading1"/>
      </w:pPr>
      <w:r>
        <w:t xml:space="preserve">Other Programs: Attribution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1760"/>
        <w:gridCol w:w="1600"/>
      </w:tblGrid>
      <w:tr>
        <w:tc>
          <w:tcPr>
            <w:tcW w:type="dxa" w:w="24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vAlign w:val="center"/>
          </w:tcPr>
          <w:p>
            <w:r>
              <w:rPr>
                <w:rFonts w:ascii="Roboto" w:cs="Roboto" w:eastAsia="Roboto" w:hAnsi="Roboto"/>
                <w:b/>
                <w:bCs/>
                <w:color w:val="FFFFFF"/>
                <w:sz w:val="20"/>
                <w:szCs w:val="20"/>
              </w:rPr>
              <w:t xml:space="preserve">Program</w:t>
            </w:r>
          </w:p>
        </w:tc>
        <w:tc>
          <w:tcPr>
            <w:tcW w:type="dxa" w:w="16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vAlign w:val="center"/>
          </w:tcPr>
          <w:p>
            <w:r>
              <w:rPr>
                <w:rFonts w:ascii="Roboto" w:cs="Roboto" w:eastAsia="Roboto" w:hAnsi="Roboto"/>
                <w:b/>
                <w:bCs/>
                <w:color w:val="FFFFFF"/>
                <w:sz w:val="20"/>
                <w:szCs w:val="20"/>
              </w:rPr>
              <w:t xml:space="preserve">Entity</w:t>
            </w:r>
          </w:p>
        </w:tc>
        <w:tc>
          <w:tcPr>
            <w:tcW w:type="dxa" w:w="20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vAlign w:val="center"/>
          </w:tcPr>
          <w:p>
            <w:r>
              <w:rPr>
                <w:rFonts w:ascii="Roboto" w:cs="Roboto" w:eastAsia="Roboto" w:hAnsi="Roboto"/>
                <w:b/>
                <w:bCs/>
                <w:color w:val="FFFFFF"/>
                <w:sz w:val="20"/>
                <w:szCs w:val="20"/>
              </w:rPr>
              <w:t xml:space="preserve">Revenue Category</w:t>
            </w:r>
          </w:p>
        </w:tc>
        <w:tc>
          <w:tcPr>
            <w:tcW w:type="dxa" w:w="176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vAlign w:val="center"/>
          </w:tcPr>
          <w:p>
            <w:r>
              <w:rPr>
                <w:rFonts w:ascii="Roboto" w:cs="Roboto" w:eastAsia="Roboto" w:hAnsi="Roboto"/>
                <w:b/>
                <w:bCs/>
                <w:color w:val="FFFFFF"/>
                <w:sz w:val="20"/>
                <w:szCs w:val="20"/>
              </w:rPr>
              <w:t xml:space="preserve">Split Risk</w:t>
            </w:r>
          </w:p>
        </w:tc>
        <w:tc>
          <w:tcPr>
            <w:tcW w:type="dxa" w:w="16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vAlign w:val="center"/>
          </w:tcPr>
          <w:p>
            <w:r>
              <w:rPr>
                <w:rFonts w:ascii="Roboto" w:cs="Roboto" w:eastAsia="Roboto" w:hAnsi="Roboto"/>
                <w:b/>
                <w:bCs/>
                <w:color w:val="FFFFFF"/>
                <w:sz w:val="20"/>
                <w:szCs w:val="20"/>
              </w:rPr>
              <w:t xml:space="preserve">GI Admin</w:t>
            </w:r>
          </w:p>
        </w:tc>
      </w:tr>
      <w:tr>
        <w:tc>
          <w:tcPr>
            <w:tcW w:type="dxa" w:w="2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bCs/>
                <w:color w:val="404040"/>
                <w:sz w:val="20"/>
                <w:szCs w:val="20"/>
              </w:rPr>
              <w:t xml:space="preserve">Empathy Project</w:t>
            </w:r>
          </w:p>
        </w:tc>
        <w:tc>
          <w:tcPr>
            <w:tcW w:type="dxa" w:w="16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RWI</w:t>
            </w:r>
          </w:p>
        </w:tc>
        <w:tc>
          <w:tcPr>
            <w:tcW w:type="dxa" w:w="20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Earned (seats)</w:t>
            </w:r>
          </w:p>
        </w:tc>
        <w:tc>
          <w:tcPr>
            <w:tcW w:type="dxa" w:w="176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None</w:t>
            </w:r>
          </w:p>
        </w:tc>
        <w:tc>
          <w:tcPr>
            <w:tcW w:type="dxa" w:w="16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Yes (6%)</w:t>
            </w:r>
          </w:p>
        </w:tc>
      </w:tr>
      <w:tr>
        <w:tc>
          <w:tcPr>
            <w:tcW w:type="dxa" w:w="2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bCs/>
                <w:color w:val="404040"/>
                <w:sz w:val="20"/>
                <w:szCs w:val="20"/>
              </w:rPr>
              <w:t xml:space="preserve">Technology Review</w:t>
            </w:r>
          </w:p>
        </w:tc>
        <w:tc>
          <w:tcPr>
            <w:tcW w:type="dxa" w:w="16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RWI</w:t>
            </w:r>
          </w:p>
        </w:tc>
        <w:tc>
          <w:tcPr>
            <w:tcW w:type="dxa" w:w="20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Earned (sponsorship)</w:t>
            </w:r>
          </w:p>
        </w:tc>
        <w:tc>
          <w:tcPr>
            <w:tcW w:type="dxa" w:w="176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None</w:t>
            </w:r>
          </w:p>
        </w:tc>
        <w:tc>
          <w:tcPr>
            <w:tcW w:type="dxa" w:w="16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Yes (6%)</w:t>
            </w:r>
          </w:p>
        </w:tc>
      </w:tr>
      <w:tr>
        <w:tc>
          <w:tcPr>
            <w:tcW w:type="dxa" w:w="2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bCs/>
                <w:color w:val="404040"/>
                <w:sz w:val="20"/>
                <w:szCs w:val="20"/>
              </w:rPr>
              <w:t xml:space="preserve">Regional Campus</w:t>
            </w:r>
          </w:p>
        </w:tc>
        <w:tc>
          <w:tcPr>
            <w:tcW w:type="dxa" w:w="16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Mixed</w:t>
            </w:r>
          </w:p>
        </w:tc>
        <w:tc>
          <w:tcPr>
            <w:tcW w:type="dxa" w:w="20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Mixed (see rules)</w:t>
            </w:r>
          </w:p>
        </w:tc>
        <w:tc>
          <w:tcPr>
            <w:tcW w:type="dxa" w:w="176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High</w:t>
            </w:r>
          </w:p>
        </w:tc>
        <w:tc>
          <w:tcPr>
            <w:tcW w:type="dxa" w:w="16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RWI portion</w:t>
            </w:r>
          </w:p>
        </w:tc>
      </w:tr>
      <w:tr>
        <w:tc>
          <w:tcPr>
            <w:tcW w:type="dxa" w:w="2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bCs/>
                <w:color w:val="404040"/>
                <w:sz w:val="20"/>
                <w:szCs w:val="20"/>
              </w:rPr>
              <w:t xml:space="preserve">MS Alumni Network</w:t>
            </w:r>
          </w:p>
        </w:tc>
        <w:tc>
          <w:tcPr>
            <w:tcW w:type="dxa" w:w="16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RWI</w:t>
            </w:r>
          </w:p>
        </w:tc>
        <w:tc>
          <w:tcPr>
            <w:tcW w:type="dxa" w:w="20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Partnership (SOW)</w:t>
            </w:r>
          </w:p>
        </w:tc>
        <w:tc>
          <w:tcPr>
            <w:tcW w:type="dxa" w:w="176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Low (delivery fee)</w:t>
            </w:r>
          </w:p>
        </w:tc>
        <w:tc>
          <w:tcPr>
            <w:tcW w:type="dxa" w:w="16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Yes (6%)</w:t>
            </w:r>
          </w:p>
        </w:tc>
      </w:tr>
      <w:tr>
        <w:tc>
          <w:tcPr>
            <w:tcW w:type="dxa" w:w="2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bCs/>
                <w:color w:val="404040"/>
                <w:sz w:val="20"/>
                <w:szCs w:val="20"/>
              </w:rPr>
              <w:t xml:space="preserve">AI Magic</w:t>
            </w:r>
          </w:p>
        </w:tc>
        <w:tc>
          <w:tcPr>
            <w:tcW w:type="dxa" w:w="16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RWI</w:t>
            </w:r>
          </w:p>
        </w:tc>
        <w:tc>
          <w:tcPr>
            <w:tcW w:type="dxa" w:w="20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TBD (not generating)</w:t>
            </w:r>
          </w:p>
        </w:tc>
        <w:tc>
          <w:tcPr>
            <w:tcW w:type="dxa" w:w="176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None expected</w:t>
            </w:r>
          </w:p>
        </w:tc>
        <w:tc>
          <w:tcPr>
            <w:tcW w:type="dxa" w:w="16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TBD</w:t>
            </w:r>
          </w:p>
        </w:tc>
      </w:tr>
      <w:tr>
        <w:tc>
          <w:tcPr>
            <w:tcW w:type="dxa" w:w="2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bCs/>
                <w:color w:val="404040"/>
                <w:sz w:val="20"/>
                <w:szCs w:val="20"/>
              </w:rPr>
              <w:t xml:space="preserve">Salons</w:t>
            </w:r>
          </w:p>
        </w:tc>
        <w:tc>
          <w:tcPr>
            <w:tcW w:type="dxa" w:w="16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RWI</w:t>
            </w:r>
          </w:p>
        </w:tc>
        <w:tc>
          <w:tcPr>
            <w:tcW w:type="dxa" w:w="20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N/A (no revenue)</w:t>
            </w:r>
          </w:p>
        </w:tc>
        <w:tc>
          <w:tcPr>
            <w:tcW w:type="dxa" w:w="176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None</w:t>
            </w:r>
          </w:p>
        </w:tc>
        <w:tc>
          <w:tcPr>
            <w:tcW w:type="dxa" w:w="16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N/A</w:t>
            </w:r>
          </w:p>
        </w:tc>
      </w:tr>
      <w:tr>
        <w:tc>
          <w:tcPr>
            <w:tcW w:type="dxa" w:w="24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bCs/>
                <w:color w:val="404040"/>
                <w:sz w:val="20"/>
                <w:szCs w:val="20"/>
              </w:rPr>
              <w:t xml:space="preserve">Standards &amp; Measures</w:t>
            </w:r>
          </w:p>
        </w:tc>
        <w:tc>
          <w:tcPr>
            <w:tcW w:type="dxa" w:w="16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RWI</w:t>
            </w:r>
          </w:p>
        </w:tc>
        <w:tc>
          <w:tcPr>
            <w:tcW w:type="dxa" w:w="20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Philanthropic (grants)</w:t>
            </w:r>
          </w:p>
        </w:tc>
        <w:tc>
          <w:tcPr>
            <w:tcW w:type="dxa" w:w="176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None (paused)</w:t>
            </w:r>
          </w:p>
        </w:tc>
        <w:tc>
          <w:tcPr>
            <w:tcW w:type="dxa" w:w="16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Yes (6%)</w:t>
            </w:r>
          </w:p>
        </w:tc>
      </w:tr>
      <w:tr>
        <w:tc>
          <w:tcPr>
            <w:tcW w:type="dxa" w:w="24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bCs/>
                <w:color w:val="404040"/>
                <w:sz w:val="20"/>
                <w:szCs w:val="20"/>
              </w:rPr>
              <w:t xml:space="preserve">Subscription (future)</w:t>
            </w:r>
          </w:p>
        </w:tc>
        <w:tc>
          <w:tcPr>
            <w:tcW w:type="dxa" w:w="16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RWI</w:t>
            </w:r>
          </w:p>
        </w:tc>
        <w:tc>
          <w:tcPr>
            <w:tcW w:type="dxa" w:w="20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Earned</w:t>
            </w:r>
          </w:p>
        </w:tc>
        <w:tc>
          <w:tcPr>
            <w:tcW w:type="dxa" w:w="176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None expected</w:t>
            </w:r>
          </w:p>
        </w:tc>
        <w:tc>
          <w:tcPr>
            <w:tcW w:type="dxa" w:w="16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Yes (6%)</w:t>
            </w:r>
          </w:p>
        </w:tc>
      </w:tr>
    </w:tbl>
    <w:p>
      <w:pPr>
        <w:spacing w:after="200" w:before="200"/>
      </w:pPr>
    </w:p>
    <w:p>
      <w:pPr>
        <w:pStyle w:val="Heading1"/>
      </w:pPr>
      <w:r>
        <w:t xml:space="preserve">Implementation Notes</w:t>
      </w:r>
    </w:p>
    <w:p>
      <w:pPr>
        <w:pStyle w:val="Heading3"/>
      </w:pPr>
      <w:r>
        <w:t xml:space="preserve">Global Impact Admin Fee</w:t>
      </w:r>
    </w:p>
    <w:p>
      <w:pPr>
        <w:spacing w:after="200"/>
      </w:pPr>
      <w:r>
        <w:t xml:space="preserve">All funds flowing through RWI via Global Impact incur a 6% administrative fee ($15K/yr minimum). In the KPI framework, report RWI revenue at the gross amount (pre-admin). Show the GI admin fee as a separate cost line. This keeps the revenue figure comparable to RW’s (which has no equivalent passthrough cost) while making the actual cost of the fiscal sponsorship visible.</w:t>
      </w:r>
    </w:p>
    <w:p>
      <w:pPr>
        <w:pStyle w:val="Heading3"/>
      </w:pPr>
      <w:r>
        <w:t xml:space="preserve">Reconciliation Protocol</w:t>
      </w:r>
    </w:p>
    <w:p>
      <w:pPr>
        <w:spacing w:after="200"/>
      </w:pPr>
      <w:r>
        <w:t xml:space="preserve">Each quarter, run a reconciliation check: for every program that generates revenue, sum the entity-level attributions. The sum must equal the program-level total. If it doesn’t, a transaction has been miscategorized or double-counted. This is a five-minute check that prevents the framework from drifting.</w:t>
      </w:r>
    </w:p>
    <w:p>
      <w:pPr>
        <w:pStyle w:val="Heading3"/>
      </w:pPr>
      <w:r>
        <w:t xml:space="preserve">New Programs</w:t>
      </w:r>
    </w:p>
    <w:p>
      <w:pPr>
        <w:spacing w:after="200"/>
      </w:pPr>
      <w:r>
        <w:t xml:space="preserve">When a new program begins generating revenue (e.g., subscription model launches, AI Magic monetizes), assign its home entity and revenue category before the first transaction. If the program has potential for entity-split revenue (like Regional Campus), flag it and apply per-transaction attribution from day one.</w:t>
      </w:r>
    </w:p>
    <w:p>
      <w:pPr>
        <w:pStyle w:val="Heading1"/>
      </w:pPr>
      <w:r>
        <w:t xml:space="preserve">Remaining Decisions</w:t>
      </w:r>
    </w:p>
    <w:p>
      <w:pPr>
        <w:spacing w:after="200"/>
      </w:pPr>
      <w:r>
        <w:t xml:space="preserve">This methodology resolves Gap #2 from the KPI framework mapping session (revenue attribution rules for entity-split programs). Four gaps remain open:</w:t>
      </w:r>
    </w:p>
    <w:p>
      <w:pPr>
        <w:pStyle w:val="ListParagraph"/>
        <w:numPr>
          <w:ilvl w:val="0"/>
          <w:numId w:val="2"/>
        </w:numPr>
        <w:spacing w:after="80"/>
      </w:pPr>
      <w:r>
        <w:rPr>
          <w:b/>
          <w:bCs/>
        </w:rPr>
        <w:t xml:space="preserve">Gap #1: </w:t>
      </w:r>
      <w:r>
        <w:t xml:space="preserve">Does the Technology Review need an IMPACT pathway, or is INFLUENCE sufficient?</w:t>
      </w:r>
    </w:p>
    <w:p>
      <w:pPr>
        <w:pStyle w:val="ListParagraph"/>
        <w:numPr>
          <w:ilvl w:val="0"/>
          <w:numId w:val="2"/>
        </w:numPr>
        <w:spacing w:after="80"/>
      </w:pPr>
      <w:r>
        <w:rPr>
          <w:b/>
          <w:bCs/>
        </w:rPr>
        <w:t xml:space="preserve">Gap #3: </w:t>
      </w:r>
      <w:r>
        <w:t xml:space="preserve">Data Collection Methodology layer is unpopulated for all Makerspace programs.</w:t>
      </w:r>
    </w:p>
    <w:p>
      <w:pPr>
        <w:pStyle w:val="ListParagraph"/>
        <w:numPr>
          <w:ilvl w:val="0"/>
          <w:numId w:val="2"/>
        </w:numPr>
        <w:spacing w:after="80"/>
      </w:pPr>
      <w:r>
        <w:rPr>
          <w:b/>
          <w:bCs/>
        </w:rPr>
        <w:t xml:space="preserve">Gap #4: </w:t>
      </w:r>
      <w:r>
        <w:t xml:space="preserve">Salons and AI Magic need scoring methodology (quarterly questions).</w:t>
      </w:r>
    </w:p>
    <w:p>
      <w:pPr>
        <w:pStyle w:val="ListParagraph"/>
        <w:numPr>
          <w:ilvl w:val="0"/>
          <w:numId w:val="2"/>
        </w:numPr>
        <w:spacing w:after="200"/>
      </w:pPr>
      <w:r>
        <w:rPr>
          <w:b/>
          <w:bCs/>
        </w:rPr>
        <w:t xml:space="preserve">Gap #5: </w:t>
      </w:r>
      <w:r>
        <w:t xml:space="preserve">Paused programs (S&amp;M, HPPT, Nudge Unit) need KPI placeholders for reactivation.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2C2C6" w:sz="4" w:space="4"/>
      </w:pBdr>
      <w:jc w:val="right"/>
    </w:pPr>
    <w:r>
      <w:rPr>
        <w:rFonts w:ascii="Roboto" w:cs="Roboto" w:eastAsia="Roboto" w:hAnsi="Roboto"/>
        <w:color w:val="999999"/>
        <w:sz w:val="16"/>
        <w:szCs w:val="16"/>
      </w:rPr>
      <w:t xml:space="preserve">Page </w:t>
    </w:r>
    <w:r>
      <w:rPr>
        <w:rFonts w:ascii="Roboto" w:cs="Roboto" w:eastAsia="Roboto" w:hAnsi="Roboto"/>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3454" w:sz="6" w:space="4"/>
      </w:pBdr>
    </w:pPr>
    <w:r>
      <w:drawing>
        <wp:inline distT="0" distB="0" distL="0" distR="0">
          <wp:extent cx="1028700" cy="276225"/>
          <wp:effectExtent t="0" r="0" b="0" l="0"/>
          <wp:docPr id="1" name="RW Logo" descr="Realized Worth logo" title="Realized Wort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28700" cy="276225"/>
                  </a:xfrm>
                  <a:prstGeom prst="rect">
                    <a:avLst/>
                  </a:prstGeom>
                </pic:spPr>
              </pic:pic>
            </a:graphicData>
          </a:graphic>
        </wp:inline>
      </w:drawing>
    </w:r>
    <w:r>
      <w:rPr>
        <w:rFonts w:ascii="Roboto" w:cs="Roboto" w:eastAsia="Roboto" w:hAnsi="Roboto"/>
        <w:color w:val="404040"/>
        <w:sz w:val="18"/>
        <w:szCs w:val="18"/>
      </w:rPr>
      <w:t xml:space="preserve">   RW Institute  |  Revenue Attribution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Rule %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Roboto" w:cs="Roboto" w:eastAsia="Roboto" w:hAnsi="Roboto"/>
      <w:b/>
      <w:bCs/>
      <w:color w:val="0A3454"/>
      <w:sz w:val="36"/>
      <w:szCs w:val="36"/>
    </w:rPr>
  </w:style>
  <w:style w:type="paragraph" w:styleId="Heading2">
    <w:name w:val="Heading 2"/>
    <w:basedOn w:val="Normal"/>
    <w:next w:val="Normal"/>
    <w:qFormat/>
    <w:pPr>
      <w:spacing w:after="160" w:before="280"/>
      <w:outlineLvl w:val="1"/>
    </w:pPr>
    <w:rPr>
      <w:rFonts w:ascii="Roboto" w:cs="Roboto" w:eastAsia="Roboto" w:hAnsi="Roboto"/>
      <w:b/>
      <w:bCs/>
      <w:color w:val="0A3454"/>
      <w:sz w:val="28"/>
      <w:szCs w:val="28"/>
    </w:rPr>
  </w:style>
  <w:style w:type="paragraph" w:styleId="Heading3">
    <w:name w:val="Heading 3"/>
    <w:basedOn w:val="Normal"/>
    <w:next w:val="Normal"/>
    <w:qFormat/>
    <w:pPr>
      <w:spacing w:after="120" w:before="200"/>
      <w:outlineLvl w:val="2"/>
    </w:pPr>
    <w:rPr>
      <w:rFonts w:ascii="Roboto" w:cs="Roboto" w:eastAsia="Roboto" w:hAnsi="Roboto"/>
      <w:b/>
      <w:bCs/>
      <w:color w:val="4491A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a46715f4e6013bdf6ef583be2d92b6461f7796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2026-03-28T15:28:36.524Z</dcterms:created>
  <dcterms:modified xsi:type="dcterms:W3CDTF">2026-03-28T15:28:36.524Z</dcterms:modified>
</cp:coreProperties>
</file>

<file path=docProps/custom.xml><?xml version="1.0" encoding="utf-8"?>
<Properties xmlns="http://schemas.openxmlformats.org/officeDocument/2006/custom-properties" xmlns:vt="http://schemas.openxmlformats.org/officeDocument/2006/docPropsVTypes"/>
</file>