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Roboto" w:cs="Roboto" w:eastAsia="Roboto" w:hAnsi="Roboto"/>
          <w:b/>
          <w:bCs/>
          <w:color w:val="0A3454"/>
          <w:sz w:val="48"/>
          <w:szCs w:val="48"/>
        </w:rPr>
        <w:t xml:space="preserve">RWI Technology Review</w:t>
      </w:r>
    </w:p>
    <w:p>
      <w:pPr>
        <w:spacing w:after="40"/>
      </w:pPr>
      <w:r>
        <w:rPr>
          <w:rFonts w:ascii="Roboto" w:cs="Roboto" w:eastAsia="Roboto" w:hAnsi="Roboto"/>
          <w:color w:val="4491A9"/>
          <w:sz w:val="36"/>
          <w:szCs w:val="36"/>
        </w:rPr>
        <w:t xml:space="preserve">IMPACT Pathway Definition</w:t>
      </w:r>
    </w:p>
    <w:p>
      <w:pPr>
        <w:spacing w:after="200"/>
      </w:pPr>
      <w:r>
        <w:rPr>
          <w:rFonts w:ascii="Roboto" w:cs="Roboto" w:eastAsia="Roboto" w:hAnsi="Roboto"/>
          <w:color w:val="404040"/>
          <w:sz w:val="22"/>
          <w:szCs w:val="22"/>
        </w:rPr>
        <w:t xml:space="preserve">2026 KPI Framework | Decided March 28, 2026</w:t>
      </w:r>
    </w:p>
    <w:p>
      <w:pPr>
        <w:pBdr>
          <w:bottom w:val="single" w:color="F05927" w:sz="6" w:space="1"/>
        </w:pBdr>
        <w:spacing w:after="40"/>
      </w:pPr>
    </w:p>
    <w:p>
      <w:pPr>
        <w:spacing w:after="60"/>
      </w:pPr>
    </w:p>
    <w:p>
      <w:pPr>
        <w:pStyle w:val="Heading1"/>
      </w:pPr>
      <w:r>
        <w:t xml:space="preserve">Context</w:t>
      </w:r>
    </w:p>
    <w:p>
      <w:pPr>
        <w:spacing w:after="120"/>
      </w:pPr>
      <w:r>
        <w:rPr>
          <w:rFonts w:ascii="Roboto" w:cs="Roboto" w:eastAsia="Roboto" w:hAnsi="Roboto"/>
          <w:color w:val="404040"/>
          <w:sz w:val="22"/>
          <w:szCs w:val="22"/>
        </w:rPr>
        <w:t xml:space="preserve">The RW Institute's Corporate Volunteering, Giving and Grants Technology Review (the "Tech Review") has historically been categorized in the KPI framework under INFLUENCE only, reflecting its role in field-level reach, knowledge dissemination, and industry positioning.</w:t>
      </w:r>
    </w:p>
    <w:p>
      <w:pPr>
        <w:spacing w:after="120"/>
      </w:pPr>
      <w:r>
        <w:rPr>
          <w:rFonts w:ascii="Roboto" w:cs="Roboto" w:eastAsia="Roboto" w:hAnsi="Roboto"/>
          <w:color w:val="404040"/>
          <w:sz w:val="22"/>
          <w:szCs w:val="22"/>
        </w:rPr>
        <w:t xml:space="preserve">However, evidence from the 2019 and 2021 editions, including practitioner surveys, usage data, and testimonials presented to the Bill &amp; Melinda Gates Foundation, demonstrates that the Tech Review produces measurable practitioner-level behavioral change. This goes beyond influence into impact.</w:t>
      </w:r>
    </w:p>
    <w:p>
      <w:pPr>
        <w:spacing w:after="120" w:before="120"/>
      </w:pPr>
      <w:r>
        <w:rPr>
          <w:rFonts w:ascii="Roboto" w:cs="Roboto" w:eastAsia="Roboto" w:hAnsi="Roboto"/>
          <w:b/>
          <w:bCs/>
          <w:color w:val="F05927"/>
          <w:sz w:val="22"/>
          <w:szCs w:val="22"/>
        </w:rPr>
        <w:t xml:space="preserve">Decision: The Tech Review now carries a formal IMPACT pathway alongside its existing INFLUENCE pathway.</w:t>
      </w:r>
    </w:p>
    <w:p>
      <w:pPr>
        <w:spacing w:after="60"/>
      </w:pPr>
    </w:p>
    <w:p>
      <w:pPr>
        <w:pStyle w:val="Heading1"/>
      </w:pPr>
      <w:r>
        <w:t xml:space="preserve">The Case for IMPACT</w:t>
      </w:r>
    </w:p>
    <w:p>
      <w:pPr>
        <w:spacing w:after="120"/>
      </w:pPr>
      <w:r>
        <w:rPr>
          <w:rFonts w:ascii="Roboto" w:cs="Roboto" w:eastAsia="Roboto" w:hAnsi="Roboto"/>
          <w:color w:val="404040"/>
          <w:sz w:val="22"/>
          <w:szCs w:val="22"/>
        </w:rPr>
        <w:t xml:space="preserve">The distinction between INFLUENCE and IMPACT is straightforward. INFLUENCE measures whether the field knows about and engages with the review. IMPACT measures whether practitioners do something different as a result.</w:t>
      </w:r>
    </w:p>
    <w:p>
      <w:pPr>
        <w:spacing w:after="60"/>
      </w:pPr>
    </w:p>
    <w:p>
      <w:pPr>
        <w:pStyle w:val="Heading3"/>
      </w:pPr>
      <w:r>
        <w:t xml:space="preserve">Evidence from the 2021 Edition (Presented to Gates Foundation)</w:t>
      </w:r>
    </w:p>
    <w:p>
      <w:pPr>
        <w:spacing w:after="60"/>
      </w:pPr>
    </w:p>
    <w:p>
      <w:pPr>
        <w:pStyle w:val="ListParagraph"/>
        <w:numPr>
          <w:ilvl w:val="0"/>
          <w:numId w:val="2"/>
        </w:numPr>
        <w:spacing w:after="80"/>
      </w:pPr>
      <w:r>
        <w:rPr>
          <w:rFonts w:ascii="Roboto" w:cs="Roboto" w:eastAsia="Roboto" w:hAnsi="Roboto"/>
          <w:b/>
          <w:bCs/>
          <w:color w:val="404040"/>
          <w:sz w:val="22"/>
          <w:szCs w:val="22"/>
        </w:rPr>
        <w:t xml:space="preserve">Procurement behavior change: </w:t>
      </w:r>
      <w:r>
        <w:rPr>
          <w:rFonts w:ascii="Roboto" w:cs="Roboto" w:eastAsia="Roboto" w:hAnsi="Roboto"/>
          <w:color w:val="404040"/>
          <w:sz w:val="22"/>
          <w:szCs w:val="22"/>
        </w:rPr>
        <w:t xml:space="preserve">80% of practitioners reviewed 2-4 solutions during due diligence, with the review serving as a primary shortlisting tool.</w:t>
      </w:r>
    </w:p>
    <w:p>
      <w:pPr>
        <w:pStyle w:val="ListParagraph"/>
        <w:numPr>
          <w:ilvl w:val="0"/>
          <w:numId w:val="2"/>
        </w:numPr>
        <w:spacing w:after="80"/>
      </w:pPr>
      <w:r>
        <w:rPr>
          <w:rFonts w:ascii="Roboto" w:cs="Roboto" w:eastAsia="Roboto" w:hAnsi="Roboto"/>
          <w:b/>
          <w:bCs/>
          <w:color w:val="404040"/>
          <w:sz w:val="22"/>
          <w:szCs w:val="22"/>
        </w:rPr>
        <w:t xml:space="preserve">Post-switch improvement: </w:t>
      </w:r>
      <w:r>
        <w:rPr>
          <w:rFonts w:ascii="Roboto" w:cs="Roboto" w:eastAsia="Roboto" w:hAnsi="Roboto"/>
          <w:color w:val="404040"/>
          <w:sz w:val="22"/>
          <w:szCs w:val="22"/>
        </w:rPr>
        <w:t xml:space="preserve">63% of practitioners who switched platforms saw satisfaction increase. 65% saw utilization increase.</w:t>
      </w:r>
    </w:p>
    <w:p>
      <w:pPr>
        <w:pStyle w:val="ListParagraph"/>
        <w:numPr>
          <w:ilvl w:val="0"/>
          <w:numId w:val="2"/>
        </w:numPr>
        <w:spacing w:after="80"/>
      </w:pPr>
      <w:r>
        <w:rPr>
          <w:rFonts w:ascii="Roboto" w:cs="Roboto" w:eastAsia="Roboto" w:hAnsi="Roboto"/>
          <w:b/>
          <w:bCs/>
          <w:color w:val="404040"/>
          <w:sz w:val="22"/>
          <w:szCs w:val="22"/>
        </w:rPr>
        <w:t xml:space="preserve">Engagement-outcome link: </w:t>
      </w:r>
      <w:r>
        <w:rPr>
          <w:rFonts w:ascii="Roboto" w:cs="Roboto" w:eastAsia="Roboto" w:hAnsi="Roboto"/>
          <w:color w:val="404040"/>
          <w:sz w:val="22"/>
          <w:szCs w:val="22"/>
        </w:rPr>
        <w:t xml:space="preserve">Practitioners involved in procurement were 4x more likely to be promoters than those who were not.</w:t>
      </w:r>
    </w:p>
    <w:p>
      <w:pPr>
        <w:pStyle w:val="ListParagraph"/>
        <w:numPr>
          <w:ilvl w:val="0"/>
          <w:numId w:val="2"/>
        </w:numPr>
        <w:spacing w:after="80"/>
      </w:pPr>
      <w:r>
        <w:rPr>
          <w:rFonts w:ascii="Roboto" w:cs="Roboto" w:eastAsia="Roboto" w:hAnsi="Roboto"/>
          <w:b/>
          <w:bCs/>
          <w:color w:val="404040"/>
          <w:sz w:val="22"/>
          <w:szCs w:val="22"/>
        </w:rPr>
        <w:t xml:space="preserve">Market awareness expansion: </w:t>
      </w:r>
      <w:r>
        <w:rPr>
          <w:rFonts w:ascii="Roboto" w:cs="Roboto" w:eastAsia="Roboto" w:hAnsi="Roboto"/>
          <w:color w:val="404040"/>
          <w:sz w:val="22"/>
          <w:szCs w:val="22"/>
        </w:rPr>
        <w:t xml:space="preserve">41 solutions profiled across 13 countries, surfacing options previously invisible to practitioners limited by regional vendor presence.</w:t>
      </w:r>
    </w:p>
    <w:p>
      <w:pPr>
        <w:pStyle w:val="ListParagraph"/>
        <w:numPr>
          <w:ilvl w:val="0"/>
          <w:numId w:val="2"/>
        </w:numPr>
        <w:spacing w:after="80"/>
      </w:pPr>
      <w:r>
        <w:rPr>
          <w:rFonts w:ascii="Roboto" w:cs="Roboto" w:eastAsia="Roboto" w:hAnsi="Roboto"/>
          <w:b/>
          <w:bCs/>
          <w:color w:val="404040"/>
          <w:sz w:val="22"/>
          <w:szCs w:val="22"/>
        </w:rPr>
        <w:t xml:space="preserve">Practitioner testimony: </w:t>
      </w:r>
      <w:r>
        <w:rPr>
          <w:rFonts w:ascii="Roboto" w:cs="Roboto" w:eastAsia="Roboto" w:hAnsi="Roboto"/>
          <w:i/>
          <w:iCs/>
          <w:color w:val="404040"/>
          <w:sz w:val="22"/>
          <w:szCs w:val="22"/>
        </w:rPr>
        <w:t xml:space="preserve">"I started with RWI's Technology Review. If [a platform] wasn't in the review, I didn't even consider it." (Sr. Manager, Community Investment, Energy Industry)</w:t>
      </w:r>
    </w:p>
    <w:p>
      <w:pPr>
        <w:spacing w:after="60"/>
      </w:pPr>
    </w:p>
    <w:p>
      <w:pPr>
        <w:spacing w:after="120"/>
      </w:pPr>
      <w:r>
        <w:rPr>
          <w:rFonts w:ascii="Roboto" w:cs="Roboto" w:eastAsia="Roboto" w:hAnsi="Roboto"/>
          <w:color w:val="404040"/>
          <w:sz w:val="22"/>
          <w:szCs w:val="22"/>
        </w:rPr>
        <w:t xml:space="preserve">Additional historical evidence from Gates Foundation presentations in 2020-2021 indicates the review cut average RFP processing time in half for practitioners who used it as their starting point. While the specific data points from the 2018 proposals were not accessible during this mapping exercise, the pattern is consistent across all available evidence: the review changes how practitioners procure technology.</w:t>
      </w:r>
    </w:p>
    <w:p>
      <w:pPr>
        <w:spacing w:after="60"/>
      </w:pPr>
    </w:p>
    <w:p>
      <w:pPr>
        <w:pStyle w:val="Heading1"/>
      </w:pPr>
      <w:r>
        <w:t xml:space="preserve">Dual Pathway Structure</w:t>
      </w:r>
    </w:p>
    <w:p>
      <w:pPr>
        <w:spacing w:after="120"/>
      </w:pPr>
      <w:r>
        <w:rPr>
          <w:rFonts w:ascii="Roboto" w:cs="Roboto" w:eastAsia="Roboto" w:hAnsi="Roboto"/>
          <w:color w:val="404040"/>
          <w:sz w:val="22"/>
          <w:szCs w:val="22"/>
        </w:rPr>
        <w:t xml:space="preserve">The Tech Review now operates across two KPI pathways. These are complementary, not competing. INFLUENCE creates the conditions for IMPACT.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2C2C6" w:sz="1"/>
              <w:left w:val="single" w:color="C2C2C6" w:sz="1"/>
              <w:bottom w:val="single" w:color="C2C2C6" w:sz="1"/>
              <w:right w:val="single" w:color="C2C2C6" w:sz="1"/>
            </w:tcBorders>
            <w:shd w:fill="0A3454" w:val="clear"/>
            <w:tcMar>
              <w:top w:type="dxa" w:w="80"/>
              <w:left w:type="dxa" w:w="120"/>
              <w:bottom w:type="dxa" w:w="80"/>
              <w:right w:type="dxa" w:w="120"/>
            </w:tcMar>
            <w:vAlign w:val="center"/>
          </w:tcPr>
          <w:p>
            <w:r>
              <w:rPr>
                <w:rFonts w:ascii="Roboto" w:cs="Roboto" w:eastAsia="Roboto" w:hAnsi="Roboto"/>
                <w:b/>
                <w:bCs/>
                <w:color w:val="FFFFFF"/>
                <w:sz w:val="20"/>
                <w:szCs w:val="20"/>
              </w:rPr>
              <w:t xml:space="preserve">Pathway</w:t>
            </w:r>
          </w:p>
        </w:tc>
        <w:tc>
          <w:tcPr>
            <w:tcW w:type="dxa" w:w="2340"/>
            <w:tcBorders>
              <w:top w:val="single" w:color="C2C2C6" w:sz="1"/>
              <w:left w:val="single" w:color="C2C2C6" w:sz="1"/>
              <w:bottom w:val="single" w:color="C2C2C6" w:sz="1"/>
              <w:right w:val="single" w:color="C2C2C6" w:sz="1"/>
            </w:tcBorders>
            <w:shd w:fill="0A3454" w:val="clear"/>
            <w:tcMar>
              <w:top w:type="dxa" w:w="80"/>
              <w:left w:type="dxa" w:w="120"/>
              <w:bottom w:type="dxa" w:w="80"/>
              <w:right w:type="dxa" w:w="120"/>
            </w:tcMar>
            <w:vAlign w:val="center"/>
          </w:tcPr>
          <w:p>
            <w:r>
              <w:rPr>
                <w:rFonts w:ascii="Roboto" w:cs="Roboto" w:eastAsia="Roboto" w:hAnsi="Roboto"/>
                <w:b/>
                <w:bCs/>
                <w:color w:val="FFFFFF"/>
                <w:sz w:val="20"/>
                <w:szCs w:val="20"/>
              </w:rPr>
              <w:t xml:space="preserve">Focus</w:t>
            </w:r>
          </w:p>
        </w:tc>
        <w:tc>
          <w:tcPr>
            <w:tcW w:type="dxa" w:w="2340"/>
            <w:tcBorders>
              <w:top w:val="single" w:color="C2C2C6" w:sz="1"/>
              <w:left w:val="single" w:color="C2C2C6" w:sz="1"/>
              <w:bottom w:val="single" w:color="C2C2C6" w:sz="1"/>
              <w:right w:val="single" w:color="C2C2C6" w:sz="1"/>
            </w:tcBorders>
            <w:shd w:fill="0A3454" w:val="clear"/>
            <w:tcMar>
              <w:top w:type="dxa" w:w="80"/>
              <w:left w:type="dxa" w:w="120"/>
              <w:bottom w:type="dxa" w:w="80"/>
              <w:right w:type="dxa" w:w="120"/>
            </w:tcMar>
            <w:vAlign w:val="center"/>
          </w:tcPr>
          <w:p>
            <w:r>
              <w:rPr>
                <w:rFonts w:ascii="Roboto" w:cs="Roboto" w:eastAsia="Roboto" w:hAnsi="Roboto"/>
                <w:b/>
                <w:bCs/>
                <w:color w:val="FFFFFF"/>
                <w:sz w:val="20"/>
                <w:szCs w:val="20"/>
              </w:rPr>
              <w:t xml:space="preserve">Example KPIs</w:t>
            </w:r>
          </w:p>
        </w:tc>
        <w:tc>
          <w:tcPr>
            <w:tcW w:type="dxa" w:w="2340"/>
            <w:tcBorders>
              <w:top w:val="single" w:color="C2C2C6" w:sz="1"/>
              <w:left w:val="single" w:color="C2C2C6" w:sz="1"/>
              <w:bottom w:val="single" w:color="C2C2C6" w:sz="1"/>
              <w:right w:val="single" w:color="C2C2C6" w:sz="1"/>
            </w:tcBorders>
            <w:shd w:fill="0A3454" w:val="clear"/>
            <w:tcMar>
              <w:top w:type="dxa" w:w="80"/>
              <w:left w:type="dxa" w:w="120"/>
              <w:bottom w:type="dxa" w:w="80"/>
              <w:right w:type="dxa" w:w="120"/>
            </w:tcMar>
            <w:vAlign w:val="center"/>
          </w:tcPr>
          <w:p>
            <w:r>
              <w:rPr>
                <w:rFonts w:ascii="Roboto" w:cs="Roboto" w:eastAsia="Roboto" w:hAnsi="Roboto"/>
                <w:b/>
                <w:bCs/>
                <w:color w:val="FFFFFF"/>
                <w:sz w:val="20"/>
                <w:szCs w:val="20"/>
              </w:rPr>
              <w:t xml:space="preserve">Relationship</w:t>
            </w:r>
          </w:p>
        </w:tc>
      </w:tr>
      <w:tr>
        <w:tc>
          <w:tcPr>
            <w:tcW w:type="dxa" w:w="234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bCs/>
                <w:color w:val="404040"/>
                <w:sz w:val="20"/>
                <w:szCs w:val="20"/>
              </w:rPr>
              <w:t xml:space="preserve">INFLUENCE</w:t>
            </w:r>
          </w:p>
        </w:tc>
        <w:tc>
          <w:tcPr>
            <w:tcW w:type="dxa" w:w="234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color w:val="404040"/>
                <w:sz w:val="20"/>
                <w:szCs w:val="20"/>
              </w:rPr>
              <w:t xml:space="preserve">Field-level reach, awareness, and recognition</w:t>
            </w:r>
          </w:p>
        </w:tc>
        <w:tc>
          <w:tcPr>
            <w:tcW w:type="dxa" w:w="234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color w:val="404040"/>
                <w:sz w:val="20"/>
                <w:szCs w:val="20"/>
              </w:rPr>
              <w:t xml:space="preserve">Downloads, audience geography, vendor participation, media citations, conference presentations</w:t>
            </w:r>
          </w:p>
        </w:tc>
        <w:tc>
          <w:tcPr>
            <w:tcW w:type="dxa" w:w="234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color w:val="404040"/>
                <w:sz w:val="20"/>
                <w:szCs w:val="20"/>
              </w:rPr>
              <w:t xml:space="preserve">Creates the conditions for IMPACT. Without reach, practitioners cannot act on the review.</w:t>
            </w:r>
          </w:p>
        </w:tc>
      </w:tr>
      <w:tr>
        <w:tc>
          <w:tcPr>
            <w:tcW w:type="dxa" w:w="234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bCs/>
                <w:color w:val="404040"/>
                <w:sz w:val="20"/>
                <w:szCs w:val="20"/>
              </w:rPr>
              <w:t xml:space="preserve">IMPACT</w:t>
            </w:r>
          </w:p>
        </w:tc>
        <w:tc>
          <w:tcPr>
            <w:tcW w:type="dxa" w:w="234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color w:val="404040"/>
                <w:sz w:val="20"/>
                <w:szCs w:val="20"/>
              </w:rPr>
              <w:t xml:space="preserve">Practitioner-level behavioral change in technology procurement</w:t>
            </w:r>
          </w:p>
        </w:tc>
        <w:tc>
          <w:tcPr>
            <w:tcW w:type="dxa" w:w="234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color w:val="404040"/>
                <w:sz w:val="20"/>
                <w:szCs w:val="20"/>
              </w:rPr>
              <w:t xml:space="preserve">Procurement efficiency, shortlisting behavior, post-switch outcomes, solution awareness &amp; fit</w:t>
            </w:r>
          </w:p>
        </w:tc>
        <w:tc>
          <w:tcPr>
            <w:tcW w:type="dxa" w:w="234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color w:val="404040"/>
                <w:sz w:val="20"/>
                <w:szCs w:val="20"/>
              </w:rPr>
              <w:t xml:space="preserve">Depends on INFLUENCE for distribution. Measures what practitioners do differently as a result.</w:t>
            </w:r>
          </w:p>
        </w:tc>
      </w:tr>
    </w:tbl>
    <w:p>
      <w:pPr>
        <w:spacing w:after="60"/>
      </w:pPr>
    </w:p>
    <w:p>
      <w:r>
        <w:br w:type="page"/>
      </w:r>
    </w:p>
    <w:p>
      <w:pPr>
        <w:pStyle w:val="Heading1"/>
      </w:pPr>
      <w:r>
        <w:t xml:space="preserve">IMPACT KPIs: Definitions and Instruments</w:t>
      </w:r>
    </w:p>
    <w:p>
      <w:pPr>
        <w:spacing w:after="120"/>
      </w:pPr>
      <w:r>
        <w:rPr>
          <w:rFonts w:ascii="Roboto" w:cs="Roboto" w:eastAsia="Roboto" w:hAnsi="Roboto"/>
          <w:color w:val="404040"/>
          <w:sz w:val="22"/>
          <w:szCs w:val="22"/>
        </w:rPr>
        <w:t xml:space="preserve">Four KPIs define the Tech Review's IMPACT pathway. Each measures a distinct dimension of practitioner behavioral change resulting from the review.</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1800"/>
        <w:gridCol w:w="1800"/>
      </w:tblGrid>
      <w:tr>
        <w:tc>
          <w:tcPr>
            <w:tcW w:type="dxa" w:w="2200"/>
            <w:tcBorders>
              <w:top w:val="single" w:color="C2C2C6" w:sz="1"/>
              <w:left w:val="single" w:color="C2C2C6" w:sz="1"/>
              <w:bottom w:val="single" w:color="C2C2C6" w:sz="1"/>
              <w:right w:val="single" w:color="C2C2C6" w:sz="1"/>
            </w:tcBorders>
            <w:shd w:fill="0A3454" w:val="clear"/>
            <w:tcMar>
              <w:top w:type="dxa" w:w="80"/>
              <w:left w:type="dxa" w:w="120"/>
              <w:bottom w:type="dxa" w:w="80"/>
              <w:right w:type="dxa" w:w="120"/>
            </w:tcMar>
            <w:vAlign w:val="center"/>
          </w:tcPr>
          <w:p>
            <w:r>
              <w:rPr>
                <w:rFonts w:ascii="Roboto" w:cs="Roboto" w:eastAsia="Roboto" w:hAnsi="Roboto"/>
                <w:b/>
                <w:bCs/>
                <w:color w:val="FFFFFF"/>
                <w:sz w:val="20"/>
                <w:szCs w:val="20"/>
              </w:rPr>
              <w:t xml:space="preserve">KPI</w:t>
            </w:r>
          </w:p>
        </w:tc>
        <w:tc>
          <w:tcPr>
            <w:tcW w:type="dxa" w:w="3560"/>
            <w:tcBorders>
              <w:top w:val="single" w:color="C2C2C6" w:sz="1"/>
              <w:left w:val="single" w:color="C2C2C6" w:sz="1"/>
              <w:bottom w:val="single" w:color="C2C2C6" w:sz="1"/>
              <w:right w:val="single" w:color="C2C2C6" w:sz="1"/>
            </w:tcBorders>
            <w:shd w:fill="0A3454" w:val="clear"/>
            <w:tcMar>
              <w:top w:type="dxa" w:w="80"/>
              <w:left w:type="dxa" w:w="120"/>
              <w:bottom w:type="dxa" w:w="80"/>
              <w:right w:type="dxa" w:w="120"/>
            </w:tcMar>
            <w:vAlign w:val="center"/>
          </w:tcPr>
          <w:p>
            <w:r>
              <w:rPr>
                <w:rFonts w:ascii="Roboto" w:cs="Roboto" w:eastAsia="Roboto" w:hAnsi="Roboto"/>
                <w:b/>
                <w:bCs/>
                <w:color w:val="FFFFFF"/>
                <w:sz w:val="20"/>
                <w:szCs w:val="20"/>
              </w:rPr>
              <w:t xml:space="preserve">What It Measures</w:t>
            </w:r>
          </w:p>
        </w:tc>
        <w:tc>
          <w:tcPr>
            <w:tcW w:type="dxa" w:w="1800"/>
            <w:tcBorders>
              <w:top w:val="single" w:color="C2C2C6" w:sz="1"/>
              <w:left w:val="single" w:color="C2C2C6" w:sz="1"/>
              <w:bottom w:val="single" w:color="C2C2C6" w:sz="1"/>
              <w:right w:val="single" w:color="C2C2C6" w:sz="1"/>
            </w:tcBorders>
            <w:shd w:fill="0A3454" w:val="clear"/>
            <w:tcMar>
              <w:top w:type="dxa" w:w="80"/>
              <w:left w:type="dxa" w:w="120"/>
              <w:bottom w:type="dxa" w:w="80"/>
              <w:right w:type="dxa" w:w="120"/>
            </w:tcMar>
            <w:vAlign w:val="center"/>
          </w:tcPr>
          <w:p>
            <w:r>
              <w:rPr>
                <w:rFonts w:ascii="Roboto" w:cs="Roboto" w:eastAsia="Roboto" w:hAnsi="Roboto"/>
                <w:b/>
                <w:bCs/>
                <w:color w:val="FFFFFF"/>
                <w:sz w:val="20"/>
                <w:szCs w:val="20"/>
              </w:rPr>
              <w:t xml:space="preserve">Baseline Evidence</w:t>
            </w:r>
          </w:p>
        </w:tc>
        <w:tc>
          <w:tcPr>
            <w:tcW w:type="dxa" w:w="1800"/>
            <w:tcBorders>
              <w:top w:val="single" w:color="C2C2C6" w:sz="1"/>
              <w:left w:val="single" w:color="C2C2C6" w:sz="1"/>
              <w:bottom w:val="single" w:color="C2C2C6" w:sz="1"/>
              <w:right w:val="single" w:color="C2C2C6" w:sz="1"/>
            </w:tcBorders>
            <w:shd w:fill="0A3454" w:val="clear"/>
            <w:tcMar>
              <w:top w:type="dxa" w:w="80"/>
              <w:left w:type="dxa" w:w="120"/>
              <w:bottom w:type="dxa" w:w="80"/>
              <w:right w:type="dxa" w:w="120"/>
            </w:tcMar>
            <w:vAlign w:val="center"/>
          </w:tcPr>
          <w:p>
            <w:r>
              <w:rPr>
                <w:rFonts w:ascii="Roboto" w:cs="Roboto" w:eastAsia="Roboto" w:hAnsi="Roboto"/>
                <w:b/>
                <w:bCs/>
                <w:color w:val="FFFFFF"/>
                <w:sz w:val="20"/>
                <w:szCs w:val="20"/>
              </w:rPr>
              <w:t xml:space="preserve">Instrument</w:t>
            </w:r>
          </w:p>
        </w:tc>
      </w:tr>
      <w:tr>
        <w:tc>
          <w:tcPr>
            <w:tcW w:type="dxa" w:w="22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bCs/>
                <w:color w:val="404040"/>
                <w:sz w:val="20"/>
                <w:szCs w:val="20"/>
              </w:rPr>
              <w:t xml:space="preserve">1. Procurement Efficiency</w:t>
            </w:r>
          </w:p>
        </w:tc>
        <w:tc>
          <w:tcPr>
            <w:tcW w:type="dxa" w:w="356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color w:val="404040"/>
                <w:sz w:val="20"/>
                <w:szCs w:val="20"/>
              </w:rPr>
              <w:t xml:space="preserve">Self-reported reduction in time-to-decision for practitioners evaluating CSR technology after using the review</w:t>
            </w:r>
          </w:p>
        </w:tc>
        <w:tc>
          <w:tcPr>
            <w:tcW w:type="dxa" w:w="18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color w:val="404040"/>
                <w:sz w:val="20"/>
                <w:szCs w:val="20"/>
              </w:rPr>
              <w:t xml:space="preserve">2021: Typical end-to-end procurement is 6-12+ months. Testimonials indicate the review compressed this timeline.</w:t>
            </w:r>
          </w:p>
        </w:tc>
        <w:tc>
          <w:tcPr>
            <w:tcW w:type="dxa" w:w="18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color w:val="404040"/>
                <w:sz w:val="20"/>
                <w:szCs w:val="20"/>
              </w:rPr>
              <w:t xml:space="preserve">Practitioner follow-up survey, 6-12 months post-download</w:t>
            </w:r>
          </w:p>
        </w:tc>
      </w:tr>
      <w:tr>
        <w:tc>
          <w:tcPr>
            <w:tcW w:type="dxa" w:w="22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bCs/>
                <w:color w:val="404040"/>
                <w:sz w:val="20"/>
                <w:szCs w:val="20"/>
              </w:rPr>
              <w:t xml:space="preserve">2. Shortlisting Behavior</w:t>
            </w:r>
          </w:p>
        </w:tc>
        <w:tc>
          <w:tcPr>
            <w:tcW w:type="dxa" w:w="356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color w:val="404040"/>
                <w:sz w:val="20"/>
                <w:szCs w:val="20"/>
              </w:rPr>
              <w:t xml:space="preserve">Percentage of practitioners who report using the review to narrow their vendor shortlist</w:t>
            </w:r>
          </w:p>
        </w:tc>
        <w:tc>
          <w:tcPr>
            <w:tcW w:type="dxa" w:w="18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color w:val="404040"/>
                <w:sz w:val="20"/>
                <w:szCs w:val="20"/>
              </w:rPr>
              <w:t xml:space="preserve">2021: 80% reviewed 2-4 solutions. Testimonial: </w:t>
            </w:r>
            <w:r>
              <w:rPr>
                <w:rFonts w:ascii="Roboto" w:cs="Roboto" w:eastAsia="Roboto" w:hAnsi="Roboto"/>
                <w:i/>
                <w:iCs/>
                <w:color w:val="404040"/>
                <w:sz w:val="20"/>
                <w:szCs w:val="20"/>
              </w:rPr>
              <w:t xml:space="preserve">"I started with RWI's Technology Review. If [a platform] wasn't in the review, I didn't even consider it."</w:t>
            </w:r>
          </w:p>
        </w:tc>
        <w:tc>
          <w:tcPr>
            <w:tcW w:type="dxa" w:w="18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color w:val="404040"/>
                <w:sz w:val="20"/>
                <w:szCs w:val="20"/>
              </w:rPr>
              <w:t xml:space="preserve">Practitioner follow-up survey + download analytics</w:t>
            </w:r>
          </w:p>
        </w:tc>
      </w:tr>
      <w:tr>
        <w:tc>
          <w:tcPr>
            <w:tcW w:type="dxa" w:w="22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bCs/>
                <w:color w:val="404040"/>
                <w:sz w:val="20"/>
                <w:szCs w:val="20"/>
              </w:rPr>
              <w:t xml:space="preserve">3. Post-Switch Outcomes</w:t>
            </w:r>
          </w:p>
        </w:tc>
        <w:tc>
          <w:tcPr>
            <w:tcW w:type="dxa" w:w="356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color w:val="404040"/>
                <w:sz w:val="20"/>
                <w:szCs w:val="20"/>
              </w:rPr>
              <w:t xml:space="preserve">Practitioner satisfaction and utilization change after switching platforms, comparing review users vs. non-users</w:t>
            </w:r>
          </w:p>
        </w:tc>
        <w:tc>
          <w:tcPr>
            <w:tcW w:type="dxa" w:w="18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color w:val="404040"/>
                <w:sz w:val="20"/>
                <w:szCs w:val="20"/>
              </w:rPr>
              <w:t xml:space="preserve">2021: 63% saw satisfaction increase after switching. 65% saw utilization increase. Procurement-involved practitioners 4x more likely to be promoters.</w:t>
            </w:r>
          </w:p>
        </w:tc>
        <w:tc>
          <w:tcPr>
            <w:tcW w:type="dxa" w:w="1800"/>
            <w:tcBorders>
              <w:top w:val="single" w:color="C2C2C6" w:sz="1"/>
              <w:left w:val="single" w:color="C2C2C6" w:sz="1"/>
              <w:bottom w:val="single" w:color="C2C2C6" w:sz="1"/>
              <w:right w:val="single" w:color="C2C2C6" w:sz="1"/>
            </w:tcBorders>
            <w:shd w:fill="7FB5C2" w:val="clear"/>
            <w:tcMar>
              <w:top w:type="dxa" w:w="80"/>
              <w:left w:type="dxa" w:w="120"/>
              <w:bottom w:type="dxa" w:w="80"/>
              <w:right w:type="dxa" w:w="120"/>
            </w:tcMar>
          </w:tcPr>
          <w:p>
            <w:r>
              <w:rPr>
                <w:rFonts w:ascii="Roboto" w:cs="Roboto" w:eastAsia="Roboto" w:hAnsi="Roboto"/>
                <w:b w:val="false"/>
                <w:bCs w:val="false"/>
                <w:color w:val="404040"/>
                <w:sz w:val="20"/>
                <w:szCs w:val="20"/>
              </w:rPr>
              <w:t xml:space="preserve">Practitioner follow-up survey, 12+ months post-switch</w:t>
            </w:r>
          </w:p>
        </w:tc>
      </w:tr>
      <w:tr>
        <w:tc>
          <w:tcPr>
            <w:tcW w:type="dxa" w:w="22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bCs/>
                <w:color w:val="404040"/>
                <w:sz w:val="20"/>
                <w:szCs w:val="20"/>
              </w:rPr>
              <w:t xml:space="preserve">4. Solution Awareness &amp; Fit</w:t>
            </w:r>
          </w:p>
        </w:tc>
        <w:tc>
          <w:tcPr>
            <w:tcW w:type="dxa" w:w="356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color w:val="404040"/>
                <w:sz w:val="20"/>
                <w:szCs w:val="20"/>
              </w:rPr>
              <w:t xml:space="preserve">Practitioners and procurement teams access a broader, more diverse set of solutions, enabling selection better aligned to region, capacity, and sector needs</w:t>
            </w:r>
          </w:p>
        </w:tc>
        <w:tc>
          <w:tcPr>
            <w:tcW w:type="dxa" w:w="18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color w:val="404040"/>
                <w:sz w:val="20"/>
                <w:szCs w:val="20"/>
              </w:rPr>
              <w:t xml:space="preserve">2021: 41 solutions profiled across 13 countries. 50% of audience from practitioner roles. 84% recommended the report to colleagues.</w:t>
            </w:r>
          </w:p>
        </w:tc>
        <w:tc>
          <w:tcPr>
            <w:tcW w:type="dxa" w:w="1800"/>
            <w:tcBorders>
              <w:top w:val="single" w:color="C2C2C6" w:sz="1"/>
              <w:left w:val="single" w:color="C2C2C6" w:sz="1"/>
              <w:bottom w:val="single" w:color="C2C2C6" w:sz="1"/>
              <w:right w:val="single" w:color="C2C2C6" w:sz="1"/>
            </w:tcBorders>
            <w:shd w:fill="FFFFFF" w:val="clear"/>
            <w:tcMar>
              <w:top w:type="dxa" w:w="80"/>
              <w:left w:type="dxa" w:w="120"/>
              <w:bottom w:type="dxa" w:w="80"/>
              <w:right w:type="dxa" w:w="120"/>
            </w:tcMar>
          </w:tcPr>
          <w:p>
            <w:r>
              <w:rPr>
                <w:rFonts w:ascii="Roboto" w:cs="Roboto" w:eastAsia="Roboto" w:hAnsi="Roboto"/>
                <w:b w:val="false"/>
                <w:bCs w:val="false"/>
                <w:color w:val="404040"/>
                <w:sz w:val="20"/>
                <w:szCs w:val="20"/>
              </w:rPr>
              <w:t xml:space="preserve">Practitioner survey: # solutions previously unknown; alignment score between selected solution and org context</w:t>
            </w:r>
          </w:p>
        </w:tc>
      </w:tr>
    </w:tbl>
    <w:p>
      <w:pPr>
        <w:spacing w:after="60"/>
      </w:pPr>
    </w:p>
    <w:p>
      <w:pPr>
        <w:pStyle w:val="Heading2"/>
      </w:pPr>
      <w:r>
        <w:t xml:space="preserve">KPI 1: Procurement Efficiency</w:t>
      </w:r>
    </w:p>
    <w:p>
      <w:pPr>
        <w:spacing w:after="120"/>
      </w:pPr>
      <w:r>
        <w:rPr>
          <w:rFonts w:ascii="Roboto" w:cs="Roboto" w:eastAsia="Roboto" w:hAnsi="Roboto"/>
          <w:color w:val="404040"/>
          <w:sz w:val="22"/>
          <w:szCs w:val="22"/>
        </w:rPr>
        <w:t xml:space="preserve">This KPI measures whether the review reduces the time practitioners spend evaluating, shortlisting, and selecting CSR technology solutions. The 2021 data establishes a baseline: typical end-to-end procurement runs 6-12+ months (up to 6 months for buy-in, 6 months for procurement, up to 12 months for implementation). Practitioners who used the review as their starting point report compressing the evaluation phase.</w:t>
      </w:r>
    </w:p>
    <w:p>
      <w:pPr>
        <w:spacing w:after="120"/>
      </w:pPr>
      <w:r>
        <w:rPr>
          <w:rFonts w:ascii="Roboto" w:cs="Roboto" w:eastAsia="Roboto" w:hAnsi="Roboto"/>
          <w:b/>
          <w:bCs/>
          <w:color w:val="404040"/>
          <w:sz w:val="22"/>
          <w:szCs w:val="22"/>
        </w:rPr>
        <w:t xml:space="preserve">Target metric: </w:t>
      </w:r>
      <w:r>
        <w:rPr>
          <w:rFonts w:ascii="Roboto" w:cs="Roboto" w:eastAsia="Roboto" w:hAnsi="Roboto"/>
          <w:color w:val="404040"/>
          <w:sz w:val="22"/>
          <w:szCs w:val="22"/>
        </w:rPr>
        <w:t xml:space="preserve">Self-reported reduction in months from "start evaluating" to "select vendor" among practitioners who downloaded and used the review vs. those who did not.</w:t>
      </w:r>
    </w:p>
    <w:p>
      <w:pPr>
        <w:spacing w:after="60"/>
      </w:pPr>
    </w:p>
    <w:p>
      <w:pPr>
        <w:pStyle w:val="Heading2"/>
      </w:pPr>
      <w:r>
        <w:t xml:space="preserve">KPI 2: Shortlisting Behavior</w:t>
      </w:r>
    </w:p>
    <w:p>
      <w:pPr>
        <w:spacing w:after="120"/>
      </w:pPr>
      <w:r>
        <w:rPr>
          <w:rFonts w:ascii="Roboto" w:cs="Roboto" w:eastAsia="Roboto" w:hAnsi="Roboto"/>
          <w:color w:val="404040"/>
          <w:sz w:val="22"/>
          <w:szCs w:val="22"/>
        </w:rPr>
        <w:t xml:space="preserve">This KPI measures whether the review shapes which solutions practitioners evaluate. The 2021 testimonial evidence is clear: practitioners used the review as a filter, not just a reference. If a platform was not in the review, some practitioners did not consider it at all.</w:t>
      </w:r>
    </w:p>
    <w:p>
      <w:pPr>
        <w:spacing w:after="120"/>
      </w:pPr>
      <w:r>
        <w:rPr>
          <w:rFonts w:ascii="Roboto" w:cs="Roboto" w:eastAsia="Roboto" w:hAnsi="Roboto"/>
          <w:b/>
          <w:bCs/>
          <w:color w:val="404040"/>
          <w:sz w:val="22"/>
          <w:szCs w:val="22"/>
        </w:rPr>
        <w:t xml:space="preserve">Target metric: </w:t>
      </w:r>
      <w:r>
        <w:rPr>
          <w:rFonts w:ascii="Roboto" w:cs="Roboto" w:eastAsia="Roboto" w:hAnsi="Roboto"/>
          <w:color w:val="404040"/>
          <w:sz w:val="22"/>
          <w:szCs w:val="22"/>
        </w:rPr>
        <w:t xml:space="preserve">Percentage of practitioners who report using the review to narrow their initial vendor list. Secondary metric: average number of solutions on the shortlist before vs. after consulting the review.</w:t>
      </w:r>
    </w:p>
    <w:p>
      <w:pPr>
        <w:spacing w:after="60"/>
      </w:pPr>
    </w:p>
    <w:p>
      <w:pPr>
        <w:pStyle w:val="Heading2"/>
      </w:pPr>
      <w:r>
        <w:t xml:space="preserve">KPI 3: Post-Switch Outcomes</w:t>
      </w:r>
    </w:p>
    <w:p>
      <w:pPr>
        <w:spacing w:after="120"/>
      </w:pPr>
      <w:r>
        <w:rPr>
          <w:rFonts w:ascii="Roboto" w:cs="Roboto" w:eastAsia="Roboto" w:hAnsi="Roboto"/>
          <w:color w:val="404040"/>
          <w:sz w:val="22"/>
          <w:szCs w:val="22"/>
        </w:rPr>
        <w:t xml:space="preserve">This KPI measures whether practitioners who used the review and subsequently switched platforms report better outcomes than those who switched without it. The 2021 data shows strong positive signals (63% satisfaction increase, 65% utilization increase), but does not yet isolate the review's contribution from other factors (new platform quality, organizational readiness, etc.).</w:t>
      </w:r>
    </w:p>
    <w:p>
      <w:pPr>
        <w:spacing w:after="120"/>
      </w:pPr>
      <w:r>
        <w:rPr>
          <w:rFonts w:ascii="Roboto" w:cs="Roboto" w:eastAsia="Roboto" w:hAnsi="Roboto"/>
          <w:b/>
          <w:bCs/>
          <w:color w:val="404040"/>
          <w:sz w:val="22"/>
          <w:szCs w:val="22"/>
        </w:rPr>
        <w:t xml:space="preserve">Target metric: </w:t>
      </w:r>
      <w:r>
        <w:rPr>
          <w:rFonts w:ascii="Roboto" w:cs="Roboto" w:eastAsia="Roboto" w:hAnsi="Roboto"/>
          <w:color w:val="404040"/>
          <w:sz w:val="22"/>
          <w:szCs w:val="22"/>
        </w:rPr>
        <w:t xml:space="preserve">Practitioner satisfaction and utilization change scores at 12+ months post-switch, segmented by review usage (used review to inform decision vs. did not).</w:t>
      </w:r>
    </w:p>
    <w:p>
      <w:pPr>
        <w:spacing w:after="60"/>
      </w:pPr>
    </w:p>
    <w:p>
      <w:pPr>
        <w:pStyle w:val="Heading2"/>
      </w:pPr>
      <w:r>
        <w:t xml:space="preserve">KPI 4: Solution Awareness &amp; Fit</w:t>
      </w:r>
    </w:p>
    <w:p>
      <w:pPr>
        <w:spacing w:after="120"/>
      </w:pPr>
      <w:r>
        <w:rPr>
          <w:rFonts w:ascii="Roboto" w:cs="Roboto" w:eastAsia="Roboto" w:hAnsi="Roboto"/>
          <w:color w:val="404040"/>
          <w:sz w:val="22"/>
          <w:szCs w:val="22"/>
        </w:rPr>
        <w:t xml:space="preserve">This KPI captures the review's most distinctive IMPACT mechanism: broadening the aperture of what practitioners know exists. Without the review, a practitioner in South America, Asia, or Africa may only encounter the two or three platforms with active sales presence in their region. The review surfaces solutions aligned to specific contexts (region, organizational capacity, sector needs, program maturity) that practitioners would not have found through standard channels.</w:t>
      </w:r>
    </w:p>
    <w:p>
      <w:pPr>
        <w:spacing w:after="120"/>
      </w:pPr>
      <w:r>
        <w:rPr>
          <w:rFonts w:ascii="Roboto" w:cs="Roboto" w:eastAsia="Roboto" w:hAnsi="Roboto"/>
          <w:b/>
          <w:bCs/>
          <w:color w:val="404040"/>
          <w:sz w:val="22"/>
          <w:szCs w:val="22"/>
        </w:rPr>
        <w:t xml:space="preserve">Target metric: </w:t>
      </w:r>
      <w:r>
        <w:rPr>
          <w:rFonts w:ascii="Roboto" w:cs="Roboto" w:eastAsia="Roboto" w:hAnsi="Roboto"/>
          <w:color w:val="404040"/>
          <w:sz w:val="22"/>
          <w:szCs w:val="22"/>
        </w:rPr>
        <w:t xml:space="preserve">Number of solutions the practitioner was previously unaware of that appeared on their evaluation list after consulting the review. Secondary metric: self-reported alignment score between the selected solution and the practitioner's organizational context (region, capacity, sector).</w:t>
      </w:r>
    </w:p>
    <w:p>
      <w:pPr>
        <w:spacing w:after="60"/>
      </w:pPr>
    </w:p>
    <w:p>
      <w:r>
        <w:br w:type="page"/>
      </w:r>
    </w:p>
    <w:p>
      <w:pPr>
        <w:pStyle w:val="Heading1"/>
      </w:pPr>
      <w:r>
        <w:t xml:space="preserve">Measurement Implementation</w:t>
      </w:r>
    </w:p>
    <w:p>
      <w:pPr>
        <w:pStyle w:val="Heading3"/>
      </w:pPr>
      <w:r>
        <w:t xml:space="preserve">Practitioner Follow-Up Survey</w:t>
      </w:r>
    </w:p>
    <w:p>
      <w:pPr>
        <w:spacing w:after="120"/>
      </w:pPr>
      <w:r>
        <w:rPr>
          <w:rFonts w:ascii="Roboto" w:cs="Roboto" w:eastAsia="Roboto" w:hAnsi="Roboto"/>
          <w:color w:val="404040"/>
          <w:sz w:val="22"/>
          <w:szCs w:val="22"/>
        </w:rPr>
        <w:t xml:space="preserve">All four IMPACT KPIs depend on a practitioner follow-up survey administered 6-12 months after download. This instrument does not yet exist. Its design is the most consequential remaining gap in the KPI framework (see Gap #3: Data Collection Methodology).</w:t>
      </w:r>
    </w:p>
    <w:p>
      <w:pPr>
        <w:spacing w:after="60"/>
      </w:pPr>
    </w:p>
    <w:p>
      <w:pPr>
        <w:spacing w:after="120"/>
      </w:pPr>
      <w:r>
        <w:rPr>
          <w:rFonts w:ascii="Roboto" w:cs="Roboto" w:eastAsia="Roboto" w:hAnsi="Roboto"/>
          <w:b/>
          <w:bCs/>
          <w:color w:val="404040"/>
          <w:sz w:val="22"/>
          <w:szCs w:val="22"/>
        </w:rPr>
        <w:t xml:space="preserve">Survey design requirements:</w:t>
      </w:r>
    </w:p>
    <w:p>
      <w:pPr>
        <w:pStyle w:val="ListParagraph"/>
        <w:numPr>
          <w:ilvl w:val="0"/>
          <w:numId w:val="2"/>
        </w:numPr>
        <w:spacing w:after="80"/>
      </w:pPr>
      <w:r>
        <w:rPr>
          <w:rFonts w:ascii="Roboto" w:cs="Roboto" w:eastAsia="Roboto" w:hAnsi="Roboto"/>
          <w:b/>
          <w:bCs/>
          <w:color w:val="404040"/>
          <w:sz w:val="22"/>
          <w:szCs w:val="22"/>
        </w:rPr>
        <w:t xml:space="preserve">Timing: </w:t>
      </w:r>
      <w:r>
        <w:rPr>
          <w:rFonts w:ascii="Roboto" w:cs="Roboto" w:eastAsia="Roboto" w:hAnsi="Roboto"/>
          <w:color w:val="404040"/>
          <w:sz w:val="22"/>
          <w:szCs w:val="22"/>
        </w:rPr>
        <w:t xml:space="preserve">Administered 6-12 months post-download (allows time for procurement action)</w:t>
      </w:r>
    </w:p>
    <w:p>
      <w:pPr>
        <w:pStyle w:val="ListParagraph"/>
        <w:numPr>
          <w:ilvl w:val="0"/>
          <w:numId w:val="2"/>
        </w:numPr>
        <w:spacing w:after="80"/>
      </w:pPr>
      <w:r>
        <w:rPr>
          <w:rFonts w:ascii="Roboto" w:cs="Roboto" w:eastAsia="Roboto" w:hAnsi="Roboto"/>
          <w:b/>
          <w:bCs/>
          <w:color w:val="404040"/>
          <w:sz w:val="22"/>
          <w:szCs w:val="22"/>
        </w:rPr>
        <w:t xml:space="preserve">Audience: </w:t>
      </w:r>
      <w:r>
        <w:rPr>
          <w:rFonts w:ascii="Roboto" w:cs="Roboto" w:eastAsia="Roboto" w:hAnsi="Roboto"/>
          <w:color w:val="404040"/>
          <w:sz w:val="22"/>
          <w:szCs w:val="22"/>
        </w:rPr>
        <w:t xml:space="preserve">All practitioners who downloaded the review and opted into follow-up</w:t>
      </w:r>
    </w:p>
    <w:p>
      <w:pPr>
        <w:pStyle w:val="ListParagraph"/>
        <w:numPr>
          <w:ilvl w:val="0"/>
          <w:numId w:val="2"/>
        </w:numPr>
        <w:spacing w:after="80"/>
      </w:pPr>
      <w:r>
        <w:rPr>
          <w:rFonts w:ascii="Roboto" w:cs="Roboto" w:eastAsia="Roboto" w:hAnsi="Roboto"/>
          <w:b/>
          <w:bCs/>
          <w:color w:val="404040"/>
          <w:sz w:val="22"/>
          <w:szCs w:val="22"/>
        </w:rPr>
        <w:t xml:space="preserve">Segmentation: </w:t>
      </w:r>
      <w:r>
        <w:rPr>
          <w:rFonts w:ascii="Roboto" w:cs="Roboto" w:eastAsia="Roboto" w:hAnsi="Roboto"/>
          <w:color w:val="404040"/>
          <w:sz w:val="22"/>
          <w:szCs w:val="22"/>
        </w:rPr>
        <w:t xml:space="preserve">By region, organization size, sector, and whether the practitioner was actively in procurement at time of download</w:t>
      </w:r>
    </w:p>
    <w:p>
      <w:pPr>
        <w:pStyle w:val="ListParagraph"/>
        <w:numPr>
          <w:ilvl w:val="0"/>
          <w:numId w:val="2"/>
        </w:numPr>
        <w:spacing w:after="80"/>
      </w:pPr>
      <w:r>
        <w:rPr>
          <w:rFonts w:ascii="Roboto" w:cs="Roboto" w:eastAsia="Roboto" w:hAnsi="Roboto"/>
          <w:b/>
          <w:bCs/>
          <w:color w:val="404040"/>
          <w:sz w:val="22"/>
          <w:szCs w:val="22"/>
        </w:rPr>
        <w:t xml:space="preserve">Control: </w:t>
      </w:r>
      <w:r>
        <w:rPr>
          <w:rFonts w:ascii="Roboto" w:cs="Roboto" w:eastAsia="Roboto" w:hAnsi="Roboto"/>
          <w:color w:val="404040"/>
          <w:sz w:val="22"/>
          <w:szCs w:val="22"/>
        </w:rPr>
        <w:t xml:space="preserve">Include questions that distinguish review influence from other factors (peer recommendations, vendor outreach, internal requirements)</w:t>
      </w:r>
    </w:p>
    <w:p>
      <w:pPr>
        <w:spacing w:after="60"/>
      </w:pPr>
    </w:p>
    <w:p>
      <w:pPr>
        <w:pStyle w:val="Heading3"/>
      </w:pPr>
      <w:r>
        <w:t xml:space="preserve">Integration with Existing INFLUENCE Metrics</w:t>
      </w:r>
    </w:p>
    <w:p>
      <w:pPr>
        <w:spacing w:after="120"/>
      </w:pPr>
      <w:r>
        <w:rPr>
          <w:rFonts w:ascii="Roboto" w:cs="Roboto" w:eastAsia="Roboto" w:hAnsi="Roboto"/>
          <w:color w:val="404040"/>
          <w:sz w:val="22"/>
          <w:szCs w:val="22"/>
        </w:rPr>
        <w:t xml:space="preserve">The IMPACT pathway does not replace INFLUENCE metrics. Both pathways are reported. INFLUENCE metrics (downloads, geographic reach, audience composition, vendor participation, NPS) continue to be collected at and after publication. IMPACT metrics layer on top, measuring what practitioners do with the knowledge the review provides.</w:t>
      </w:r>
    </w:p>
    <w:p>
      <w:pPr>
        <w:spacing w:after="60"/>
      </w:pPr>
    </w:p>
    <w:p>
      <w:pPr>
        <w:spacing w:after="120" w:before="120"/>
      </w:pPr>
      <w:r>
        <w:rPr>
          <w:rFonts w:ascii="Roboto" w:cs="Roboto" w:eastAsia="Roboto" w:hAnsi="Roboto"/>
          <w:b/>
          <w:bCs/>
          <w:color w:val="F05927"/>
          <w:sz w:val="22"/>
          <w:szCs w:val="22"/>
        </w:rPr>
        <w:t xml:space="preserve">The INFLUENCE-to-IMPACT bridge: The review's reach (INFLUENCE) creates the conditions for behavioral change (IMPACT). Solution Awareness &amp; Fit (KPI 4) is where this bridge is most visible.</w:t>
      </w:r>
    </w:p>
    <w:p>
      <w:pPr>
        <w:spacing w:after="60"/>
      </w:pPr>
    </w:p>
    <w:p>
      <w:pPr>
        <w:pStyle w:val="Heading1"/>
      </w:pPr>
      <w:r>
        <w:t xml:space="preserve">Remaining Gaps</w:t>
      </w:r>
    </w:p>
    <w:p>
      <w:pPr>
        <w:spacing w:after="120"/>
      </w:pPr>
      <w:r>
        <w:rPr>
          <w:rFonts w:ascii="Roboto" w:cs="Roboto" w:eastAsia="Roboto" w:hAnsi="Roboto"/>
          <w:color w:val="404040"/>
          <w:sz w:val="22"/>
          <w:szCs w:val="22"/>
        </w:rPr>
        <w:t xml:space="preserve">This decision resolves Gap #1 from the 2026 KPI Framework Mapping (Tech Review has no IMPACT pathway). Three gaps remain open:</w:t>
      </w:r>
    </w:p>
    <w:p>
      <w:pPr>
        <w:spacing w:after="60"/>
      </w:pPr>
    </w:p>
    <w:p>
      <w:pPr>
        <w:pStyle w:val="ListParagraph"/>
        <w:numPr>
          <w:ilvl w:val="0"/>
          <w:numId w:val="2"/>
        </w:numPr>
        <w:spacing w:after="80"/>
      </w:pPr>
      <w:r>
        <w:rPr>
          <w:rFonts w:ascii="Roboto" w:cs="Roboto" w:eastAsia="Roboto" w:hAnsi="Roboto"/>
          <w:b/>
          <w:bCs/>
          <w:color w:val="404040"/>
          <w:sz w:val="22"/>
          <w:szCs w:val="22"/>
        </w:rPr>
        <w:t xml:space="preserve">Gap #3: Data Collection Methodology </w:t>
      </w:r>
      <w:r>
        <w:rPr>
          <w:rFonts w:ascii="Roboto" w:cs="Roboto" w:eastAsia="Roboto" w:hAnsi="Roboto"/>
          <w:color w:val="404040"/>
          <w:sz w:val="22"/>
          <w:szCs w:val="22"/>
        </w:rPr>
        <w:t xml:space="preserve">(OPEN, most consequential). No measurement instruments defined for any Makerspace program. The practitioner follow-up survey required for Tech Review IMPACT KPIs is part of this gap.</w:t>
      </w:r>
    </w:p>
    <w:p>
      <w:pPr>
        <w:pStyle w:val="ListParagraph"/>
        <w:numPr>
          <w:ilvl w:val="0"/>
          <w:numId w:val="2"/>
        </w:numPr>
        <w:spacing w:after="80"/>
      </w:pPr>
      <w:r>
        <w:rPr>
          <w:rFonts w:ascii="Roboto" w:cs="Roboto" w:eastAsia="Roboto" w:hAnsi="Roboto"/>
          <w:b/>
          <w:bCs/>
          <w:color w:val="404040"/>
          <w:sz w:val="22"/>
          <w:szCs w:val="22"/>
        </w:rPr>
        <w:t xml:space="preserve">Gap #4: Salons and AI Magic Scoring </w:t>
      </w:r>
      <w:r>
        <w:rPr>
          <w:rFonts w:ascii="Roboto" w:cs="Roboto" w:eastAsia="Roboto" w:hAnsi="Roboto"/>
          <w:color w:val="404040"/>
          <w:sz w:val="22"/>
          <w:szCs w:val="22"/>
        </w:rPr>
        <w:t xml:space="preserve">(OPEN). Angela mentioned subjective quarterly questions would work, but specific questions not yet written.</w:t>
      </w:r>
    </w:p>
    <w:p>
      <w:pPr>
        <w:pStyle w:val="ListParagraph"/>
        <w:numPr>
          <w:ilvl w:val="0"/>
          <w:numId w:val="2"/>
        </w:numPr>
        <w:spacing w:after="80"/>
      </w:pPr>
      <w:r>
        <w:rPr>
          <w:rFonts w:ascii="Roboto" w:cs="Roboto" w:eastAsia="Roboto" w:hAnsi="Roboto"/>
          <w:b/>
          <w:bCs/>
          <w:color w:val="404040"/>
          <w:sz w:val="22"/>
          <w:szCs w:val="22"/>
        </w:rPr>
        <w:t xml:space="preserve">Gap #5: Paused Program Placeholders </w:t>
      </w:r>
      <w:r>
        <w:rPr>
          <w:rFonts w:ascii="Roboto" w:cs="Roboto" w:eastAsia="Roboto" w:hAnsi="Roboto"/>
          <w:color w:val="404040"/>
          <w:sz w:val="22"/>
          <w:szCs w:val="22"/>
        </w:rPr>
        <w:t xml:space="preserve">(OPEN). Standards &amp; Measures, HPPT, and Nudge Unit have no KPI placeholder for when they activate.</w:t>
      </w:r>
    </w:p>
    <w:p>
      <w:pPr>
        <w:spacing w:after="60"/>
      </w:pPr>
    </w:p>
    <w:p>
      <w:pPr>
        <w:spacing w:after="120"/>
      </w:pPr>
      <w:r>
        <w:rPr>
          <w:rFonts w:ascii="Roboto" w:cs="Roboto" w:eastAsia="Roboto" w:hAnsi="Roboto"/>
          <w:color w:val="404040"/>
          <w:sz w:val="22"/>
          <w:szCs w:val="22"/>
        </w:rPr>
        <w:t xml:space="preserve">Gap #2 (Revenue Attribution) was resolved earlier on March 28, 2026. See RWI-Revenue-Attribution-Methodology-v1.docx.</w:t>
      </w:r>
    </w:p>
    <w:p>
      <w:pPr>
        <w:spacing w:after="60"/>
      </w:pPr>
    </w:p>
    <w:p>
      <w:pPr>
        <w:pBdr>
          <w:top w:val="single" w:color="F05927" w:sz="6" w:space="1"/>
        </w:pBdr>
        <w:spacing w:before="400"/>
      </w:pPr>
    </w:p>
    <w:p>
      <w:pPr>
        <w:spacing w:after="60"/>
      </w:pPr>
    </w:p>
    <w:p>
      <w:pPr>
        <w:spacing w:after="120"/>
      </w:pPr>
      <w:r>
        <w:rPr>
          <w:rFonts w:ascii="Roboto" w:cs="Roboto" w:eastAsia="Roboto" w:hAnsi="Roboto"/>
          <w:b/>
          <w:bCs/>
          <w:color w:val="404040"/>
          <w:sz w:val="22"/>
          <w:szCs w:val="22"/>
        </w:rPr>
        <w:t xml:space="preserve">Document: </w:t>
      </w:r>
      <w:r>
        <w:rPr>
          <w:rFonts w:ascii="Roboto" w:cs="Roboto" w:eastAsia="Roboto" w:hAnsi="Roboto"/>
          <w:color w:val="404040"/>
          <w:sz w:val="22"/>
          <w:szCs w:val="22"/>
        </w:rPr>
        <w:t xml:space="preserve">RWI-TechReview-IMPACT-Pathway-v1</w:t>
      </w:r>
    </w:p>
    <w:p>
      <w:pPr>
        <w:spacing w:after="120"/>
      </w:pPr>
      <w:r>
        <w:rPr>
          <w:rFonts w:ascii="Roboto" w:cs="Roboto" w:eastAsia="Roboto" w:hAnsi="Roboto"/>
          <w:b/>
          <w:bCs/>
          <w:color w:val="404040"/>
          <w:sz w:val="22"/>
          <w:szCs w:val="22"/>
        </w:rPr>
        <w:t xml:space="preserve">Date: </w:t>
      </w:r>
      <w:r>
        <w:rPr>
          <w:rFonts w:ascii="Roboto" w:cs="Roboto" w:eastAsia="Roboto" w:hAnsi="Roboto"/>
          <w:color w:val="404040"/>
          <w:sz w:val="22"/>
          <w:szCs w:val="22"/>
        </w:rPr>
        <w:t xml:space="preserve">March 28, 2026</w:t>
      </w:r>
    </w:p>
    <w:p>
      <w:pPr>
        <w:spacing w:after="120"/>
      </w:pPr>
      <w:r>
        <w:rPr>
          <w:rFonts w:ascii="Roboto" w:cs="Roboto" w:eastAsia="Roboto" w:hAnsi="Roboto"/>
          <w:b/>
          <w:bCs/>
          <w:color w:val="404040"/>
          <w:sz w:val="22"/>
          <w:szCs w:val="22"/>
        </w:rPr>
        <w:t xml:space="preserve">Status: </w:t>
      </w:r>
      <w:r>
        <w:rPr>
          <w:rFonts w:ascii="Roboto" w:cs="Roboto" w:eastAsia="Roboto" w:hAnsi="Roboto"/>
          <w:color w:val="404040"/>
          <w:sz w:val="22"/>
          <w:szCs w:val="22"/>
        </w:rPr>
        <w:t xml:space="preserve">Decided</w:t>
      </w:r>
    </w:p>
    <w:p>
      <w:pPr>
        <w:spacing w:after="120"/>
      </w:pPr>
      <w:r>
        <w:rPr>
          <w:rFonts w:ascii="Roboto" w:cs="Roboto" w:eastAsia="Roboto" w:hAnsi="Roboto"/>
          <w:b/>
          <w:bCs/>
          <w:color w:val="404040"/>
          <w:sz w:val="22"/>
          <w:szCs w:val="22"/>
        </w:rPr>
        <w:t xml:space="preserve">Companion document: </w:t>
      </w:r>
      <w:r>
        <w:rPr>
          <w:rFonts w:ascii="Roboto" w:cs="Roboto" w:eastAsia="Roboto" w:hAnsi="Roboto"/>
          <w:color w:val="404040"/>
          <w:sz w:val="22"/>
          <w:szCs w:val="22"/>
        </w:rPr>
        <w:t xml:space="preserve">RWI-Revenue-Attribution-Methodology-v1.docx</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Roboto" w:cs="Roboto" w:eastAsia="Roboto" w:hAnsi="Roboto"/>
        <w:color w:val="404040"/>
        <w:sz w:val="16"/>
        <w:szCs w:val="16"/>
      </w:rPr>
      <w:t xml:space="preserve">RW Institute | Technology Review IMPACT Pathway | </w:t>
    </w:r>
    <w:r>
      <w:rPr>
        <w:rFonts w:ascii="Roboto" w:cs="Roboto" w:eastAsia="Roboto" w:hAnsi="Roboto"/>
        <w:color w:val="404040"/>
        <w:sz w:val="16"/>
        <w:szCs w:val="16"/>
      </w:rPr>
      <w:t xml:space="preserve">Page </w:t>
    </w:r>
    <w:r>
      <w:rPr>
        <w:rFonts w:ascii="Roboto" w:cs="Roboto" w:eastAsia="Roboto" w:hAnsi="Roboto"/>
        <w:color w:val="40404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drawing>
        <wp:inline distT="0" distB="0" distL="0" distR="0">
          <wp:extent cx="1028700" cy="276225"/>
          <wp:effectExtent t="0" r="0" b="0" l="0"/>
          <wp:docPr id="1" name="RW Logo" descr="Realized Worth Logo" title="RW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28700" cy="2762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Roboto" w:cs="Roboto" w:eastAsia="Roboto" w:hAnsi="Roboto"/>
      <w:b/>
      <w:bCs/>
      <w:color w:val="0A3454"/>
      <w:sz w:val="36"/>
      <w:szCs w:val="36"/>
    </w:rPr>
  </w:style>
  <w:style w:type="paragraph" w:styleId="Heading2">
    <w:name w:val="Heading 2"/>
    <w:basedOn w:val="Normal"/>
    <w:next w:val="Normal"/>
    <w:qFormat/>
    <w:pPr>
      <w:spacing w:after="160" w:before="280"/>
      <w:outlineLvl w:val="1"/>
    </w:pPr>
    <w:rPr>
      <w:rFonts w:ascii="Roboto" w:cs="Roboto" w:eastAsia="Roboto" w:hAnsi="Roboto"/>
      <w:b/>
      <w:bCs/>
      <w:color w:val="0A3454"/>
      <w:sz w:val="28"/>
      <w:szCs w:val="28"/>
    </w:rPr>
  </w:style>
  <w:style w:type="paragraph" w:styleId="Heading3">
    <w:name w:val="Heading 3"/>
    <w:basedOn w:val="Normal"/>
    <w:next w:val="Normal"/>
    <w:qFormat/>
    <w:pPr>
      <w:spacing w:after="120" w:before="200"/>
      <w:outlineLvl w:val="2"/>
    </w:pPr>
    <w:rPr>
      <w:rFonts w:ascii="Roboto" w:cs="Roboto" w:eastAsia="Roboto" w:hAnsi="Roboto"/>
      <w:b/>
      <w:bCs/>
      <w:color w:val="4491A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3a46715f4e6013bdf6ef583be2d92b6461f7796a.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2026-03-28T16:51:04.453Z</dcterms:created>
  <dcterms:modified xsi:type="dcterms:W3CDTF">2026-03-28T16:51:04.453Z</dcterms:modified>
</cp:coreProperties>
</file>

<file path=docProps/custom.xml><?xml version="1.0" encoding="utf-8"?>
<Properties xmlns="http://schemas.openxmlformats.org/officeDocument/2006/custom-properties" xmlns:vt="http://schemas.openxmlformats.org/officeDocument/2006/docPropsVTypes"/>
</file>