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rFonts w:ascii="Arial" w:cs="Arial" w:eastAsia="Arial" w:hAnsi="Arial"/>
          <w:b/>
          <w:bCs/>
          <w:color w:val="1A3A5C"/>
          <w:sz w:val="56"/>
          <w:szCs w:val="56"/>
        </w:rPr>
        <w:t xml:space="preserve">VENDRADAR</w:t>
      </w:r>
    </w:p>
    <w:p>
      <w:pPr>
        <w:spacing w:after="80"/>
        <w:jc w:val="center"/>
      </w:pPr>
      <w:r>
        <w:rPr>
          <w:rFonts w:ascii="Arial" w:cs="Arial" w:eastAsia="Arial" w:hAnsi="Arial"/>
          <w:color w:val="2E75B6"/>
          <w:sz w:val="36"/>
          <w:szCs w:val="36"/>
        </w:rPr>
        <w:t xml:space="preserve">Foot Traffic Aggregator Engine</w:t>
      </w:r>
    </w:p>
    <w:p>
      <w:pPr>
        <w:spacing w:after="600"/>
        <w:jc w:val="center"/>
      </w:pPr>
      <w:r>
        <w:rPr>
          <w:rFonts w:ascii="Arial" w:cs="Arial" w:eastAsia="Arial" w:hAnsi="Arial"/>
          <w:color w:val="4A5568"/>
          <w:sz w:val="24"/>
          <w:szCs w:val="24"/>
        </w:rPr>
        <w:t xml:space="preserve">Product Requirements Document v2.0</w:t>
      </w:r>
    </w:p>
    <w:p>
      <w:pPr>
        <w:pBdr>
          <w:bottom w:val="single" w:color="2E75B6" w:sz="6" w:space="1"/>
        </w:pBdr>
        <w:spacing w:before="200" w:after="200"/>
      </w:pPr>
    </w:p>
    <w:p>
      <w:pPr>
        <w:spacing w:after="120"/>
        <w:jc w:val="center"/>
      </w:pPr>
      <w:r>
        <w:rPr>
          <w:rFonts w:ascii="Arial" w:cs="Arial" w:eastAsia="Arial" w:hAnsi="Arial"/>
          <w:color w:val="4A5568"/>
          <w:sz w:val="24"/>
          <w:szCs w:val="24"/>
        </w:rPr>
        <w:t xml:space="preserve">Technical Review &amp; Revised Architecture</w:t>
      </w:r>
    </w:p>
    <w:p>
      <w:pPr>
        <w:spacing w:after="120"/>
        <w:jc w:val="center"/>
      </w:pPr>
      <w:r>
        <w:rPr>
          <w:rFonts w:ascii="Arial" w:cs="Arial" w:eastAsia="Arial" w:hAnsi="Arial"/>
          <w:color w:val="718096"/>
          <w:sz w:val="22"/>
          <w:szCs w:val="22"/>
        </w:rPr>
        <w:t xml:space="preserve">February 19, 2026</w:t>
      </w:r>
    </w:p>
    <w:p>
      <w:pPr>
        <w:spacing w:after="120"/>
        <w:jc w:val="center"/>
      </w:pPr>
      <w:r>
        <w:rPr>
          <w:rFonts w:ascii="Arial" w:cs="Arial" w:eastAsia="Arial" w:hAnsi="Arial"/>
          <w:color w:val="718096"/>
          <w:sz w:val="22"/>
          <w:szCs w:val="22"/>
        </w:rPr>
        <w:t xml:space="preserve">Authors: Chris Karlin (Claude · Cowork) | For: Pax (OpenClaw)</w:t>
      </w:r>
    </w:p>
    <w:p>
      <w:pPr>
        <w:spacing w:after="60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none" w:sz="0"/>
              <w:left w:val="none" w:sz="0"/>
              <w:bottom w:val="none" w:sz="0"/>
              <w:right w:val="none" w:sz="0"/>
            </w:tcBorders>
            <w:tcMar>
              <w:top w:type="dxa" w:w="60"/>
              <w:left w:type="dxa" w:w="120"/>
              <w:bottom w:type="dxa" w:w="60"/>
              <w:right w:type="dxa" w:w="120"/>
            </w:tcMar>
          </w:tcPr>
          <w:p>
            <w:r>
              <w:rPr>
                <w:rFonts w:ascii="Arial" w:cs="Arial" w:eastAsia="Arial" w:hAnsi="Arial"/>
                <w:b/>
                <w:bCs/>
                <w:color w:val="4A5568"/>
                <w:sz w:val="20"/>
                <w:szCs w:val="20"/>
              </w:rPr>
              <w:t xml:space="preserve">Status:</w:t>
            </w:r>
          </w:p>
        </w:tc>
        <w:tc>
          <w:tcPr>
            <w:tcW w:type="dxa" w:w="3600"/>
            <w:tcBorders>
              <w:top w:val="none" w:sz="0"/>
              <w:left w:val="none" w:sz="0"/>
              <w:bottom w:val="none" w:sz="0"/>
              <w:right w:val="none" w:sz="0"/>
            </w:tcBorders>
            <w:tcMar>
              <w:top w:type="dxa" w:w="60"/>
              <w:left w:type="dxa" w:w="120"/>
              <w:bottom w:type="dxa" w:w="60"/>
              <w:right w:type="dxa" w:w="120"/>
            </w:tcMar>
          </w:tcPr>
          <w:p>
            <w:r>
              <w:rPr>
                <w:rFonts w:ascii="Arial" w:cs="Arial" w:eastAsia="Arial" w:hAnsi="Arial"/>
                <w:b/>
                <w:bCs/>
                <w:color w:val="E65100"/>
                <w:sz w:val="20"/>
                <w:szCs w:val="20"/>
              </w:rPr>
              <w:t xml:space="preserve">REVIEW / PRE-BUILD</w:t>
            </w:r>
          </w:p>
        </w:tc>
      </w:tr>
      <w:tr>
        <w:tc>
          <w:tcPr>
            <w:tcW w:type="dxa" w:w="2400"/>
            <w:tcBorders>
              <w:top w:val="none" w:sz="0"/>
              <w:left w:val="none" w:sz="0"/>
              <w:bottom w:val="none" w:sz="0"/>
              <w:right w:val="none" w:sz="0"/>
            </w:tcBorders>
            <w:tcMar>
              <w:top w:type="dxa" w:w="60"/>
              <w:left w:type="dxa" w:w="120"/>
              <w:bottom w:type="dxa" w:w="60"/>
              <w:right w:type="dxa" w:w="120"/>
            </w:tcMar>
          </w:tcPr>
          <w:p>
            <w:r>
              <w:rPr>
                <w:rFonts w:ascii="Arial" w:cs="Arial" w:eastAsia="Arial" w:hAnsi="Arial"/>
                <w:b/>
                <w:bCs/>
                <w:color w:val="4A5568"/>
                <w:sz w:val="20"/>
                <w:szCs w:val="20"/>
              </w:rPr>
              <w:t xml:space="preserve">Priority:</w:t>
            </w:r>
          </w:p>
        </w:tc>
        <w:tc>
          <w:tcPr>
            <w:tcW w:type="dxa" w:w="3600"/>
            <w:tcBorders>
              <w:top w:val="none" w:sz="0"/>
              <w:left w:val="none" w:sz="0"/>
              <w:bottom w:val="none" w:sz="0"/>
              <w:right w:val="none" w:sz="0"/>
            </w:tcBorders>
            <w:tcMar>
              <w:top w:type="dxa" w:w="60"/>
              <w:left w:type="dxa" w:w="120"/>
              <w:bottom w:type="dxa" w:w="60"/>
              <w:right w:type="dxa" w:w="120"/>
            </w:tcMar>
          </w:tcPr>
          <w:p>
            <w:r>
              <w:rPr>
                <w:rFonts w:ascii="Arial" w:cs="Arial" w:eastAsia="Arial" w:hAnsi="Arial"/>
                <w:color w:val="1A1A1A"/>
                <w:sz w:val="20"/>
                <w:szCs w:val="20"/>
              </w:rPr>
              <w:t xml:space="preserve">HIGH — Core scoring engine</w:t>
            </w:r>
          </w:p>
        </w:tc>
      </w:tr>
      <w:tr>
        <w:tc>
          <w:tcPr>
            <w:tcW w:type="dxa" w:w="2400"/>
            <w:tcBorders>
              <w:top w:val="none" w:sz="0"/>
              <w:left w:val="none" w:sz="0"/>
              <w:bottom w:val="none" w:sz="0"/>
              <w:right w:val="none" w:sz="0"/>
            </w:tcBorders>
            <w:tcMar>
              <w:top w:type="dxa" w:w="60"/>
              <w:left w:type="dxa" w:w="120"/>
              <w:bottom w:type="dxa" w:w="60"/>
              <w:right w:type="dxa" w:w="120"/>
            </w:tcMar>
          </w:tcPr>
          <w:p>
            <w:r>
              <w:rPr>
                <w:rFonts w:ascii="Arial" w:cs="Arial" w:eastAsia="Arial" w:hAnsi="Arial"/>
                <w:b/>
                <w:bCs/>
                <w:color w:val="4A5568"/>
                <w:sz w:val="20"/>
                <w:szCs w:val="20"/>
              </w:rPr>
              <w:t xml:space="preserve">Affects:</w:t>
            </w:r>
          </w:p>
        </w:tc>
        <w:tc>
          <w:tcPr>
            <w:tcW w:type="dxa" w:w="3600"/>
            <w:tcBorders>
              <w:top w:val="none" w:sz="0"/>
              <w:left w:val="none" w:sz="0"/>
              <w:bottom w:val="none" w:sz="0"/>
              <w:right w:val="none" w:sz="0"/>
            </w:tcBorders>
            <w:tcMar>
              <w:top w:type="dxa" w:w="60"/>
              <w:left w:type="dxa" w:w="120"/>
              <w:bottom w:type="dxa" w:w="60"/>
              <w:right w:type="dxa" w:w="120"/>
            </w:tcMar>
          </w:tcPr>
          <w:p>
            <w:r>
              <w:rPr>
                <w:rFonts w:ascii="Arial" w:cs="Arial" w:eastAsia="Arial" w:hAnsi="Arial"/>
                <w:color w:val="1A1A1A"/>
                <w:sz w:val="20"/>
                <w:szCs w:val="20"/>
              </w:rPr>
              <w:t xml:space="preserve">scoring.ts, types.ts, /api/search, new modules</w:t>
            </w:r>
          </w:p>
        </w:tc>
      </w:tr>
    </w:tbl>
    <w:p>
      <w:pPr>
        <w:sectPr>
          <w:pgSz w:w="12240" w:h="15840" w:orient="portrait"/>
          <w:pgMar w:top="1440" w:right="1440" w:bottom="1440" w:left="1440" w:header="708" w:footer="708" w:gutter="0"/>
          <w:pgNumType/>
          <w:docGrid w:linePitch="360"/>
        </w:sectPr>
      </w:pPr>
    </w:p>
    <w:p>
      <w:pPr>
        <w:pStyle w:val="Heading1"/>
        <w:spacing w:before="360" w:after="120"/>
      </w:pPr>
      <w:r>
        <w:rPr>
          <w:rFonts w:ascii="Arial" w:cs="Arial" w:eastAsia="Arial" w:hAnsi="Arial"/>
          <w:b/>
          <w:bCs/>
          <w:color w:val="1A3A5C"/>
          <w:sz w:val="32"/>
          <w:szCs w:val="32"/>
        </w:rPr>
        <w:t xml:space="preserve">1. Executive Summary</w:t>
      </w:r>
    </w:p>
    <w:p>
      <w:pPr>
        <w:spacing w:after="160"/>
      </w:pPr>
      <w:r>
        <w:rPr>
          <w:rFonts w:ascii="Arial" w:cs="Arial" w:eastAsia="Arial" w:hAnsi="Arial"/>
          <w:color w:val="1A1A1A"/>
          <w:sz w:val="22"/>
          <w:szCs w:val="22"/>
        </w:rPr>
        <w:t xml:space="preserve">This document is a technical review of the foot traffic aggregator architecture proposed for VendRadar, plus a revised build plan with additional data source recommendations. It is intended to be read before any code is written.</w:t>
      </w:r>
    </w:p>
    <w:p>
      <w:pPr>
        <w:spacing w:after="160"/>
      </w:pPr>
      <w:r>
        <w:rPr>
          <w:rFonts w:ascii="Arial" w:cs="Arial" w:eastAsia="Arial" w:hAnsi="Arial"/>
          <w:color w:val="1A1A1A"/>
          <w:sz w:val="22"/>
          <w:szCs w:val="22"/>
        </w:rPr>
        <w:t xml:space="preserve">The original spec (from Pax’s prompt) proposes building a multi-source foot traffic aggregation engine that pulls from Google Popular Times, Google Places, Yelp, OpenStreetMap, and Foursquare to produce a composite foot traffic score (0–100) with confidence levels and daily visit estimates.</w:t>
      </w:r>
    </w:p>
    <w:p>
      <w:pPr>
        <w:spacing w:after="160"/>
      </w:pPr>
      <w:r>
        <w:rPr>
          <w:rFonts w:ascii="Arial" w:cs="Arial" w:eastAsia="Arial" w:hAnsi="Arial"/>
          <w:color w:val="1A1A1A"/>
          <w:sz w:val="22"/>
          <w:szCs w:val="22"/>
        </w:rPr>
        <w:t xml:space="preserve"/>
      </w:r>
      <w:r>
        <w:rPr>
          <w:rFonts w:ascii="Arial" w:cs="Arial" w:eastAsia="Arial" w:hAnsi="Arial"/>
          <w:b/>
          <w:bCs/>
          <w:color w:val="1A1A1A"/>
          <w:sz w:val="22"/>
          <w:szCs w:val="22"/>
        </w:rPr>
        <w:t xml:space="preserve">The architecture is sound. Several implementation choices need revision.</w:t>
      </w:r>
      <w:r>
        <w:rPr>
          <w:rFonts w:ascii="Arial" w:cs="Arial" w:eastAsia="Arial" w:hAnsi="Arial"/>
          <w:color w:val="1A1A1A"/>
          <w:sz w:val="22"/>
          <w:szCs w:val="22"/>
        </w:rPr>
        <w:t xml:space="preserve"> This document covers what’s solid, what will break in production, and what we should build instead.</w:t>
      </w:r>
    </w:p>
    <w:p>
      <w:pPr>
        <w:pBdr>
          <w:bottom w:val="single" w:color="2E75B6" w:sz="6" w:space="1"/>
        </w:pBdr>
        <w:spacing w:before="200" w:after="200"/>
      </w:pPr>
    </w:p>
    <w:p>
      <w:pPr>
        <w:pStyle w:val="Heading1"/>
        <w:spacing w:before="360" w:after="120"/>
      </w:pPr>
      <w:r>
        <w:rPr>
          <w:rFonts w:ascii="Arial" w:cs="Arial" w:eastAsia="Arial" w:hAnsi="Arial"/>
          <w:b/>
          <w:bCs/>
          <w:color w:val="1A3A5C"/>
          <w:sz w:val="32"/>
          <w:szCs w:val="32"/>
        </w:rPr>
        <w:t xml:space="preserve">2. What’s Solid in the Current Spec</w:t>
      </w:r>
    </w:p>
    <w:p>
      <w:pPr>
        <w:spacing w:after="160"/>
      </w:pPr>
      <w:r>
        <w:rPr>
          <w:rFonts w:ascii="Arial" w:cs="Arial" w:eastAsia="Arial" w:hAnsi="Arial"/>
          <w:color w:val="1A1A1A"/>
          <w:sz w:val="22"/>
          <w:szCs w:val="22"/>
        </w:rPr>
        <w:t xml:space="preserve">These parts of the original spec are well-designed and should be kept as-is:</w:t>
      </w:r>
    </w:p>
    <w:p>
      <w:pPr>
        <w:pStyle w:val="ListParagraph"/>
        <w:numPr>
          <w:ilvl w:val="0"/>
          <w:numId w:val="2"/>
        </w:numPr>
        <w:spacing w:after="80"/>
      </w:pPr>
      <w:r>
        <w:rPr>
          <w:rFonts w:ascii="Arial" w:cs="Arial" w:eastAsia="Arial" w:hAnsi="Arial"/>
          <w:color w:val="1A1A1A"/>
          <w:sz w:val="22"/>
          <w:szCs w:val="22"/>
        </w:rPr>
        <w:t xml:space="preserve"/>
      </w:r>
      <w:r>
        <w:rPr>
          <w:rFonts w:ascii="Arial" w:cs="Arial" w:eastAsia="Arial" w:hAnsi="Arial"/>
          <w:b/>
          <w:bCs/>
          <w:color w:val="1A1A1A"/>
          <w:sz w:val="22"/>
          <w:szCs w:val="22"/>
        </w:rPr>
        <w:t xml:space="preserve">Type definitions</w:t>
      </w:r>
      <w:r>
        <w:rPr>
          <w:rFonts w:ascii="Arial" w:cs="Arial" w:eastAsia="Arial" w:hAnsi="Arial"/>
          <w:color w:val="1A1A1A"/>
          <w:sz w:val="22"/>
          <w:szCs w:val="22"/>
        </w:rPr>
        <w:t xml:space="preserve"> — The AggregatedFootTraffic and SignalResult interfaces are clean and extensible. The output shape is exactly right for the UI.</w:t>
      </w:r>
    </w:p>
    <w:p>
      <w:pPr>
        <w:pStyle w:val="ListParagraph"/>
        <w:numPr>
          <w:ilvl w:val="0"/>
          <w:numId w:val="2"/>
        </w:numPr>
        <w:spacing w:after="80"/>
      </w:pPr>
      <w:r>
        <w:rPr>
          <w:rFonts w:ascii="Arial" w:cs="Arial" w:eastAsia="Arial" w:hAnsi="Arial"/>
          <w:color w:val="1A1A1A"/>
          <w:sz w:val="22"/>
          <w:szCs w:val="22"/>
        </w:rPr>
        <w:t xml:space="preserve"/>
      </w:r>
      <w:r>
        <w:rPr>
          <w:rFonts w:ascii="Arial" w:cs="Arial" w:eastAsia="Arial" w:hAnsi="Arial"/>
          <w:b/>
          <w:bCs/>
          <w:color w:val="1A1A1A"/>
          <w:sz w:val="22"/>
          <w:szCs w:val="22"/>
        </w:rPr>
        <w:t xml:space="preserve">Category-specific weights</w:t>
      </w:r>
      <w:r>
        <w:rPr>
          <w:rFonts w:ascii="Arial" w:cs="Arial" w:eastAsia="Arial" w:hAnsi="Arial"/>
          <w:color w:val="1A1A1A"/>
          <w:sz w:val="22"/>
          <w:szCs w:val="22"/>
        </w:rPr>
        <w:t xml:space="preserve"> — Different vending categories legitimately need different signal priorities. Transit hubs care about Popular Times 40%, offices care about OSM density 20%. This is real domain insight.</w:t>
      </w:r>
    </w:p>
    <w:p>
      <w:pPr>
        <w:pStyle w:val="ListParagraph"/>
        <w:numPr>
          <w:ilvl w:val="0"/>
          <w:numId w:val="2"/>
        </w:numPr>
        <w:spacing w:after="80"/>
      </w:pPr>
      <w:r>
        <w:rPr>
          <w:rFonts w:ascii="Arial" w:cs="Arial" w:eastAsia="Arial" w:hAnsi="Arial"/>
          <w:color w:val="1A1A1A"/>
          <w:sz w:val="22"/>
          <w:szCs w:val="22"/>
        </w:rPr>
        <w:t xml:space="preserve"/>
      </w:r>
      <w:r>
        <w:rPr>
          <w:rFonts w:ascii="Arial" w:cs="Arial" w:eastAsia="Arial" w:hAnsi="Arial"/>
          <w:b/>
          <w:bCs/>
          <w:color w:val="1A1A1A"/>
          <w:sz w:val="22"/>
          <w:szCs w:val="22"/>
        </w:rPr>
        <w:t xml:space="preserve">Graceful degradation strategy</w:t>
      </w:r>
      <w:r>
        <w:rPr>
          <w:rFonts w:ascii="Arial" w:cs="Arial" w:eastAsia="Arial" w:hAnsi="Arial"/>
          <w:color w:val="1A1A1A"/>
          <w:sz w:val="22"/>
          <w:szCs w:val="22"/>
        </w:rPr>
        <w:t xml:space="preserve"> — Skip failed sources, don’t crash. Use Promise.allSettled for parallel fetching. This is the correct pattern for multi-source aggregation.</w:t>
      </w:r>
    </w:p>
    <w:p>
      <w:pPr>
        <w:pStyle w:val="ListParagraph"/>
        <w:numPr>
          <w:ilvl w:val="0"/>
          <w:numId w:val="2"/>
        </w:numPr>
        <w:spacing w:after="80"/>
      </w:pPr>
      <w:r>
        <w:rPr>
          <w:rFonts w:ascii="Arial" w:cs="Arial" w:eastAsia="Arial" w:hAnsi="Arial"/>
          <w:color w:val="1A1A1A"/>
          <w:sz w:val="22"/>
          <w:szCs w:val="22"/>
        </w:rPr>
        <w:t xml:space="preserve"/>
      </w:r>
      <w:r>
        <w:rPr>
          <w:rFonts w:ascii="Arial" w:cs="Arial" w:eastAsia="Arial" w:hAnsi="Arial"/>
          <w:b/>
          <w:bCs/>
          <w:color w:val="1A1A1A"/>
          <w:sz w:val="22"/>
          <w:szCs w:val="22"/>
        </w:rPr>
        <w:t xml:space="preserve">Confidence scoring model</w:t>
      </w:r>
      <w:r>
        <w:rPr>
          <w:rFonts w:ascii="Arial" w:cs="Arial" w:eastAsia="Arial" w:hAnsi="Arial"/>
          <w:color w:val="1A1A1A"/>
          <w:sz w:val="22"/>
          <w:szCs w:val="22"/>
        </w:rPr>
        <w:t xml:space="preserve"> — HIGH/MEDIUM/LOW based on signal availability is the right abstraction for operators who need to know how much to trust a score.</w:t>
      </w:r>
    </w:p>
    <w:p>
      <w:pPr>
        <w:pStyle w:val="ListParagraph"/>
        <w:numPr>
          <w:ilvl w:val="0"/>
          <w:numId w:val="2"/>
        </w:numPr>
        <w:spacing w:after="80"/>
      </w:pPr>
      <w:r>
        <w:rPr>
          <w:rFonts w:ascii="Arial" w:cs="Arial" w:eastAsia="Arial" w:hAnsi="Arial"/>
          <w:color w:val="1A1A1A"/>
          <w:sz w:val="22"/>
          <w:szCs w:val="22"/>
        </w:rPr>
        <w:t xml:space="preserve"/>
      </w:r>
      <w:r>
        <w:rPr>
          <w:rFonts w:ascii="Arial" w:cs="Arial" w:eastAsia="Arial" w:hAnsi="Arial"/>
          <w:b/>
          <w:bCs/>
          <w:color w:val="1A1A1A"/>
          <w:sz w:val="22"/>
          <w:szCs w:val="22"/>
        </w:rPr>
        <w:t xml:space="preserve">Insights generator</w:t>
      </w:r>
      <w:r>
        <w:rPr>
          <w:rFonts w:ascii="Arial" w:cs="Arial" w:eastAsia="Arial" w:hAnsi="Arial"/>
          <w:color w:val="1A1A1A"/>
          <w:sz w:val="22"/>
          <w:szCs w:val="22"/>
        </w:rPr>
        <w:t xml:space="preserve"> — Helping/hurting breakdown gives operators actionable context, not just a number.</w:t>
      </w:r>
    </w:p>
    <w:p>
      <w:pPr>
        <w:pStyle w:val="ListParagraph"/>
        <w:numPr>
          <w:ilvl w:val="0"/>
          <w:numId w:val="2"/>
        </w:numPr>
        <w:spacing w:after="80"/>
      </w:pPr>
      <w:r>
        <w:rPr>
          <w:rFonts w:ascii="Arial" w:cs="Arial" w:eastAsia="Arial" w:hAnsi="Arial"/>
          <w:color w:val="1A1A1A"/>
          <w:sz w:val="22"/>
          <w:szCs w:val="22"/>
        </w:rPr>
        <w:t xml:space="preserve"/>
      </w:r>
      <w:r>
        <w:rPr>
          <w:rFonts w:ascii="Arial" w:cs="Arial" w:eastAsia="Arial" w:hAnsi="Arial"/>
          <w:b/>
          <w:bCs/>
          <w:color w:val="1A1A1A"/>
          <w:sz w:val="22"/>
          <w:szCs w:val="22"/>
        </w:rPr>
        <w:t xml:space="preserve">Existing codebase quality</w:t>
      </w:r>
      <w:r>
        <w:rPr>
          <w:rFonts w:ascii="Arial" w:cs="Arial" w:eastAsia="Arial" w:hAnsi="Arial"/>
          <w:color w:val="1A1A1A"/>
          <w:sz w:val="22"/>
          <w:szCs w:val="22"/>
        </w:rPr>
        <w:t xml:space="preserve"> — The current scoring.ts, types.ts, and data-provider.ts are well-organized. The API route properly handles Census + Google Places with fallbacks.</w:t>
      </w:r>
    </w:p>
    <w:p>
      <w:pPr>
        <w:pBdr>
          <w:bottom w:val="single" w:color="2E75B6" w:sz="6" w:space="1"/>
        </w:pBdr>
        <w:spacing w:before="200" w:after="200"/>
      </w:pPr>
    </w:p>
    <w:p>
      <w:pPr>
        <w:pStyle w:val="Heading1"/>
        <w:spacing w:before="360" w:after="120"/>
      </w:pPr>
      <w:r>
        <w:rPr>
          <w:rFonts w:ascii="Arial" w:cs="Arial" w:eastAsia="Arial" w:hAnsi="Arial"/>
          <w:b/>
          <w:bCs/>
          <w:color w:val="1A3A5C"/>
          <w:sz w:val="32"/>
          <w:szCs w:val="32"/>
        </w:rPr>
        <w:t xml:space="preserve">3. Critical Issues That Need Fixing</w:t>
      </w:r>
    </w:p>
    <w:p>
      <w:pPr>
        <w:spacing w:after="80"/>
      </w:pPr>
    </w:p>
    <w:p>
      <w:pPr>
        <w:pStyle w:val="Heading2"/>
        <w:spacing w:before="240" w:after="120"/>
      </w:pPr>
      <w:r>
        <w:rPr>
          <w:rFonts w:ascii="Arial" w:cs="Arial" w:eastAsia="Arial" w:hAnsi="Arial"/>
          <w:b/>
          <w:bCs/>
          <w:color w:val="1A3A5C"/>
          <w:sz w:val="26"/>
          <w:szCs w:val="26"/>
        </w:rPr>
        <w:t xml:space="preserve">3.1 Google Popular Times Scraping on Vercel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C62828" w:sz="12"/>
              <w:bottom w:val="none" w:sz="0"/>
              <w:right w:val="none" w:sz="0"/>
            </w:tcBorders>
            <w:shd w:fill="F0F4F8" w:val="clear"/>
            <w:tcMar>
              <w:top w:type="dxa" w:w="120"/>
              <w:left w:type="dxa" w:w="200"/>
              <w:bottom w:type="dxa" w:w="120"/>
              <w:right w:type="dxa" w:w="200"/>
            </w:tcMar>
          </w:tcPr>
          <w:p>
            <w:pPr>
              <w:spacing w:after="80"/>
            </w:pPr>
            <w:r>
              <w:rPr>
                <w:rFonts w:ascii="Arial" w:cs="Arial" w:eastAsia="Arial" w:hAnsi="Arial"/>
                <w:b/>
                <w:bCs/>
                <w:color w:val="C62828"/>
                <w:sz w:val="22"/>
                <w:szCs w:val="22"/>
              </w:rPr>
              <w:t xml:space="preserve">BLOCKING ISSUE</w:t>
            </w:r>
          </w:p>
          <w:p>
            <w:pPr>
              <w:spacing w:after="160"/>
            </w:pPr>
            <w:r>
              <w:rPr>
                <w:rFonts w:ascii="Arial" w:cs="Arial" w:eastAsia="Arial" w:hAnsi="Arial"/>
                <w:color w:val="1A1A1A"/>
                <w:sz w:val="22"/>
                <w:szCs w:val="22"/>
              </w:rPr>
              <w:t xml:space="preserve">The spec proposes Puppeteer with @sparticuz/chromium or the Python populartimes package. Both are problematic on Vercel and should not be built as specified.</w:t>
            </w:r>
          </w:p>
        </w:tc>
      </w:tr>
    </w:tbl>
    <w:p>
      <w:pPr>
        <w:spacing w:after="80"/>
      </w:pPr>
    </w:p>
    <w:p>
      <w:pPr>
        <w:spacing w:after="160"/>
      </w:pPr>
      <w:r>
        <w:rPr>
          <w:rFonts w:ascii="Arial" w:cs="Arial" w:eastAsia="Arial" w:hAnsi="Arial"/>
          <w:color w:val="1A1A1A"/>
          <w:sz w:val="22"/>
          <w:szCs w:val="22"/>
        </w:rPr>
        <w:t xml:space="preserve"/>
      </w:r>
      <w:r>
        <w:rPr>
          <w:rFonts w:ascii="Arial" w:cs="Arial" w:eastAsia="Arial" w:hAnsi="Arial"/>
          <w:b/>
          <w:bCs/>
          <w:color w:val="1A1A1A"/>
          <w:sz w:val="22"/>
          <w:szCs w:val="22"/>
        </w:rPr>
        <w:t xml:space="preserve">Problem 1: Python populartimes package.</w:t>
      </w:r>
      <w:r>
        <w:rPr>
          <w:rFonts w:ascii="Arial" w:cs="Arial" w:eastAsia="Arial" w:hAnsi="Arial"/>
          <w:color w:val="1A1A1A"/>
          <w:sz w:val="22"/>
          <w:szCs w:val="22"/>
        </w:rPr>
        <w:t xml:space="preserve"> This package hasn’t been maintained in years. It scrapes Google Maps HTML, which Google changes frequently — it breaks constantly. Running a Python child process from a Next.js serverless function on Vercel is also messy and requires a Python runtime layer.</w:t>
      </w:r>
    </w:p>
    <w:p>
      <w:pPr>
        <w:spacing w:after="160"/>
      </w:pPr>
      <w:r>
        <w:rPr>
          <w:rFonts w:ascii="Arial" w:cs="Arial" w:eastAsia="Arial" w:hAnsi="Arial"/>
          <w:color w:val="1A1A1A"/>
          <w:sz w:val="22"/>
          <w:szCs w:val="22"/>
        </w:rPr>
        <w:t xml:space="preserve"/>
      </w:r>
      <w:r>
        <w:rPr>
          <w:rFonts w:ascii="Arial" w:cs="Arial" w:eastAsia="Arial" w:hAnsi="Arial"/>
          <w:b/>
          <w:bCs/>
          <w:color w:val="1A1A1A"/>
          <w:sz w:val="22"/>
          <w:szCs w:val="22"/>
        </w:rPr>
        <w:t xml:space="preserve">Problem 2: Puppeteer on Vercel.</w:t>
      </w:r>
      <w:r>
        <w:rPr>
          <w:rFonts w:ascii="Arial" w:cs="Arial" w:eastAsia="Arial" w:hAnsi="Arial"/>
          <w:color w:val="1A1A1A"/>
          <w:sz w:val="22"/>
          <w:szCs w:val="22"/>
        </w:rPr>
        <w:t xml:space="preserve"> Vercel serverless functions have a 50MB package size limit, and chromium alone is ~45MB compressed. You’ll also hit Vercel’s 10-second default timeout (extendable to 60s on Pro, 300s on Enterprise). Google actively fights scraping with CAPTCHAs and dynamic rendering.</w:t>
      </w:r>
    </w:p>
    <w:p>
      <w:pPr>
        <w:spacing w:after="160"/>
      </w:pPr>
      <w:r>
        <w:rPr>
          <w:rFonts w:ascii="Arial" w:cs="Arial" w:eastAsia="Arial" w:hAnsi="Arial"/>
          <w:color w:val="1A1A1A"/>
          <w:sz w:val="22"/>
          <w:szCs w:val="22"/>
        </w:rPr>
        <w:t xml:space="preserve"/>
      </w:r>
      <w:r>
        <w:rPr>
          <w:rFonts w:ascii="Arial" w:cs="Arial" w:eastAsia="Arial" w:hAnsi="Arial"/>
          <w:b/>
          <w:bCs/>
          <w:color w:val="1A1A1A"/>
          <w:sz w:val="22"/>
          <w:szCs w:val="22"/>
        </w:rPr>
        <w:t xml:space="preserve">Problem 3: In-memory caching is useless on serverless.</w:t>
      </w:r>
      <w:r>
        <w:rPr>
          <w:rFonts w:ascii="Arial" w:cs="Arial" w:eastAsia="Arial" w:hAnsi="Arial"/>
          <w:color w:val="1A1A1A"/>
          <w:sz w:val="22"/>
          <w:szCs w:val="22"/>
        </w:rPr>
        <w:t xml:space="preserve"> The spec suggests node-cache with 7-day TTL, but each Vercel invocation may hit a different container. Each cold start gets a fresh, empty cache.</w:t>
      </w:r>
    </w:p>
    <w:p>
      <w:pPr>
        <w:spacing w:after="80"/>
      </w:pPr>
    </w:p>
    <w:p>
      <w:pPr>
        <w:spacing w:after="160"/>
      </w:pPr>
      <w:r>
        <w:rPr>
          <w:rFonts w:ascii="Arial" w:cs="Arial" w:eastAsia="Arial" w:hAnsi="Arial"/>
          <w:color w:val="1A1A1A"/>
          <w:sz w:val="22"/>
          <w:szCs w:val="22"/>
        </w:rPr>
        <w:t xml:space="preserve"/>
      </w:r>
      <w:r>
        <w:rPr>
          <w:rFonts w:ascii="Arial" w:cs="Arial" w:eastAsia="Arial" w:hAnsi="Arial"/>
          <w:b/>
          <w:bCs/>
          <w:color w:val="1A1A1A"/>
          <w:sz w:val="22"/>
          <w:szCs w:val="22"/>
        </w:rPr>
        <w:t xml:space="preserve">Recommended approach:</w:t>
      </w:r>
      <w:r>
        <w:rPr>
          <w:rFonts w:ascii="Arial" w:cs="Arial" w:eastAsia="Arial" w:hAnsi="Arial"/>
          <w:color w:val="1A1A1A"/>
          <w:sz w:val="22"/>
          <w:szCs w:val="22"/>
        </w:rPr>
        <w:t xml:space="preserve"> Skip Popular Times scraping entirely for V1. Use the Google Places data already being collected (review counts + rating) as the primary engagement proxy. If Popular Times is critical, use BestTime.app ($9/month Basic tier, provides the same hourly busyness 0–100 data via REST API) or set up a separate scraping microservice on Railway/Fly.io where you can run a persistent process. Do not fight the Vercel serverless model with Puppeteer.</w:t>
      </w:r>
    </w:p>
    <w:p>
      <w:pPr>
        <w:spacing w:after="120"/>
      </w:pPr>
    </w:p>
    <w:p>
      <w:pPr>
        <w:pStyle w:val="Heading2"/>
        <w:spacing w:before="240" w:after="120"/>
      </w:pPr>
      <w:r>
        <w:rPr>
          <w:rFonts w:ascii="Arial" w:cs="Arial" w:eastAsia="Arial" w:hAnsi="Arial"/>
          <w:b/>
          <w:bCs/>
          <w:color w:val="1A3A5C"/>
          <w:sz w:val="26"/>
          <w:szCs w:val="26"/>
        </w:rPr>
        <w:t xml:space="preserve">3.2 Yelp Rate Limit Math</w:t>
      </w:r>
    </w:p>
    <w:p>
      <w:pPr>
        <w:spacing w:after="160"/>
      </w:pPr>
      <w:r>
        <w:rPr>
          <w:rFonts w:ascii="Arial" w:cs="Arial" w:eastAsia="Arial" w:hAnsi="Arial"/>
          <w:color w:val="1A1A1A"/>
          <w:sz w:val="22"/>
          <w:szCs w:val="22"/>
        </w:rPr>
        <w:t xml:space="preserve">The spec notes Yelp’s free tier is 500 requests/day. But each VendRadar search queries multiple locations across multiple categories. If a user searches “Austin, TX” with 3 categories and gets 6 results each, that’s 18 Yelp API calls for one search. You’ll burn through 500 in under 30 searches per day.</w:t>
      </w:r>
    </w:p>
    <w:p>
      <w:pPr>
        <w:spacing w:after="160"/>
      </w:pPr>
      <w:r>
        <w:rPr>
          <w:rFonts w:ascii="Arial" w:cs="Arial" w:eastAsia="Arial" w:hAnsi="Arial"/>
          <w:color w:val="1A1A1A"/>
          <w:sz w:val="22"/>
          <w:szCs w:val="22"/>
        </w:rPr>
        <w:t xml:space="preserve"/>
      </w:r>
      <w:r>
        <w:rPr>
          <w:rFonts w:ascii="Arial" w:cs="Arial" w:eastAsia="Arial" w:hAnsi="Arial"/>
          <w:b/>
          <w:bCs/>
          <w:color w:val="1A1A1A"/>
          <w:sz w:val="22"/>
          <w:szCs w:val="22"/>
        </w:rPr>
        <w:t xml:space="preserve">Fix:</w:t>
      </w:r>
      <w:r>
        <w:rPr>
          <w:rFonts w:ascii="Arial" w:cs="Arial" w:eastAsia="Arial" w:hAnsi="Arial"/>
          <w:color w:val="1A1A1A"/>
          <w:sz w:val="22"/>
          <w:szCs w:val="22"/>
        </w:rPr>
        <w:t xml:space="preserve"> Use Yelp’s Business Match endpoint (/v3/businesses/matches) instead of Business Search — it’s more precise and returns a single match per call. Implement a daily request counter. After 400 calls, gracefully skip Yelp for the rest of the day. Cache Yelp results for 24–48 hours since review counts don’t change hourly.</w:t>
      </w:r>
    </w:p>
    <w:p>
      <w:pPr>
        <w:spacing w:after="120"/>
      </w:pPr>
    </w:p>
    <w:p>
      <w:pPr>
        <w:pStyle w:val="Heading2"/>
        <w:spacing w:before="240" w:after="120"/>
      </w:pPr>
      <w:r>
        <w:rPr>
          <w:rFonts w:ascii="Arial" w:cs="Arial" w:eastAsia="Arial" w:hAnsi="Arial"/>
          <w:b/>
          <w:bCs/>
          <w:color w:val="1A3A5C"/>
          <w:sz w:val="26"/>
          <w:szCs w:val="26"/>
        </w:rPr>
        <w:t xml:space="preserve">3.3 Foursquare at 50 Requests/Day Is Not Worth It</w:t>
      </w:r>
    </w:p>
    <w:p>
      <w:pPr>
        <w:spacing w:after="160"/>
      </w:pPr>
      <w:r>
        <w:rPr>
          <w:rFonts w:ascii="Arial" w:cs="Arial" w:eastAsia="Arial" w:hAnsi="Arial"/>
          <w:color w:val="1A1A1A"/>
          <w:sz w:val="22"/>
          <w:szCs w:val="22"/>
        </w:rPr>
        <w:t xml:space="preserve">At 50 requests/day, you’ll exhaust the Foursquare quota after 2–3 searches. The weight it carries (10–15%) means even a perfect Foursquare signal only moves the composite score by ~10 points at most. The engineering effort and API key management don’t justify the marginal signal improvement.</w:t>
      </w:r>
    </w:p>
    <w:p>
      <w:pPr>
        <w:spacing w:after="160"/>
      </w:pPr>
      <w:r>
        <w:rPr>
          <w:rFonts w:ascii="Arial" w:cs="Arial" w:eastAsia="Arial" w:hAnsi="Arial"/>
          <w:color w:val="1A1A1A"/>
          <w:sz w:val="22"/>
          <w:szCs w:val="22"/>
        </w:rPr>
        <w:t xml:space="preserve"/>
      </w:r>
      <w:r>
        <w:rPr>
          <w:rFonts w:ascii="Arial" w:cs="Arial" w:eastAsia="Arial" w:hAnsi="Arial"/>
          <w:b/>
          <w:bCs/>
          <w:color w:val="1A1A1A"/>
          <w:sz w:val="22"/>
          <w:szCs w:val="22"/>
        </w:rPr>
        <w:t xml:space="preserve">Fix:</w:t>
      </w:r>
      <w:r>
        <w:rPr>
          <w:rFonts w:ascii="Arial" w:cs="Arial" w:eastAsia="Arial" w:hAnsi="Arial"/>
          <w:color w:val="1A1A1A"/>
          <w:sz w:val="22"/>
          <w:szCs w:val="22"/>
        </w:rPr>
        <w:t xml:space="preserve"> Drop Foursquare from V1 entirely. Redistribute its weight across the remaining sources. Add it later when you have budget for a paid tier or need more signal fidelity.</w:t>
      </w:r>
    </w:p>
    <w:p>
      <w:pPr>
        <w:spacing w:after="120"/>
      </w:pPr>
    </w:p>
    <w:p>
      <w:pPr>
        <w:pStyle w:val="Heading2"/>
        <w:spacing w:before="240" w:after="120"/>
      </w:pPr>
      <w:r>
        <w:rPr>
          <w:rFonts w:ascii="Arial" w:cs="Arial" w:eastAsia="Arial" w:hAnsi="Arial"/>
          <w:b/>
          <w:bCs/>
          <w:color w:val="1A3A5C"/>
          <w:sz w:val="26"/>
          <w:szCs w:val="26"/>
        </w:rPr>
        <w:t xml:space="preserve">3.4 Caching Strategy Must Be Vercel-Aware</w:t>
      </w:r>
    </w:p>
    <w:p>
      <w:pPr>
        <w:spacing w:after="160"/>
      </w:pPr>
      <w:r>
        <w:rPr>
          <w:rFonts w:ascii="Arial" w:cs="Arial" w:eastAsia="Arial" w:hAnsi="Arial"/>
          <w:color w:val="1A1A1A"/>
          <w:sz w:val="22"/>
          <w:szCs w:val="22"/>
        </w:rPr>
        <w:t xml:space="preserve">In-memory caches (node-cache, Map objects) are useless beyond a single serverless invocation on Vercel — each request might hit a different container.</w:t>
      </w:r>
    </w:p>
    <w:p>
      <w:pPr>
        <w:spacing w:after="160"/>
      </w:pPr>
      <w:r>
        <w:rPr>
          <w:rFonts w:ascii="Arial" w:cs="Arial" w:eastAsia="Arial" w:hAnsi="Arial"/>
          <w:color w:val="1A1A1A"/>
          <w:sz w:val="22"/>
          <w:szCs w:val="22"/>
        </w:rPr>
        <w:t xml:space="preserve"/>
      </w:r>
      <w:r>
        <w:rPr>
          <w:rFonts w:ascii="Arial" w:cs="Arial" w:eastAsia="Arial" w:hAnsi="Arial"/>
          <w:b/>
          <w:bCs/>
          <w:color w:val="1A1A1A"/>
          <w:sz w:val="22"/>
          <w:szCs w:val="22"/>
        </w:rPr>
        <w:t xml:space="preserve">Fix:</w:t>
      </w:r>
      <w:r>
        <w:rPr>
          <w:rFonts w:ascii="Arial" w:cs="Arial" w:eastAsia="Arial" w:hAnsi="Arial"/>
          <w:color w:val="1A1A1A"/>
          <w:sz w:val="22"/>
          <w:szCs w:val="22"/>
        </w:rPr>
        <w:t xml:space="preserve"> Use Vercel KV (Redis) if budget allows (free tier: 3,000 requests/day, 256MB storage). Otherwise, use Next.js fetch() with revalidate for CDN-level caching, or the /tmp filesystem as a crude per-container cache (accepting cache misses on cold starts).</w:t>
      </w:r>
    </w:p>
    <w:p>
      <w:pPr>
        <w:spacing w:after="120"/>
      </w:pPr>
    </w:p>
    <w:p>
      <w:pPr>
        <w:pStyle w:val="Heading2"/>
        <w:spacing w:before="240" w:after="120"/>
      </w:pPr>
      <w:r>
        <w:rPr>
          <w:rFonts w:ascii="Arial" w:cs="Arial" w:eastAsia="Arial" w:hAnsi="Arial"/>
          <w:b/>
          <w:bCs/>
          <w:color w:val="1A3A5C"/>
          <w:sz w:val="26"/>
          <w:szCs w:val="26"/>
        </w:rPr>
        <w:t xml:space="preserve">3.5 Missing Per-Source Timeouts</w:t>
      </w:r>
    </w:p>
    <w:p>
      <w:pPr>
        <w:spacing w:after="160"/>
      </w:pPr>
      <w:r>
        <w:rPr>
          <w:rFonts w:ascii="Arial" w:cs="Arial" w:eastAsia="Arial" w:hAnsi="Arial"/>
          <w:color w:val="1A1A1A"/>
          <w:sz w:val="22"/>
          <w:szCs w:val="22"/>
        </w:rPr>
        <w:t xml:space="preserve">The spec correctly says to use Promise.allSettled for parallelization, but doesn’t mention per-source timeouts. If the Overpass API takes 8 seconds, the whole response waits 8 seconds even though every other source responded in 500ms.</w:t>
      </w:r>
    </w:p>
    <w:p>
      <w:pPr>
        <w:spacing w:after="160"/>
      </w:pPr>
      <w:r>
        <w:rPr>
          <w:rFonts w:ascii="Arial" w:cs="Arial" w:eastAsia="Arial" w:hAnsi="Arial"/>
          <w:color w:val="1A1A1A"/>
          <w:sz w:val="22"/>
          <w:szCs w:val="22"/>
        </w:rPr>
        <w:t xml:space="preserve"/>
      </w:r>
      <w:r>
        <w:rPr>
          <w:rFonts w:ascii="Arial" w:cs="Arial" w:eastAsia="Arial" w:hAnsi="Arial"/>
          <w:b/>
          <w:bCs/>
          <w:color w:val="1A1A1A"/>
          <w:sz w:val="22"/>
          <w:szCs w:val="22"/>
        </w:rPr>
        <w:t xml:space="preserve">Fix:</w:t>
      </w:r>
      <w:r>
        <w:rPr>
          <w:rFonts w:ascii="Arial" w:cs="Arial" w:eastAsia="Arial" w:hAnsi="Arial"/>
          <w:color w:val="1A1A1A"/>
          <w:sz w:val="22"/>
          <w:szCs w:val="22"/>
        </w:rPr>
        <w:t xml:space="preserve"> Wrap each source fetch with Promise.race([fetchSource(), timeout(2000)]). If a source times out, treat it as a failure — skip it and reduce confidence. This guarantees the aggregate endpoint responds within 3 seconds.</w:t>
      </w:r>
    </w:p>
    <w:p>
      <w:pPr>
        <w:spacing w:after="120"/>
      </w:pPr>
    </w:p>
    <w:p>
      <w:pPr>
        <w:pStyle w:val="Heading2"/>
        <w:spacing w:before="240" w:after="120"/>
      </w:pPr>
      <w:r>
        <w:rPr>
          <w:rFonts w:ascii="Arial" w:cs="Arial" w:eastAsia="Arial" w:hAnsi="Arial"/>
          <w:b/>
          <w:bCs/>
          <w:color w:val="1A3A5C"/>
          <w:sz w:val="26"/>
          <w:szCs w:val="26"/>
        </w:rPr>
        <w:t xml:space="preserve">3.6 The buildingType Score Is Still a Census Heuristic</w:t>
      </w:r>
    </w:p>
    <w:p>
      <w:pPr>
        <w:spacing w:after="160"/>
      </w:pPr>
      <w:r>
        <w:rPr>
          <w:rFonts w:ascii="Arial" w:cs="Arial" w:eastAsia="Arial" w:hAnsi="Arial"/>
          <w:color w:val="1A1A1A"/>
          <w:sz w:val="22"/>
          <w:szCs w:val="22"/>
        </w:rPr>
        <w:t xml:space="preserve">The existing scoring.ts has a TODO comment saying “Replace with Google Places API types field.” The aggregator spec doesn’t address this. Since the aggregator already pulls Google Places data and OpenStreetMap data, this is the perfect time to fix buildingType scoring using real building classification data instead of Census-derived guesswork.</w:t>
      </w:r>
    </w:p>
    <w:p>
      <w:pPr>
        <w:spacing w:after="160"/>
      </w:pPr>
      <w:r>
        <w:rPr>
          <w:rFonts w:ascii="Arial" w:cs="Arial" w:eastAsia="Arial" w:hAnsi="Arial"/>
          <w:color w:val="1A1A1A"/>
          <w:sz w:val="22"/>
          <w:szCs w:val="22"/>
        </w:rPr>
        <w:t xml:space="preserve"/>
      </w:r>
      <w:r>
        <w:rPr>
          <w:rFonts w:ascii="Arial" w:cs="Arial" w:eastAsia="Arial" w:hAnsi="Arial"/>
          <w:b/>
          <w:bCs/>
          <w:color w:val="1A1A1A"/>
          <w:sz w:val="22"/>
          <w:szCs w:val="22"/>
        </w:rPr>
        <w:t xml:space="preserve">Fix:</w:t>
      </w:r>
      <w:r>
        <w:rPr>
          <w:rFonts w:ascii="Arial" w:cs="Arial" w:eastAsia="Arial" w:hAnsi="Arial"/>
          <w:color w:val="1A1A1A"/>
          <w:sz w:val="22"/>
          <w:szCs w:val="22"/>
        </w:rPr>
        <w:t xml:space="preserve"> Create a building-type-classifier.ts that uses Google Places types[] array + OSM building tags to produce a real buildingType score. Keep estimateBuildingTypeFit() as the fallback when Places/OSM data is unavailable.</w:t>
      </w:r>
    </w:p>
    <w:p>
      <w:pPr>
        <w:spacing w:after="120"/>
      </w:pPr>
    </w:p>
    <w:p>
      <w:pPr>
        <w:pStyle w:val="Heading2"/>
        <w:spacing w:before="240" w:after="120"/>
      </w:pPr>
      <w:r>
        <w:rPr>
          <w:rFonts w:ascii="Arial" w:cs="Arial" w:eastAsia="Arial" w:hAnsi="Arial"/>
          <w:b/>
          <w:bCs/>
          <w:color w:val="1A3A5C"/>
          <w:sz w:val="26"/>
          <w:szCs w:val="26"/>
        </w:rPr>
        <w:t xml:space="preserve">3.7 Overpass API Guardrails</w:t>
      </w:r>
    </w:p>
    <w:p>
      <w:pPr>
        <w:spacing w:after="160"/>
      </w:pPr>
      <w:r>
        <w:rPr>
          <w:rFonts w:ascii="Arial" w:cs="Arial" w:eastAsia="Arial" w:hAnsi="Arial"/>
          <w:color w:val="1A1A1A"/>
          <w:sz w:val="22"/>
          <w:szCs w:val="22"/>
        </w:rPr>
        <w:t xml:space="preserve">The spec says “Find all POIs within 500m” without complexity limits. In dense urban areas (Manhattan, downtown Chicago), this can return thousands of results and take 10+ seconds. The Overpass API has informal rate limits and will throttle you.</w:t>
      </w:r>
    </w:p>
    <w:p>
      <w:pPr>
        <w:spacing w:after="160"/>
      </w:pPr>
      <w:r>
        <w:rPr>
          <w:rFonts w:ascii="Arial" w:cs="Arial" w:eastAsia="Arial" w:hAnsi="Arial"/>
          <w:color w:val="1A1A1A"/>
          <w:sz w:val="22"/>
          <w:szCs w:val="22"/>
        </w:rPr>
        <w:t xml:space="preserve"/>
      </w:r>
      <w:r>
        <w:rPr>
          <w:rFonts w:ascii="Arial" w:cs="Arial" w:eastAsia="Arial" w:hAnsi="Arial"/>
          <w:b/>
          <w:bCs/>
          <w:color w:val="1A1A1A"/>
          <w:sz w:val="22"/>
          <w:szCs w:val="22"/>
        </w:rPr>
        <w:t xml:space="preserve">Fix:</w:t>
      </w:r>
      <w:r>
        <w:rPr>
          <w:rFonts w:ascii="Arial" w:cs="Arial" w:eastAsia="Arial" w:hAnsi="Arial"/>
          <w:color w:val="1A1A1A"/>
          <w:sz w:val="22"/>
          <w:szCs w:val="22"/>
        </w:rPr>
        <w:t xml:space="preserve"> Cap Overpass queries to return at most 200 results (use [out:json][timeout:5]). Reduce the radius to 300m in high-density areas. Cache OSM results for 30 days — POI data changes very slowly.</w:t>
      </w:r>
    </w:p>
    <w:p>
      <w:pPr>
        <w:pBdr>
          <w:bottom w:val="single" w:color="2E75B6" w:sz="6" w:space="1"/>
        </w:pBdr>
        <w:spacing w:before="200" w:after="200"/>
      </w:pPr>
    </w:p>
    <w:p>
      <w:pPr>
        <w:pStyle w:val="Heading1"/>
        <w:spacing w:before="360" w:after="120"/>
      </w:pPr>
      <w:r>
        <w:rPr>
          <w:rFonts w:ascii="Arial" w:cs="Arial" w:eastAsia="Arial" w:hAnsi="Arial"/>
          <w:b/>
          <w:bCs/>
          <w:color w:val="1A3A5C"/>
          <w:sz w:val="32"/>
          <w:szCs w:val="32"/>
        </w:rPr>
        <w:t xml:space="preserve">4. Additional Data Sources to Consider</w:t>
      </w:r>
    </w:p>
    <w:p>
      <w:pPr>
        <w:spacing w:after="160"/>
      </w:pPr>
      <w:r>
        <w:rPr>
          <w:rFonts w:ascii="Arial" w:cs="Arial" w:eastAsia="Arial" w:hAnsi="Arial"/>
          <w:color w:val="1A1A1A"/>
          <w:sz w:val="22"/>
          <w:szCs w:val="22"/>
        </w:rPr>
        <w:t xml:space="preserve">Beyond the original spec’s five sources, there are several high-value free data sources that would meaningfully improve the aggregator’s accuracy. Here are my recommendations in priority order:</w:t>
      </w:r>
    </w:p>
    <w:p>
      <w:pPr>
        <w:spacing w:after="80"/>
      </w:pPr>
    </w:p>
    <w:p>
      <w:pPr>
        <w:pStyle w:val="Heading2"/>
        <w:spacing w:before="240" w:after="120"/>
      </w:pPr>
      <w:r>
        <w:rPr>
          <w:rFonts w:ascii="Arial" w:cs="Arial" w:eastAsia="Arial" w:hAnsi="Arial"/>
          <w:b/>
          <w:bCs/>
          <w:color w:val="1A3A5C"/>
          <w:sz w:val="26"/>
          <w:szCs w:val="26"/>
        </w:rPr>
        <w:t xml:space="preserve">4.1 Walk Score API (FREE tier available)</w:t>
      </w:r>
    </w:p>
    <w:p>
      <w:pPr>
        <w:spacing w:after="160"/>
      </w:pPr>
      <w:r>
        <w:rPr>
          <w:rFonts w:ascii="Arial" w:cs="Arial" w:eastAsia="Arial" w:hAnsi="Arial"/>
          <w:color w:val="1A1A1A"/>
          <w:sz w:val="22"/>
          <w:szCs w:val="22"/>
        </w:rPr>
        <w:t xml:space="preserve">Walk Score returns a walkability score (0–100), Transit Score, and Bike Score for any US/Canada address. It’s calculated by analyzing hundreds of walking routes to nearby amenities, weighted by distance. Research published in the NIH confirms Walk Score significantly correlates with pedestrian density, street connectivity, and access to transit — all direct proxies for foot traffic.</w:t>
      </w:r>
    </w:p>
    <w:p>
      <w:pPr>
        <w:spacing w:after="160"/>
      </w:pPr>
      <w:r>
        <w:rPr>
          <w:rFonts w:ascii="Arial" w:cs="Arial" w:eastAsia="Arial" w:hAnsi="Arial"/>
          <w:color w:val="1A1A1A"/>
          <w:sz w:val="22"/>
          <w:szCs w:val="22"/>
        </w:rPr>
        <w:t xml:space="preserve"/>
      </w:r>
      <w:r>
        <w:rPr>
          <w:rFonts w:ascii="Arial" w:cs="Arial" w:eastAsia="Arial" w:hAnsi="Arial"/>
          <w:b/>
          <w:bCs/>
          <w:color w:val="1A1A1A"/>
          <w:sz w:val="22"/>
          <w:szCs w:val="22"/>
        </w:rPr>
        <w:t xml:space="preserve">What it gives us:</w:t>
      </w:r>
      <w:r>
        <w:rPr>
          <w:rFonts w:ascii="Arial" w:cs="Arial" w:eastAsia="Arial" w:hAnsi="Arial"/>
          <w:color w:val="1A1A1A"/>
          <w:sz w:val="22"/>
          <w:szCs w:val="22"/>
        </w:rPr>
        <w:t xml:space="preserve"> A single 0–100 walkability score that synthesizes amenity density, street connectivity, and transit access into one number — essentially a pre-built foot traffic proxy.</w:t>
      </w:r>
    </w:p>
    <w:p>
      <w:pPr>
        <w:spacing w:after="160"/>
      </w:pPr>
      <w:r>
        <w:rPr>
          <w:rFonts w:ascii="Arial" w:cs="Arial" w:eastAsia="Arial" w:hAnsi="Arial"/>
          <w:color w:val="1A1A1A"/>
          <w:sz w:val="22"/>
          <w:szCs w:val="22"/>
        </w:rPr>
        <w:t xml:space="preserve"/>
      </w:r>
      <w:r>
        <w:rPr>
          <w:rFonts w:ascii="Arial" w:cs="Arial" w:eastAsia="Arial" w:hAnsi="Arial"/>
          <w:b/>
          <w:bCs/>
          <w:color w:val="1A1A1A"/>
          <w:sz w:val="22"/>
          <w:szCs w:val="22"/>
        </w:rPr>
        <w:t xml:space="preserve">Why it’s valuable for VendRadar:</w:t>
      </w:r>
      <w:r>
        <w:rPr>
          <w:rFonts w:ascii="Arial" w:cs="Arial" w:eastAsia="Arial" w:hAnsi="Arial"/>
          <w:color w:val="1A1A1A"/>
          <w:sz w:val="22"/>
          <w:szCs w:val="22"/>
        </w:rPr>
        <w:t xml:space="preserve"> High Walk Score locations have more pedestrians. For vending categories like transit hubs, hotels, and apartments, Walk Score is arguably a better foot traffic proxy than Google review counts. For categories like manufacturing and hospitals, it matters less.</w:t>
      </w:r>
    </w:p>
    <w:p>
      <w:pPr>
        <w:spacing w:after="160"/>
      </w:pPr>
      <w:r>
        <w:rPr>
          <w:rFonts w:ascii="Arial" w:cs="Arial" w:eastAsia="Arial" w:hAnsi="Arial"/>
          <w:color w:val="1A1A1A"/>
          <w:sz w:val="22"/>
          <w:szCs w:val="22"/>
        </w:rPr>
        <w:t xml:space="preserve"/>
      </w:r>
      <w:r>
        <w:rPr>
          <w:rFonts w:ascii="Arial" w:cs="Arial" w:eastAsia="Arial" w:hAnsi="Arial"/>
          <w:b/>
          <w:bCs/>
          <w:color w:val="1A1A1A"/>
          <w:sz w:val="22"/>
          <w:szCs w:val="22"/>
        </w:rPr>
        <w:t xml:space="preserve">Integration:</w:t>
      </w:r>
      <w:r>
        <w:rPr>
          <w:rFonts w:ascii="Arial" w:cs="Arial" w:eastAsia="Arial" w:hAnsi="Arial"/>
          <w:color w:val="1A1A1A"/>
          <w:sz w:val="22"/>
          <w:szCs w:val="22"/>
        </w:rPr>
        <w:t xml:space="preserve"> Single GET request per address. Returns immediately. Free tier with API key.</w:t>
      </w:r>
    </w:p>
    <w:p>
      <w:pPr>
        <w:spacing w:after="160"/>
      </w:pPr>
      <w:r>
        <w:rPr>
          <w:rFonts w:ascii="Arial" w:cs="Arial" w:eastAsia="Arial" w:hAnsi="Arial"/>
          <w:color w:val="1A1A1A"/>
          <w:sz w:val="22"/>
          <w:szCs w:val="22"/>
        </w:rPr>
        <w:t xml:space="preserve"/>
      </w:r>
      <w:r>
        <w:rPr>
          <w:rFonts w:ascii="Arial" w:cs="Arial" w:eastAsia="Arial" w:hAnsi="Arial"/>
          <w:b/>
          <w:bCs/>
          <w:color w:val="1A1A1A"/>
          <w:sz w:val="22"/>
          <w:szCs w:val="22"/>
        </w:rPr>
        <w:t xml:space="preserve">Recommended weight: 10–20%</w:t>
      </w:r>
      <w:r>
        <w:rPr>
          <w:rFonts w:ascii="Arial" w:cs="Arial" w:eastAsia="Arial" w:hAnsi="Arial"/>
          <w:color w:val="1A1A1A"/>
          <w:sz w:val="22"/>
          <w:szCs w:val="22"/>
        </w:rPr>
        <w:t xml:space="preserve"> depending on category (high for transit/hotel/apartment, low for manufacturing/hospital).</w:t>
      </w:r>
    </w:p>
    <w:p>
      <w:pPr>
        <w:spacing w:after="80"/>
      </w:pPr>
    </w:p>
    <w:p>
      <w:pPr>
        <w:pStyle w:val="Heading2"/>
        <w:spacing w:before="240" w:after="120"/>
      </w:pPr>
      <w:r>
        <w:rPr>
          <w:rFonts w:ascii="Arial" w:cs="Arial" w:eastAsia="Arial" w:hAnsi="Arial"/>
          <w:b/>
          <w:bCs/>
          <w:color w:val="1A3A5C"/>
          <w:sz w:val="26"/>
          <w:szCs w:val="26"/>
        </w:rPr>
        <w:t xml:space="preserve">4.2 Census LEHD/LODES Employment Data (FREE)</w:t>
      </w:r>
    </w:p>
    <w:p>
      <w:pPr>
        <w:spacing w:after="160"/>
      </w:pPr>
      <w:r>
        <w:rPr>
          <w:rFonts w:ascii="Arial" w:cs="Arial" w:eastAsia="Arial" w:hAnsi="Arial"/>
          <w:color w:val="1A1A1A"/>
          <w:sz w:val="22"/>
          <w:szCs w:val="22"/>
        </w:rPr>
        <w:t xml:space="preserve">The Longitudinal Employer-Household Dynamics (LEHD) Origin-Destination Employment Statistics dataset provides the number of jobs located in each census block, where workers live, and where they commute to. This is the only source of fine-grained workplace density data for the entire US, and it’s completely free.</w:t>
      </w:r>
    </w:p>
    <w:p>
      <w:pPr>
        <w:spacing w:after="160"/>
      </w:pPr>
      <w:r>
        <w:rPr>
          <w:rFonts w:ascii="Arial" w:cs="Arial" w:eastAsia="Arial" w:hAnsi="Arial"/>
          <w:color w:val="1A1A1A"/>
          <w:sz w:val="22"/>
          <w:szCs w:val="22"/>
        </w:rPr>
        <w:t xml:space="preserve"/>
      </w:r>
      <w:r>
        <w:rPr>
          <w:rFonts w:ascii="Arial" w:cs="Arial" w:eastAsia="Arial" w:hAnsi="Arial"/>
          <w:b/>
          <w:bCs/>
          <w:color w:val="1A1A1A"/>
          <w:sz w:val="22"/>
          <w:szCs w:val="22"/>
        </w:rPr>
        <w:t xml:space="preserve">What it gives us:</w:t>
      </w:r>
      <w:r>
        <w:rPr>
          <w:rFonts w:ascii="Arial" w:cs="Arial" w:eastAsia="Arial" w:hAnsi="Arial"/>
          <w:color w:val="1A1A1A"/>
          <w:sz w:val="22"/>
          <w:szCs w:val="22"/>
        </w:rPr>
        <w:t xml:space="preserve"> Workplace Area Characteristics (WAC) data tells us how many people work in a given census block. For office buildings, manufacturing plants, and hospitals, this is the most direct measure of “how many humans are here during work hours.”</w:t>
      </w:r>
    </w:p>
    <w:p>
      <w:pPr>
        <w:spacing w:after="160"/>
      </w:pPr>
      <w:r>
        <w:rPr>
          <w:rFonts w:ascii="Arial" w:cs="Arial" w:eastAsia="Arial" w:hAnsi="Arial"/>
          <w:color w:val="1A1A1A"/>
          <w:sz w:val="22"/>
          <w:szCs w:val="22"/>
        </w:rPr>
        <w:t xml:space="preserve"/>
      </w:r>
      <w:r>
        <w:rPr>
          <w:rFonts w:ascii="Arial" w:cs="Arial" w:eastAsia="Arial" w:hAnsi="Arial"/>
          <w:b/>
          <w:bCs/>
          <w:color w:val="1A1A1A"/>
          <w:sz w:val="22"/>
          <w:szCs w:val="22"/>
        </w:rPr>
        <w:t xml:space="preserve">Why it’s valuable for VendRadar:</w:t>
      </w:r>
      <w:r>
        <w:rPr>
          <w:rFonts w:ascii="Arial" w:cs="Arial" w:eastAsia="Arial" w:hAnsi="Arial"/>
          <w:color w:val="1A1A1A"/>
          <w:sz w:val="22"/>
          <w:szCs w:val="22"/>
        </w:rPr>
        <w:t xml:space="preserve"> The current system uses Census population data, but population measures where people live, not where they work. A downtown census tract might have 2,000 residents but 50,000 workers. LEHD captures the workers. This is a huge signal for office, manufacturing, and hospital categories.</w:t>
      </w:r>
    </w:p>
    <w:p>
      <w:pPr>
        <w:spacing w:after="160"/>
      </w:pPr>
      <w:r>
        <w:rPr>
          <w:rFonts w:ascii="Arial" w:cs="Arial" w:eastAsia="Arial" w:hAnsi="Arial"/>
          <w:color w:val="1A1A1A"/>
          <w:sz w:val="22"/>
          <w:szCs w:val="22"/>
        </w:rPr>
        <w:t xml:space="preserve"/>
      </w:r>
      <w:r>
        <w:rPr>
          <w:rFonts w:ascii="Arial" w:cs="Arial" w:eastAsia="Arial" w:hAnsi="Arial"/>
          <w:b/>
          <w:bCs/>
          <w:color w:val="1A1A1A"/>
          <w:sz w:val="22"/>
          <w:szCs w:val="22"/>
        </w:rPr>
        <w:t xml:space="preserve">Integration:</w:t>
      </w:r>
      <w:r>
        <w:rPr>
          <w:rFonts w:ascii="Arial" w:cs="Arial" w:eastAsia="Arial" w:hAnsi="Arial"/>
          <w:color w:val="1A1A1A"/>
          <w:sz w:val="22"/>
          <w:szCs w:val="22"/>
        </w:rPr>
        <w:t xml:space="preserve"> Static CSV files downloadable from the Census Bureau (lehd.ces.census.gov/data/lodes/). Can be pre-processed and indexed by census block/tract. No API rate limits. Update annually.</w:t>
      </w:r>
    </w:p>
    <w:p>
      <w:pPr>
        <w:spacing w:after="160"/>
      </w:pPr>
      <w:r>
        <w:rPr>
          <w:rFonts w:ascii="Arial" w:cs="Arial" w:eastAsia="Arial" w:hAnsi="Arial"/>
          <w:color w:val="1A1A1A"/>
          <w:sz w:val="22"/>
          <w:szCs w:val="22"/>
        </w:rPr>
        <w:t xml:space="preserve"/>
      </w:r>
      <w:r>
        <w:rPr>
          <w:rFonts w:ascii="Arial" w:cs="Arial" w:eastAsia="Arial" w:hAnsi="Arial"/>
          <w:b/>
          <w:bCs/>
          <w:color w:val="1A1A1A"/>
          <w:sz w:val="22"/>
          <w:szCs w:val="22"/>
        </w:rPr>
        <w:t xml:space="preserve">Recommended weight: 15–25%</w:t>
      </w:r>
      <w:r>
        <w:rPr>
          <w:rFonts w:ascii="Arial" w:cs="Arial" w:eastAsia="Arial" w:hAnsi="Arial"/>
          <w:color w:val="1A1A1A"/>
          <w:sz w:val="22"/>
          <w:szCs w:val="22"/>
        </w:rPr>
        <w:t xml:space="preserve"> for work-destination categories (office, manufacturing, hospital), 0–5% for residential categories (apartment).</w:t>
      </w:r>
    </w:p>
    <w:p>
      <w:pPr>
        <w:spacing w:after="80"/>
      </w:pPr>
    </w:p>
    <w:p>
      <w:pPr>
        <w:pStyle w:val="Heading2"/>
        <w:spacing w:before="240" w:after="120"/>
      </w:pPr>
      <w:r>
        <w:rPr>
          <w:rFonts w:ascii="Arial" w:cs="Arial" w:eastAsia="Arial" w:hAnsi="Arial"/>
          <w:b/>
          <w:bCs/>
          <w:color w:val="1A3A5C"/>
          <w:sz w:val="26"/>
          <w:szCs w:val="26"/>
        </w:rPr>
        <w:t xml:space="preserve">4.3 EPA Smart Location Database (FREE)</w:t>
      </w:r>
    </w:p>
    <w:p>
      <w:pPr>
        <w:spacing w:after="160"/>
      </w:pPr>
      <w:r>
        <w:rPr>
          <w:rFonts w:ascii="Arial" w:cs="Arial" w:eastAsia="Arial" w:hAnsi="Arial"/>
          <w:color w:val="1A1A1A"/>
          <w:sz w:val="22"/>
          <w:szCs w:val="22"/>
        </w:rPr>
        <w:t xml:space="preserve">The EPA’s Smart Location Database provides 90+ built-environment indicators at the census block group level, including: development density, land use diversity, street network design, destination accessibility, and the National Walkability Index. This is pre-computed, authoritative federal data.</w:t>
      </w:r>
    </w:p>
    <w:p>
      <w:pPr>
        <w:spacing w:after="160"/>
      </w:pPr>
      <w:r>
        <w:rPr>
          <w:rFonts w:ascii="Arial" w:cs="Arial" w:eastAsia="Arial" w:hAnsi="Arial"/>
          <w:color w:val="1A1A1A"/>
          <w:sz w:val="22"/>
          <w:szCs w:val="22"/>
        </w:rPr>
        <w:t xml:space="preserve"/>
      </w:r>
      <w:r>
        <w:rPr>
          <w:rFonts w:ascii="Arial" w:cs="Arial" w:eastAsia="Arial" w:hAnsi="Arial"/>
          <w:b/>
          <w:bCs/>
          <w:color w:val="1A1A1A"/>
          <w:sz w:val="22"/>
          <w:szCs w:val="22"/>
        </w:rPr>
        <w:t xml:space="preserve">What it gives us:</w:t>
      </w:r>
      <w:r>
        <w:rPr>
          <w:rFonts w:ascii="Arial" w:cs="Arial" w:eastAsia="Arial" w:hAnsi="Arial"/>
          <w:color w:val="1A1A1A"/>
          <w:sz w:val="22"/>
          <w:szCs w:val="22"/>
        </w:rPr>
        <w:t xml:space="preserve"> Intersection density (walkable grid vs cul-de-sacs), jobs-per-acre (employment concentration), land use entropy (mixed-use vs single-use), transit frequency, and the composite National Walkability Index.</w:t>
      </w:r>
    </w:p>
    <w:p>
      <w:pPr>
        <w:spacing w:after="160"/>
      </w:pPr>
      <w:r>
        <w:rPr>
          <w:rFonts w:ascii="Arial" w:cs="Arial" w:eastAsia="Arial" w:hAnsi="Arial"/>
          <w:color w:val="1A1A1A"/>
          <w:sz w:val="22"/>
          <w:szCs w:val="22"/>
        </w:rPr>
        <w:t xml:space="preserve"/>
      </w:r>
      <w:r>
        <w:rPr>
          <w:rFonts w:ascii="Arial" w:cs="Arial" w:eastAsia="Arial" w:hAnsi="Arial"/>
          <w:b/>
          <w:bCs/>
          <w:color w:val="1A1A1A"/>
          <w:sz w:val="22"/>
          <w:szCs w:val="22"/>
        </w:rPr>
        <w:t xml:space="preserve">Why it’s valuable for VendRadar:</w:t>
      </w:r>
      <w:r>
        <w:rPr>
          <w:rFonts w:ascii="Arial" w:cs="Arial" w:eastAsia="Arial" w:hAnsi="Arial"/>
          <w:color w:val="1A1A1A"/>
          <w:sz w:val="22"/>
          <w:szCs w:val="22"/>
        </w:rPr>
        <w:t xml:space="preserve"> These indicators directly predict whether people walk past a location. A block group with high intersection density, mixed land use, and frequent transit has fundamentally different foot traffic characteristics than a suburban office park — even if both have the same population. This fills a gap no other source covers.</w:t>
      </w:r>
    </w:p>
    <w:p>
      <w:pPr>
        <w:spacing w:after="160"/>
      </w:pPr>
      <w:r>
        <w:rPr>
          <w:rFonts w:ascii="Arial" w:cs="Arial" w:eastAsia="Arial" w:hAnsi="Arial"/>
          <w:color w:val="1A1A1A"/>
          <w:sz w:val="22"/>
          <w:szCs w:val="22"/>
        </w:rPr>
        <w:t xml:space="preserve"/>
      </w:r>
      <w:r>
        <w:rPr>
          <w:rFonts w:ascii="Arial" w:cs="Arial" w:eastAsia="Arial" w:hAnsi="Arial"/>
          <w:b/>
          <w:bCs/>
          <w:color w:val="1A1A1A"/>
          <w:sz w:val="22"/>
          <w:szCs w:val="22"/>
        </w:rPr>
        <w:t xml:space="preserve">Integration:</w:t>
      </w:r>
      <w:r>
        <w:rPr>
          <w:rFonts w:ascii="Arial" w:cs="Arial" w:eastAsia="Arial" w:hAnsi="Arial"/>
          <w:color w:val="1A1A1A"/>
          <w:sz w:val="22"/>
          <w:szCs w:val="22"/>
        </w:rPr>
        <w:t xml:space="preserve"> Downloadable as shapefile/CSV from epa.gov. Pre-process once, query by block group ID. No API, no rate limits, no cost.</w:t>
      </w:r>
    </w:p>
    <w:p>
      <w:pPr>
        <w:spacing w:after="160"/>
      </w:pPr>
      <w:r>
        <w:rPr>
          <w:rFonts w:ascii="Arial" w:cs="Arial" w:eastAsia="Arial" w:hAnsi="Arial"/>
          <w:color w:val="1A1A1A"/>
          <w:sz w:val="22"/>
          <w:szCs w:val="22"/>
        </w:rPr>
        <w:t xml:space="preserve"/>
      </w:r>
      <w:r>
        <w:rPr>
          <w:rFonts w:ascii="Arial" w:cs="Arial" w:eastAsia="Arial" w:hAnsi="Arial"/>
          <w:b/>
          <w:bCs/>
          <w:color w:val="1A1A1A"/>
          <w:sz w:val="22"/>
          <w:szCs w:val="22"/>
        </w:rPr>
        <w:t xml:space="preserve">Recommended weight: 5–10%</w:t>
      </w:r>
      <w:r>
        <w:rPr>
          <w:rFonts w:ascii="Arial" w:cs="Arial" w:eastAsia="Arial" w:hAnsi="Arial"/>
          <w:color w:val="1A1A1A"/>
          <w:sz w:val="22"/>
          <w:szCs w:val="22"/>
        </w:rPr>
        <w:t xml:space="preserve"> as a built-environment quality modifier across all categories.</w:t>
      </w:r>
    </w:p>
    <w:p>
      <w:pPr>
        <w:spacing w:after="80"/>
      </w:pPr>
    </w:p>
    <w:p>
      <w:pPr>
        <w:pStyle w:val="Heading2"/>
        <w:spacing w:before="240" w:after="120"/>
      </w:pPr>
      <w:r>
        <w:rPr>
          <w:rFonts w:ascii="Arial" w:cs="Arial" w:eastAsia="Arial" w:hAnsi="Arial"/>
          <w:b/>
          <w:bCs/>
          <w:color w:val="1A3A5C"/>
          <w:sz w:val="26"/>
          <w:szCs w:val="26"/>
        </w:rPr>
        <w:t xml:space="preserve">4.4 BestTime.app API ($9/month or 100 free credits)</w:t>
      </w:r>
    </w:p>
    <w:p>
      <w:pPr>
        <w:spacing w:after="160"/>
      </w:pPr>
      <w:r>
        <w:rPr>
          <w:rFonts w:ascii="Arial" w:cs="Arial" w:eastAsia="Arial" w:hAnsi="Arial"/>
          <w:color w:val="1A1A1A"/>
          <w:sz w:val="22"/>
          <w:szCs w:val="22"/>
        </w:rPr>
        <w:t xml:space="preserve">BestTime.app provides hourly foot traffic forecasts (0–100% busyness) for public businesses worldwide, using anonymized phone signals. It’s essentially a productized, reliable version of Google Popular Times data, delivered via REST API with no scraping risk.</w:t>
      </w:r>
    </w:p>
    <w:p>
      <w:pPr>
        <w:spacing w:after="160"/>
      </w:pPr>
      <w:r>
        <w:rPr>
          <w:rFonts w:ascii="Arial" w:cs="Arial" w:eastAsia="Arial" w:hAnsi="Arial"/>
          <w:color w:val="1A1A1A"/>
          <w:sz w:val="22"/>
          <w:szCs w:val="22"/>
        </w:rPr>
        <w:t xml:space="preserve"/>
      </w:r>
      <w:r>
        <w:rPr>
          <w:rFonts w:ascii="Arial" w:cs="Arial" w:eastAsia="Arial" w:hAnsi="Arial"/>
          <w:b/>
          <w:bCs/>
          <w:color w:val="1A1A1A"/>
          <w:sz w:val="22"/>
          <w:szCs w:val="22"/>
        </w:rPr>
        <w:t xml:space="preserve">What it gives us:</w:t>
      </w:r>
      <w:r>
        <w:rPr>
          <w:rFonts w:ascii="Arial" w:cs="Arial" w:eastAsia="Arial" w:hAnsi="Arial"/>
          <w:color w:val="1A1A1A"/>
          <w:sz w:val="22"/>
          <w:szCs w:val="22"/>
        </w:rPr>
        <w:t xml:space="preserve"> The exact same hourly busyness histogram (0–100 per hour, per day of week) that the original spec wanted from Google Popular Times scraping — but without Puppeteer, without IP bans, and without fighting Vercel’s serverless constraints.</w:t>
      </w:r>
    </w:p>
    <w:p>
      <w:pPr>
        <w:spacing w:after="160"/>
      </w:pPr>
      <w:r>
        <w:rPr>
          <w:rFonts w:ascii="Arial" w:cs="Arial" w:eastAsia="Arial" w:hAnsi="Arial"/>
          <w:color w:val="1A1A1A"/>
          <w:sz w:val="22"/>
          <w:szCs w:val="22"/>
        </w:rPr>
        <w:t xml:space="preserve"/>
      </w:r>
      <w:r>
        <w:rPr>
          <w:rFonts w:ascii="Arial" w:cs="Arial" w:eastAsia="Arial" w:hAnsi="Arial"/>
          <w:b/>
          <w:bCs/>
          <w:color w:val="1A1A1A"/>
          <w:sz w:val="22"/>
          <w:szCs w:val="22"/>
        </w:rPr>
        <w:t xml:space="preserve">Why it’s valuable for VendRadar:</w:t>
      </w:r>
      <w:r>
        <w:rPr>
          <w:rFonts w:ascii="Arial" w:cs="Arial" w:eastAsia="Arial" w:hAnsi="Arial"/>
          <w:color w:val="1A1A1A"/>
          <w:sz w:val="22"/>
          <w:szCs w:val="22"/>
        </w:rPr>
        <w:t xml:space="preserve"> This is the single highest-value signal for peak hour identification and daily pattern analysis. The original spec correctly weighted Popular Times at 25–40% depending on category. BestTime delivers this data cleanly.</w:t>
      </w:r>
    </w:p>
    <w:p>
      <w:pPr>
        <w:spacing w:after="160"/>
      </w:pPr>
      <w:r>
        <w:rPr>
          <w:rFonts w:ascii="Arial" w:cs="Arial" w:eastAsia="Arial" w:hAnsi="Arial"/>
          <w:color w:val="1A1A1A"/>
          <w:sz w:val="22"/>
          <w:szCs w:val="22"/>
        </w:rPr>
        <w:t xml:space="preserve"/>
      </w:r>
      <w:r>
        <w:rPr>
          <w:rFonts w:ascii="Arial" w:cs="Arial" w:eastAsia="Arial" w:hAnsi="Arial"/>
          <w:b/>
          <w:bCs/>
          <w:color w:val="1A1A1A"/>
          <w:sz w:val="22"/>
          <w:szCs w:val="22"/>
        </w:rPr>
        <w:t xml:space="preserve">Integration:</w:t>
      </w:r>
      <w:r>
        <w:rPr>
          <w:rFonts w:ascii="Arial" w:cs="Arial" w:eastAsia="Arial" w:hAnsi="Arial"/>
          <w:color w:val="1A1A1A"/>
          <w:sz w:val="22"/>
          <w:szCs w:val="22"/>
        </w:rPr>
        <w:t xml:space="preserve"> REST API, returns JSON. Basic plan ($9/mo) gives 450 credits/month. One credit per venue forecast. Cache results for 7 days.</w:t>
      </w:r>
    </w:p>
    <w:p>
      <w:pPr>
        <w:spacing w:after="160"/>
      </w:pPr>
      <w:r>
        <w:rPr>
          <w:rFonts w:ascii="Arial" w:cs="Arial" w:eastAsia="Arial" w:hAnsi="Arial"/>
          <w:color w:val="1A1A1A"/>
          <w:sz w:val="22"/>
          <w:szCs w:val="22"/>
        </w:rPr>
        <w:t xml:space="preserve"/>
      </w:r>
      <w:r>
        <w:rPr>
          <w:rFonts w:ascii="Arial" w:cs="Arial" w:eastAsia="Arial" w:hAnsi="Arial"/>
          <w:b/>
          <w:bCs/>
          <w:color w:val="1A1A1A"/>
          <w:sz w:val="22"/>
          <w:szCs w:val="22"/>
        </w:rPr>
        <w:t xml:space="preserve">Recommended approach:</w:t>
      </w:r>
      <w:r>
        <w:rPr>
          <w:rFonts w:ascii="Arial" w:cs="Arial" w:eastAsia="Arial" w:hAnsi="Arial"/>
          <w:color w:val="1A1A1A"/>
          <w:sz w:val="22"/>
          <w:szCs w:val="22"/>
        </w:rPr>
        <w:t xml:space="preserve"> Start with the 100 free credits to validate the signal’s impact. If it materially improves scoring accuracy, upgrade to $9/month. This replaces the entire Puppeteer scraping stack at 1/100th the complexity.</w:t>
      </w:r>
    </w:p>
    <w:p>
      <w:pPr>
        <w:spacing w:after="80"/>
      </w:pPr>
    </w:p>
    <w:p>
      <w:pPr>
        <w:pStyle w:val="Heading2"/>
        <w:spacing w:before="240" w:after="120"/>
      </w:pPr>
      <w:r>
        <w:rPr>
          <w:rFonts w:ascii="Arial" w:cs="Arial" w:eastAsia="Arial" w:hAnsi="Arial"/>
          <w:b/>
          <w:bCs/>
          <w:color w:val="1A3A5C"/>
          <w:sz w:val="26"/>
          <w:szCs w:val="26"/>
        </w:rPr>
        <w:t xml:space="preserve">4.5 GTFS Public Transit Feeds (FREE)</w:t>
      </w:r>
    </w:p>
    <w:p>
      <w:pPr>
        <w:spacing w:after="160"/>
      </w:pPr>
      <w:r>
        <w:rPr>
          <w:rFonts w:ascii="Arial" w:cs="Arial" w:eastAsia="Arial" w:hAnsi="Arial"/>
          <w:color w:val="1A1A1A"/>
          <w:sz w:val="22"/>
          <w:szCs w:val="22"/>
        </w:rPr>
        <w:t xml:space="preserve">General Transit Feed Specification (GTFS) data from public transit agencies provides exact stop locations, route frequencies, and schedules. Over 2,500 transit agencies worldwide publish GTFS feeds. Unlike the OSM transit data the spec already includes, GTFS gives you schedule frequency (how many buses per hour stop near a location), which is a much stronger foot traffic signal than mere proximity.</w:t>
      </w:r>
    </w:p>
    <w:p>
      <w:pPr>
        <w:spacing w:after="160"/>
      </w:pPr>
      <w:r>
        <w:rPr>
          <w:rFonts w:ascii="Arial" w:cs="Arial" w:eastAsia="Arial" w:hAnsi="Arial"/>
          <w:color w:val="1A1A1A"/>
          <w:sz w:val="22"/>
          <w:szCs w:val="22"/>
        </w:rPr>
        <w:t xml:space="preserve"/>
      </w:r>
      <w:r>
        <w:rPr>
          <w:rFonts w:ascii="Arial" w:cs="Arial" w:eastAsia="Arial" w:hAnsi="Arial"/>
          <w:b/>
          <w:bCs/>
          <w:color w:val="1A1A1A"/>
          <w:sz w:val="22"/>
          <w:szCs w:val="22"/>
        </w:rPr>
        <w:t xml:space="preserve">What it gives us:</w:t>
      </w:r>
      <w:r>
        <w:rPr>
          <w:rFonts w:ascii="Arial" w:cs="Arial" w:eastAsia="Arial" w:hAnsi="Arial"/>
          <w:color w:val="1A1A1A"/>
          <w:sz w:val="22"/>
          <w:szCs w:val="22"/>
        </w:rPr>
        <w:t xml:space="preserve"> Transit stop locations with service frequency data. A bus stop with 40 buses/hour generates far more foot traffic than one with 4 buses/hour — OSM treats them identically, GTFS differentiates them.</w:t>
      </w:r>
    </w:p>
    <w:p>
      <w:pPr>
        <w:spacing w:after="160"/>
      </w:pPr>
      <w:r>
        <w:rPr>
          <w:rFonts w:ascii="Arial" w:cs="Arial" w:eastAsia="Arial" w:hAnsi="Arial"/>
          <w:color w:val="1A1A1A"/>
          <w:sz w:val="22"/>
          <w:szCs w:val="22"/>
        </w:rPr>
        <w:t xml:space="preserve"/>
      </w:r>
      <w:r>
        <w:rPr>
          <w:rFonts w:ascii="Arial" w:cs="Arial" w:eastAsia="Arial" w:hAnsi="Arial"/>
          <w:b/>
          <w:bCs/>
          <w:color w:val="1A1A1A"/>
          <w:sz w:val="22"/>
          <w:szCs w:val="22"/>
        </w:rPr>
        <w:t xml:space="preserve">Integration:</w:t>
      </w:r>
      <w:r>
        <w:rPr>
          <w:rFonts w:ascii="Arial" w:cs="Arial" w:eastAsia="Arial" w:hAnsi="Arial"/>
          <w:color w:val="1A1A1A"/>
          <w:sz w:val="22"/>
          <w:szCs w:val="22"/>
        </w:rPr>
        <w:t xml:space="preserve"> Static files from transitfeeds.com or individual agency websites. Parse GTFS stop_times.txt to count service frequency per stop. Pre-process and cache.</w:t>
      </w:r>
    </w:p>
    <w:p>
      <w:pPr>
        <w:spacing w:after="160"/>
      </w:pPr>
      <w:r>
        <w:rPr>
          <w:rFonts w:ascii="Arial" w:cs="Arial" w:eastAsia="Arial" w:hAnsi="Arial"/>
          <w:color w:val="1A1A1A"/>
          <w:sz w:val="22"/>
          <w:szCs w:val="22"/>
        </w:rPr>
        <w:t xml:space="preserve"/>
      </w:r>
      <w:r>
        <w:rPr>
          <w:rFonts w:ascii="Arial" w:cs="Arial" w:eastAsia="Arial" w:hAnsi="Arial"/>
          <w:b/>
          <w:bCs/>
          <w:color w:val="1A1A1A"/>
          <w:sz w:val="22"/>
          <w:szCs w:val="22"/>
        </w:rPr>
        <w:t xml:space="preserve">Recommended weight:</w:t>
      </w:r>
      <w:r>
        <w:rPr>
          <w:rFonts w:ascii="Arial" w:cs="Arial" w:eastAsia="Arial" w:hAnsi="Arial"/>
          <w:color w:val="1A1A1A"/>
          <w:sz w:val="22"/>
          <w:szCs w:val="22"/>
        </w:rPr>
        <w:t xml:space="preserve"> Subsume into the existing OpenStreetMap transit signal. Use GTFS frequency as a multiplier on the transit bonus rather than a separate signal.</w:t>
      </w:r>
    </w:p>
    <w:p>
      <w:pPr>
        <w:pBdr>
          <w:bottom w:val="single" w:color="2E75B6" w:sz="6" w:space="1"/>
        </w:pBdr>
        <w:spacing w:before="200" w:after="200"/>
      </w:pPr>
    </w:p>
    <w:p>
      <w:pPr>
        <w:pStyle w:val="Heading1"/>
        <w:spacing w:before="360" w:after="120"/>
      </w:pPr>
      <w:r>
        <w:rPr>
          <w:rFonts w:ascii="Arial" w:cs="Arial" w:eastAsia="Arial" w:hAnsi="Arial"/>
          <w:b/>
          <w:bCs/>
          <w:color w:val="1A3A5C"/>
          <w:sz w:val="32"/>
          <w:szCs w:val="32"/>
        </w:rPr>
        <w:t xml:space="preserve">5. Revised Data Source Priority Table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100"/>
        <w:gridCol w:w="1300"/>
        <w:gridCol w:w="1200"/>
        <w:gridCol w:w="1100"/>
        <w:gridCol w:w="1660"/>
      </w:tblGrid>
      <w:tr>
        <w:tc>
          <w:tcPr>
            <w:tcW w:type="dxa" w:w="1800"/>
            <w:tcBorders>
              <w:top w:val="single" w:color="B0BEC5" w:sz="1"/>
              <w:left w:val="single" w:color="B0BEC5" w:sz="1"/>
              <w:bottom w:val="single" w:color="B0BEC5" w:sz="1"/>
              <w:right w:val="single" w:color="B0BEC5" w:sz="1"/>
            </w:tcBorders>
            <w:shd w:fill="1A3A5C" w:val="clear"/>
            <w:tcMar>
              <w:top w:type="dxa" w:w="60"/>
              <w:left w:type="dxa" w:w="120"/>
              <w:bottom w:type="dxa" w:w="60"/>
              <w:right w:type="dxa" w:w="120"/>
            </w:tcMar>
            <w:vAlign w:val="center"/>
          </w:tcPr>
          <w:p>
            <w:r>
              <w:rPr>
                <w:rFonts w:ascii="Arial" w:cs="Arial" w:eastAsia="Arial" w:hAnsi="Arial"/>
                <w:b/>
                <w:bCs/>
                <w:color w:val="FFFFFF"/>
                <w:sz w:val="20"/>
                <w:szCs w:val="20"/>
              </w:rPr>
              <w:t xml:space="preserve">Source</w:t>
            </w:r>
          </w:p>
        </w:tc>
        <w:tc>
          <w:tcPr>
            <w:tcW w:type="dxa" w:w="1200"/>
            <w:tcBorders>
              <w:top w:val="single" w:color="B0BEC5" w:sz="1"/>
              <w:left w:val="single" w:color="B0BEC5" w:sz="1"/>
              <w:bottom w:val="single" w:color="B0BEC5" w:sz="1"/>
              <w:right w:val="single" w:color="B0BEC5" w:sz="1"/>
            </w:tcBorders>
            <w:shd w:fill="1A3A5C" w:val="clear"/>
            <w:tcMar>
              <w:top w:type="dxa" w:w="60"/>
              <w:left w:type="dxa" w:w="120"/>
              <w:bottom w:type="dxa" w:w="60"/>
              <w:right w:type="dxa" w:w="120"/>
            </w:tcMar>
            <w:vAlign w:val="center"/>
          </w:tcPr>
          <w:p>
            <w:r>
              <w:rPr>
                <w:rFonts w:ascii="Arial" w:cs="Arial" w:eastAsia="Arial" w:hAnsi="Arial"/>
                <w:b/>
                <w:bCs/>
                <w:color w:val="FFFFFF"/>
                <w:sz w:val="20"/>
                <w:szCs w:val="20"/>
              </w:rPr>
              <w:t xml:space="preserve">Cost</w:t>
            </w:r>
          </w:p>
        </w:tc>
        <w:tc>
          <w:tcPr>
            <w:tcW w:type="dxa" w:w="1100"/>
            <w:tcBorders>
              <w:top w:val="single" w:color="B0BEC5" w:sz="1"/>
              <w:left w:val="single" w:color="B0BEC5" w:sz="1"/>
              <w:bottom w:val="single" w:color="B0BEC5" w:sz="1"/>
              <w:right w:val="single" w:color="B0BEC5" w:sz="1"/>
            </w:tcBorders>
            <w:shd w:fill="1A3A5C" w:val="clear"/>
            <w:tcMar>
              <w:top w:type="dxa" w:w="60"/>
              <w:left w:type="dxa" w:w="120"/>
              <w:bottom w:type="dxa" w:w="60"/>
              <w:right w:type="dxa" w:w="120"/>
            </w:tcMar>
            <w:vAlign w:val="center"/>
          </w:tcPr>
          <w:p>
            <w:r>
              <w:rPr>
                <w:rFonts w:ascii="Arial" w:cs="Arial" w:eastAsia="Arial" w:hAnsi="Arial"/>
                <w:b/>
                <w:bCs/>
                <w:color w:val="FFFFFF"/>
                <w:sz w:val="20"/>
                <w:szCs w:val="20"/>
              </w:rPr>
              <w:t xml:space="preserve">Rate Limit</w:t>
            </w:r>
          </w:p>
        </w:tc>
        <w:tc>
          <w:tcPr>
            <w:tcW w:type="dxa" w:w="1300"/>
            <w:tcBorders>
              <w:top w:val="single" w:color="B0BEC5" w:sz="1"/>
              <w:left w:val="single" w:color="B0BEC5" w:sz="1"/>
              <w:bottom w:val="single" w:color="B0BEC5" w:sz="1"/>
              <w:right w:val="single" w:color="B0BEC5" w:sz="1"/>
            </w:tcBorders>
            <w:shd w:fill="1A3A5C" w:val="clear"/>
            <w:tcMar>
              <w:top w:type="dxa" w:w="60"/>
              <w:left w:type="dxa" w:w="120"/>
              <w:bottom w:type="dxa" w:w="60"/>
              <w:right w:type="dxa" w:w="120"/>
            </w:tcMar>
            <w:vAlign w:val="center"/>
          </w:tcPr>
          <w:p>
            <w:r>
              <w:rPr>
                <w:rFonts w:ascii="Arial" w:cs="Arial" w:eastAsia="Arial" w:hAnsi="Arial"/>
                <w:b/>
                <w:bCs/>
                <w:color w:val="FFFFFF"/>
                <w:sz w:val="20"/>
                <w:szCs w:val="20"/>
              </w:rPr>
              <w:t xml:space="preserve">Signal Value</w:t>
            </w:r>
          </w:p>
        </w:tc>
        <w:tc>
          <w:tcPr>
            <w:tcW w:type="dxa" w:w="1200"/>
            <w:tcBorders>
              <w:top w:val="single" w:color="B0BEC5" w:sz="1"/>
              <w:left w:val="single" w:color="B0BEC5" w:sz="1"/>
              <w:bottom w:val="single" w:color="B0BEC5" w:sz="1"/>
              <w:right w:val="single" w:color="B0BEC5" w:sz="1"/>
            </w:tcBorders>
            <w:shd w:fill="1A3A5C" w:val="clear"/>
            <w:tcMar>
              <w:top w:type="dxa" w:w="60"/>
              <w:left w:type="dxa" w:w="120"/>
              <w:bottom w:type="dxa" w:w="60"/>
              <w:right w:type="dxa" w:w="120"/>
            </w:tcMar>
            <w:vAlign w:val="center"/>
          </w:tcPr>
          <w:p>
            <w:r>
              <w:rPr>
                <w:rFonts w:ascii="Arial" w:cs="Arial" w:eastAsia="Arial" w:hAnsi="Arial"/>
                <w:b/>
                <w:bCs/>
                <w:color w:val="FFFFFF"/>
                <w:sz w:val="20"/>
                <w:szCs w:val="20"/>
              </w:rPr>
              <w:t xml:space="preserve">Complexity</w:t>
            </w:r>
          </w:p>
        </w:tc>
        <w:tc>
          <w:tcPr>
            <w:tcW w:type="dxa" w:w="1100"/>
            <w:tcBorders>
              <w:top w:val="single" w:color="B0BEC5" w:sz="1"/>
              <w:left w:val="single" w:color="B0BEC5" w:sz="1"/>
              <w:bottom w:val="single" w:color="B0BEC5" w:sz="1"/>
              <w:right w:val="single" w:color="B0BEC5" w:sz="1"/>
            </w:tcBorders>
            <w:shd w:fill="1A3A5C" w:val="clear"/>
            <w:tcMar>
              <w:top w:type="dxa" w:w="60"/>
              <w:left w:type="dxa" w:w="120"/>
              <w:bottom w:type="dxa" w:w="60"/>
              <w:right w:type="dxa" w:w="120"/>
            </w:tcMar>
            <w:vAlign w:val="center"/>
          </w:tcPr>
          <w:p>
            <w:r>
              <w:rPr>
                <w:rFonts w:ascii="Arial" w:cs="Arial" w:eastAsia="Arial" w:hAnsi="Arial"/>
                <w:b/>
                <w:bCs/>
                <w:color w:val="FFFFFF"/>
                <w:sz w:val="20"/>
                <w:szCs w:val="20"/>
              </w:rPr>
              <w:t xml:space="preserve">Priority</w:t>
            </w:r>
          </w:p>
        </w:tc>
        <w:tc>
          <w:tcPr>
            <w:tcW w:type="dxa" w:w="1660"/>
            <w:tcBorders>
              <w:top w:val="single" w:color="B0BEC5" w:sz="1"/>
              <w:left w:val="single" w:color="B0BEC5" w:sz="1"/>
              <w:bottom w:val="single" w:color="B0BEC5" w:sz="1"/>
              <w:right w:val="single" w:color="B0BEC5" w:sz="1"/>
            </w:tcBorders>
            <w:shd w:fill="1A3A5C" w:val="clear"/>
            <w:tcMar>
              <w:top w:type="dxa" w:w="60"/>
              <w:left w:type="dxa" w:w="120"/>
              <w:bottom w:type="dxa" w:w="60"/>
              <w:right w:type="dxa" w:w="120"/>
            </w:tcMar>
            <w:vAlign w:val="center"/>
          </w:tcPr>
          <w:p>
            <w:r>
              <w:rPr>
                <w:rFonts w:ascii="Arial" w:cs="Arial" w:eastAsia="Arial" w:hAnsi="Arial"/>
                <w:b/>
                <w:bCs/>
                <w:color w:val="FFFFFF"/>
                <w:sz w:val="20"/>
                <w:szCs w:val="20"/>
              </w:rPr>
              <w:t xml:space="preserve">Recommendation</w:t>
            </w:r>
          </w:p>
        </w:tc>
      </w:tr>
      <w:tr>
        <w:tc>
          <w:tcPr>
            <w:tcW w:type="dxa" w:w="1800"/>
            <w:tcBorders>
              <w:top w:val="single" w:color="B0BEC5" w:sz="1"/>
              <w:left w:val="single" w:color="B0BEC5" w:sz="1"/>
              <w:bottom w:val="single" w:color="B0BEC5" w:sz="1"/>
              <w:right w:val="single" w:color="B0BEC5" w:sz="1"/>
            </w:tcBorders>
            <w:tcMar>
              <w:top w:type="dxa" w:w="60"/>
              <w:left w:type="dxa" w:w="120"/>
              <w:bottom w:type="dxa" w:w="60"/>
              <w:right w:type="dxa" w:w="120"/>
            </w:tcMar>
          </w:tcPr>
          <w:p>
            <w:r>
              <w:rPr>
                <w:rFonts w:ascii="Arial" w:cs="Arial" w:eastAsia="Arial" w:hAnsi="Arial"/>
                <w:b/>
                <w:bCs/>
                <w:color w:val="1A1A1A"/>
                <w:sz w:val="20"/>
                <w:szCs w:val="20"/>
              </w:rPr>
              <w:t xml:space="preserve">Google Places</w:t>
            </w:r>
          </w:p>
        </w:tc>
        <w:tc>
          <w:tcPr>
            <w:tcW w:type="dxa" w:w="1200"/>
            <w:tcBorders>
              <w:top w:val="single" w:color="B0BEC5" w:sz="1"/>
              <w:left w:val="single" w:color="B0BEC5" w:sz="1"/>
              <w:bottom w:val="single" w:color="B0BEC5" w:sz="1"/>
              <w:right w:val="single" w:color="B0BEC5" w:sz="1"/>
            </w:tcBorders>
            <w:tcMar>
              <w:top w:type="dxa" w:w="60"/>
              <w:left w:type="dxa" w:w="120"/>
              <w:bottom w:type="dxa" w:w="60"/>
              <w:right w:type="dxa" w:w="120"/>
            </w:tcMar>
          </w:tcPr>
          <w:p>
            <w:r>
              <w:rPr>
                <w:rFonts w:ascii="Arial" w:cs="Arial" w:eastAsia="Arial" w:hAnsi="Arial"/>
                <w:b w:val="false"/>
                <w:bCs w:val="false"/>
                <w:color w:val="1A1A1A"/>
                <w:sz w:val="20"/>
                <w:szCs w:val="20"/>
              </w:rPr>
              <w:t xml:space="preserve">Free*</w:t>
            </w:r>
          </w:p>
        </w:tc>
        <w:tc>
          <w:tcPr>
            <w:tcW w:type="dxa" w:w="1100"/>
            <w:tcBorders>
              <w:top w:val="single" w:color="B0BEC5" w:sz="1"/>
              <w:left w:val="single" w:color="B0BEC5" w:sz="1"/>
              <w:bottom w:val="single" w:color="B0BEC5" w:sz="1"/>
              <w:right w:val="single" w:color="B0BEC5" w:sz="1"/>
            </w:tcBorders>
            <w:tcMar>
              <w:top w:type="dxa" w:w="60"/>
              <w:left w:type="dxa" w:w="120"/>
              <w:bottom w:type="dxa" w:w="60"/>
              <w:right w:type="dxa" w:w="120"/>
            </w:tcMar>
          </w:tcPr>
          <w:p>
            <w:r>
              <w:rPr>
                <w:rFonts w:ascii="Arial" w:cs="Arial" w:eastAsia="Arial" w:hAnsi="Arial"/>
                <w:b w:val="false"/>
                <w:bCs w:val="false"/>
                <w:color w:val="1A1A1A"/>
                <w:sz w:val="20"/>
                <w:szCs w:val="20"/>
              </w:rPr>
              <w:t xml:space="preserve">28k/mo</w:t>
            </w:r>
          </w:p>
        </w:tc>
        <w:tc>
          <w:tcPr>
            <w:tcW w:type="dxa" w:w="1300"/>
            <w:tcBorders>
              <w:top w:val="single" w:color="B0BEC5" w:sz="1"/>
              <w:left w:val="single" w:color="B0BEC5" w:sz="1"/>
              <w:bottom w:val="single" w:color="B0BEC5" w:sz="1"/>
              <w:right w:val="single" w:color="B0BEC5" w:sz="1"/>
            </w:tcBorders>
            <w:tcMar>
              <w:top w:type="dxa" w:w="60"/>
              <w:left w:type="dxa" w:w="120"/>
              <w:bottom w:type="dxa" w:w="60"/>
              <w:right w:type="dxa" w:w="120"/>
            </w:tcMar>
          </w:tcPr>
          <w:p>
            <w:r>
              <w:rPr>
                <w:rFonts w:ascii="Arial" w:cs="Arial" w:eastAsia="Arial" w:hAnsi="Arial"/>
                <w:b w:val="false"/>
                <w:bCs w:val="false"/>
                <w:color w:val="2E7D32"/>
                <w:sz w:val="20"/>
                <w:szCs w:val="20"/>
              </w:rPr>
              <w:t xml:space="preserve">HIGH</w:t>
            </w:r>
          </w:p>
        </w:tc>
        <w:tc>
          <w:tcPr>
            <w:tcW w:type="dxa" w:w="1200"/>
            <w:tcBorders>
              <w:top w:val="single" w:color="B0BEC5" w:sz="1"/>
              <w:left w:val="single" w:color="B0BEC5" w:sz="1"/>
              <w:bottom w:val="single" w:color="B0BEC5" w:sz="1"/>
              <w:right w:val="single" w:color="B0BEC5" w:sz="1"/>
            </w:tcBorders>
            <w:tcMar>
              <w:top w:type="dxa" w:w="60"/>
              <w:left w:type="dxa" w:w="120"/>
              <w:bottom w:type="dxa" w:w="60"/>
              <w:right w:type="dxa" w:w="120"/>
            </w:tcMar>
          </w:tcPr>
          <w:p>
            <w:r>
              <w:rPr>
                <w:rFonts w:ascii="Arial" w:cs="Arial" w:eastAsia="Arial" w:hAnsi="Arial"/>
                <w:b w:val="false"/>
                <w:bCs w:val="false"/>
                <w:color w:val="1A1A1A"/>
                <w:sz w:val="20"/>
                <w:szCs w:val="20"/>
              </w:rPr>
              <w:t xml:space="preserve">Low</w:t>
            </w:r>
          </w:p>
        </w:tc>
        <w:tc>
          <w:tcPr>
            <w:tcW w:type="dxa" w:w="1100"/>
            <w:tcBorders>
              <w:top w:val="single" w:color="B0BEC5" w:sz="1"/>
              <w:left w:val="single" w:color="B0BEC5" w:sz="1"/>
              <w:bottom w:val="single" w:color="B0BEC5" w:sz="1"/>
              <w:right w:val="single" w:color="B0BEC5" w:sz="1"/>
            </w:tcBorders>
            <w:tcMar>
              <w:top w:type="dxa" w:w="60"/>
              <w:left w:type="dxa" w:w="120"/>
              <w:bottom w:type="dxa" w:w="60"/>
              <w:right w:type="dxa" w:w="120"/>
            </w:tcMar>
          </w:tcPr>
          <w:p>
            <w:r>
              <w:rPr>
                <w:rFonts w:ascii="Arial" w:cs="Arial" w:eastAsia="Arial" w:hAnsi="Arial"/>
                <w:b/>
                <w:bCs/>
                <w:color w:val="1A1A1A"/>
                <w:sz w:val="20"/>
                <w:szCs w:val="20"/>
              </w:rPr>
              <w:t xml:space="preserve">V1 KEEP</w:t>
            </w:r>
          </w:p>
        </w:tc>
        <w:tc>
          <w:tcPr>
            <w:tcW w:type="dxa" w:w="1660"/>
            <w:tcBorders>
              <w:top w:val="single" w:color="B0BEC5" w:sz="1"/>
              <w:left w:val="single" w:color="B0BEC5" w:sz="1"/>
              <w:bottom w:val="single" w:color="B0BEC5" w:sz="1"/>
              <w:right w:val="single" w:color="B0BEC5" w:sz="1"/>
            </w:tcBorders>
            <w:tcMar>
              <w:top w:type="dxa" w:w="60"/>
              <w:left w:type="dxa" w:w="120"/>
              <w:bottom w:type="dxa" w:w="60"/>
              <w:right w:type="dxa" w:w="120"/>
            </w:tcMar>
          </w:tcPr>
          <w:p>
            <w:r>
              <w:rPr>
                <w:rFonts w:ascii="Arial" w:cs="Arial" w:eastAsia="Arial" w:hAnsi="Arial"/>
                <w:b w:val="false"/>
                <w:bCs w:val="false"/>
                <w:color w:val="1A1A1A"/>
                <w:sz w:val="20"/>
                <w:szCs w:val="20"/>
              </w:rPr>
              <w:t xml:space="preserve">Already built</w:t>
            </w:r>
          </w:p>
        </w:tc>
      </w:tr>
      <w:tr>
        <w:tc>
          <w:tcPr>
            <w:tcW w:type="dxa" w:w="1800"/>
            <w:tcBorders>
              <w:top w:val="single" w:color="B0BEC5" w:sz="1"/>
              <w:left w:val="single" w:color="B0BEC5" w:sz="1"/>
              <w:bottom w:val="single" w:color="B0BEC5" w:sz="1"/>
              <w:right w:val="single" w:color="B0BEC5" w:sz="1"/>
            </w:tcBorders>
            <w:shd w:fill="F8FAFC" w:val="clear"/>
            <w:tcMar>
              <w:top w:type="dxa" w:w="60"/>
              <w:left w:type="dxa" w:w="120"/>
              <w:bottom w:type="dxa" w:w="60"/>
              <w:right w:type="dxa" w:w="120"/>
            </w:tcMar>
          </w:tcPr>
          <w:p>
            <w:r>
              <w:rPr>
                <w:rFonts w:ascii="Arial" w:cs="Arial" w:eastAsia="Arial" w:hAnsi="Arial"/>
                <w:b/>
                <w:bCs/>
                <w:color w:val="1A1A1A"/>
                <w:sz w:val="20"/>
                <w:szCs w:val="20"/>
              </w:rPr>
              <w:t xml:space="preserve">OpenStreetMap</w:t>
            </w:r>
          </w:p>
        </w:tc>
        <w:tc>
          <w:tcPr>
            <w:tcW w:type="dxa" w:w="1200"/>
            <w:tcBorders>
              <w:top w:val="single" w:color="B0BEC5" w:sz="1"/>
              <w:left w:val="single" w:color="B0BEC5" w:sz="1"/>
              <w:bottom w:val="single" w:color="B0BEC5" w:sz="1"/>
              <w:right w:val="single" w:color="B0BEC5" w:sz="1"/>
            </w:tcBorders>
            <w:shd w:fill="F8FAFC" w:val="clear"/>
            <w:tcMar>
              <w:top w:type="dxa" w:w="60"/>
              <w:left w:type="dxa" w:w="120"/>
              <w:bottom w:type="dxa" w:w="60"/>
              <w:right w:type="dxa" w:w="120"/>
            </w:tcMar>
          </w:tcPr>
          <w:p>
            <w:r>
              <w:rPr>
                <w:rFonts w:ascii="Arial" w:cs="Arial" w:eastAsia="Arial" w:hAnsi="Arial"/>
                <w:b w:val="false"/>
                <w:bCs w:val="false"/>
                <w:color w:val="1A1A1A"/>
                <w:sz w:val="20"/>
                <w:szCs w:val="20"/>
              </w:rPr>
              <w:t xml:space="preserve">Free</w:t>
            </w:r>
          </w:p>
        </w:tc>
        <w:tc>
          <w:tcPr>
            <w:tcW w:type="dxa" w:w="1100"/>
            <w:tcBorders>
              <w:top w:val="single" w:color="B0BEC5" w:sz="1"/>
              <w:left w:val="single" w:color="B0BEC5" w:sz="1"/>
              <w:bottom w:val="single" w:color="B0BEC5" w:sz="1"/>
              <w:right w:val="single" w:color="B0BEC5" w:sz="1"/>
            </w:tcBorders>
            <w:shd w:fill="F8FAFC" w:val="clear"/>
            <w:tcMar>
              <w:top w:type="dxa" w:w="60"/>
              <w:left w:type="dxa" w:w="120"/>
              <w:bottom w:type="dxa" w:w="60"/>
              <w:right w:type="dxa" w:w="120"/>
            </w:tcMar>
          </w:tcPr>
          <w:p>
            <w:r>
              <w:rPr>
                <w:rFonts w:ascii="Arial" w:cs="Arial" w:eastAsia="Arial" w:hAnsi="Arial"/>
                <w:b w:val="false"/>
                <w:bCs w:val="false"/>
                <w:color w:val="1A1A1A"/>
                <w:sz w:val="20"/>
                <w:szCs w:val="20"/>
              </w:rPr>
              <w:t xml:space="preserve">Fair use</w:t>
            </w:r>
          </w:p>
        </w:tc>
        <w:tc>
          <w:tcPr>
            <w:tcW w:type="dxa" w:w="1300"/>
            <w:tcBorders>
              <w:top w:val="single" w:color="B0BEC5" w:sz="1"/>
              <w:left w:val="single" w:color="B0BEC5" w:sz="1"/>
              <w:bottom w:val="single" w:color="B0BEC5" w:sz="1"/>
              <w:right w:val="single" w:color="B0BEC5" w:sz="1"/>
            </w:tcBorders>
            <w:shd w:fill="F8FAFC" w:val="clear"/>
            <w:tcMar>
              <w:top w:type="dxa" w:w="60"/>
              <w:left w:type="dxa" w:w="120"/>
              <w:bottom w:type="dxa" w:w="60"/>
              <w:right w:type="dxa" w:w="120"/>
            </w:tcMar>
          </w:tcPr>
          <w:p>
            <w:r>
              <w:rPr>
                <w:rFonts w:ascii="Arial" w:cs="Arial" w:eastAsia="Arial" w:hAnsi="Arial"/>
                <w:b w:val="false"/>
                <w:bCs w:val="false"/>
                <w:color w:val="2E7D32"/>
                <w:sz w:val="20"/>
                <w:szCs w:val="20"/>
              </w:rPr>
              <w:t xml:space="preserve">HIGH</w:t>
            </w:r>
          </w:p>
        </w:tc>
        <w:tc>
          <w:tcPr>
            <w:tcW w:type="dxa" w:w="1200"/>
            <w:tcBorders>
              <w:top w:val="single" w:color="B0BEC5" w:sz="1"/>
              <w:left w:val="single" w:color="B0BEC5" w:sz="1"/>
              <w:bottom w:val="single" w:color="B0BEC5" w:sz="1"/>
              <w:right w:val="single" w:color="B0BEC5" w:sz="1"/>
            </w:tcBorders>
            <w:shd w:fill="F8FAFC" w:val="clear"/>
            <w:tcMar>
              <w:top w:type="dxa" w:w="60"/>
              <w:left w:type="dxa" w:w="120"/>
              <w:bottom w:type="dxa" w:w="60"/>
              <w:right w:type="dxa" w:w="120"/>
            </w:tcMar>
          </w:tcPr>
          <w:p>
            <w:r>
              <w:rPr>
                <w:rFonts w:ascii="Arial" w:cs="Arial" w:eastAsia="Arial" w:hAnsi="Arial"/>
                <w:b w:val="false"/>
                <w:bCs w:val="false"/>
                <w:color w:val="1A1A1A"/>
                <w:sz w:val="20"/>
                <w:szCs w:val="20"/>
              </w:rPr>
              <w:t xml:space="preserve">Medium</w:t>
            </w:r>
          </w:p>
        </w:tc>
        <w:tc>
          <w:tcPr>
            <w:tcW w:type="dxa" w:w="1100"/>
            <w:tcBorders>
              <w:top w:val="single" w:color="B0BEC5" w:sz="1"/>
              <w:left w:val="single" w:color="B0BEC5" w:sz="1"/>
              <w:bottom w:val="single" w:color="B0BEC5" w:sz="1"/>
              <w:right w:val="single" w:color="B0BEC5" w:sz="1"/>
            </w:tcBorders>
            <w:shd w:fill="F8FAFC" w:val="clear"/>
            <w:tcMar>
              <w:top w:type="dxa" w:w="60"/>
              <w:left w:type="dxa" w:w="120"/>
              <w:bottom w:type="dxa" w:w="60"/>
              <w:right w:type="dxa" w:w="120"/>
            </w:tcMar>
          </w:tcPr>
          <w:p>
            <w:r>
              <w:rPr>
                <w:rFonts w:ascii="Arial" w:cs="Arial" w:eastAsia="Arial" w:hAnsi="Arial"/>
                <w:b/>
                <w:bCs/>
                <w:color w:val="1A1A1A"/>
                <w:sz w:val="20"/>
                <w:szCs w:val="20"/>
              </w:rPr>
              <w:t xml:space="preserve">V1 BUILD</w:t>
            </w:r>
          </w:p>
        </w:tc>
        <w:tc>
          <w:tcPr>
            <w:tcW w:type="dxa" w:w="1660"/>
            <w:tcBorders>
              <w:top w:val="single" w:color="B0BEC5" w:sz="1"/>
              <w:left w:val="single" w:color="B0BEC5" w:sz="1"/>
              <w:bottom w:val="single" w:color="B0BEC5" w:sz="1"/>
              <w:right w:val="single" w:color="B0BEC5" w:sz="1"/>
            </w:tcBorders>
            <w:shd w:fill="F8FAFC" w:val="clear"/>
            <w:tcMar>
              <w:top w:type="dxa" w:w="60"/>
              <w:left w:type="dxa" w:w="120"/>
              <w:bottom w:type="dxa" w:w="60"/>
              <w:right w:type="dxa" w:w="120"/>
            </w:tcMar>
          </w:tcPr>
          <w:p>
            <w:r>
              <w:rPr>
                <w:rFonts w:ascii="Arial" w:cs="Arial" w:eastAsia="Arial" w:hAnsi="Arial"/>
                <w:b w:val="false"/>
                <w:bCs w:val="false"/>
                <w:color w:val="1A1A1A"/>
                <w:sz w:val="20"/>
                <w:szCs w:val="20"/>
              </w:rPr>
              <w:t xml:space="preserve">Add with guardrails</w:t>
            </w:r>
          </w:p>
        </w:tc>
      </w:tr>
      <w:tr>
        <w:tc>
          <w:tcPr>
            <w:tcW w:type="dxa" w:w="1800"/>
            <w:tcBorders>
              <w:top w:val="single" w:color="B0BEC5" w:sz="1"/>
              <w:left w:val="single" w:color="B0BEC5" w:sz="1"/>
              <w:bottom w:val="single" w:color="B0BEC5" w:sz="1"/>
              <w:right w:val="single" w:color="B0BEC5" w:sz="1"/>
            </w:tcBorders>
            <w:tcMar>
              <w:top w:type="dxa" w:w="60"/>
              <w:left w:type="dxa" w:w="120"/>
              <w:bottom w:type="dxa" w:w="60"/>
              <w:right w:type="dxa" w:w="120"/>
            </w:tcMar>
          </w:tcPr>
          <w:p>
            <w:r>
              <w:rPr>
                <w:rFonts w:ascii="Arial" w:cs="Arial" w:eastAsia="Arial" w:hAnsi="Arial"/>
                <w:b/>
                <w:bCs/>
                <w:color w:val="1A1A1A"/>
                <w:sz w:val="20"/>
                <w:szCs w:val="20"/>
              </w:rPr>
              <w:t xml:space="preserve">Yelp Fusion</w:t>
            </w:r>
          </w:p>
        </w:tc>
        <w:tc>
          <w:tcPr>
            <w:tcW w:type="dxa" w:w="1200"/>
            <w:tcBorders>
              <w:top w:val="single" w:color="B0BEC5" w:sz="1"/>
              <w:left w:val="single" w:color="B0BEC5" w:sz="1"/>
              <w:bottom w:val="single" w:color="B0BEC5" w:sz="1"/>
              <w:right w:val="single" w:color="B0BEC5" w:sz="1"/>
            </w:tcBorders>
            <w:tcMar>
              <w:top w:type="dxa" w:w="60"/>
              <w:left w:type="dxa" w:w="120"/>
              <w:bottom w:type="dxa" w:w="60"/>
              <w:right w:type="dxa" w:w="120"/>
            </w:tcMar>
          </w:tcPr>
          <w:p>
            <w:r>
              <w:rPr>
                <w:rFonts w:ascii="Arial" w:cs="Arial" w:eastAsia="Arial" w:hAnsi="Arial"/>
                <w:b w:val="false"/>
                <w:bCs w:val="false"/>
                <w:color w:val="1A1A1A"/>
                <w:sz w:val="20"/>
                <w:szCs w:val="20"/>
              </w:rPr>
              <w:t xml:space="preserve">Free</w:t>
            </w:r>
          </w:p>
        </w:tc>
        <w:tc>
          <w:tcPr>
            <w:tcW w:type="dxa" w:w="1100"/>
            <w:tcBorders>
              <w:top w:val="single" w:color="B0BEC5" w:sz="1"/>
              <w:left w:val="single" w:color="B0BEC5" w:sz="1"/>
              <w:bottom w:val="single" w:color="B0BEC5" w:sz="1"/>
              <w:right w:val="single" w:color="B0BEC5" w:sz="1"/>
            </w:tcBorders>
            <w:tcMar>
              <w:top w:type="dxa" w:w="60"/>
              <w:left w:type="dxa" w:w="120"/>
              <w:bottom w:type="dxa" w:w="60"/>
              <w:right w:type="dxa" w:w="120"/>
            </w:tcMar>
          </w:tcPr>
          <w:p>
            <w:r>
              <w:rPr>
                <w:rFonts w:ascii="Arial" w:cs="Arial" w:eastAsia="Arial" w:hAnsi="Arial"/>
                <w:b w:val="false"/>
                <w:bCs w:val="false"/>
                <w:color w:val="1A1A1A"/>
                <w:sz w:val="20"/>
                <w:szCs w:val="20"/>
              </w:rPr>
              <w:t xml:space="preserve">500/day</w:t>
            </w:r>
          </w:p>
        </w:tc>
        <w:tc>
          <w:tcPr>
            <w:tcW w:type="dxa" w:w="1300"/>
            <w:tcBorders>
              <w:top w:val="single" w:color="B0BEC5" w:sz="1"/>
              <w:left w:val="single" w:color="B0BEC5" w:sz="1"/>
              <w:bottom w:val="single" w:color="B0BEC5" w:sz="1"/>
              <w:right w:val="single" w:color="B0BEC5" w:sz="1"/>
            </w:tcBorders>
            <w:tcMar>
              <w:top w:type="dxa" w:w="60"/>
              <w:left w:type="dxa" w:w="120"/>
              <w:bottom w:type="dxa" w:w="60"/>
              <w:right w:type="dxa" w:w="120"/>
            </w:tcMar>
          </w:tcPr>
          <w:p>
            <w:r>
              <w:rPr>
                <w:rFonts w:ascii="Arial" w:cs="Arial" w:eastAsia="Arial" w:hAnsi="Arial"/>
                <w:b w:val="false"/>
                <w:bCs w:val="false"/>
                <w:color w:val="E65100"/>
                <w:sz w:val="20"/>
                <w:szCs w:val="20"/>
              </w:rPr>
              <w:t xml:space="preserve">MEDIUM</w:t>
            </w:r>
          </w:p>
        </w:tc>
        <w:tc>
          <w:tcPr>
            <w:tcW w:type="dxa" w:w="1200"/>
            <w:tcBorders>
              <w:top w:val="single" w:color="B0BEC5" w:sz="1"/>
              <w:left w:val="single" w:color="B0BEC5" w:sz="1"/>
              <w:bottom w:val="single" w:color="B0BEC5" w:sz="1"/>
              <w:right w:val="single" w:color="B0BEC5" w:sz="1"/>
            </w:tcBorders>
            <w:tcMar>
              <w:top w:type="dxa" w:w="60"/>
              <w:left w:type="dxa" w:w="120"/>
              <w:bottom w:type="dxa" w:w="60"/>
              <w:right w:type="dxa" w:w="120"/>
            </w:tcMar>
          </w:tcPr>
          <w:p>
            <w:r>
              <w:rPr>
                <w:rFonts w:ascii="Arial" w:cs="Arial" w:eastAsia="Arial" w:hAnsi="Arial"/>
                <w:b w:val="false"/>
                <w:bCs w:val="false"/>
                <w:color w:val="1A1A1A"/>
                <w:sz w:val="20"/>
                <w:szCs w:val="20"/>
              </w:rPr>
              <w:t xml:space="preserve">Low</w:t>
            </w:r>
          </w:p>
        </w:tc>
        <w:tc>
          <w:tcPr>
            <w:tcW w:type="dxa" w:w="1100"/>
            <w:tcBorders>
              <w:top w:val="single" w:color="B0BEC5" w:sz="1"/>
              <w:left w:val="single" w:color="B0BEC5" w:sz="1"/>
              <w:bottom w:val="single" w:color="B0BEC5" w:sz="1"/>
              <w:right w:val="single" w:color="B0BEC5" w:sz="1"/>
            </w:tcBorders>
            <w:tcMar>
              <w:top w:type="dxa" w:w="60"/>
              <w:left w:type="dxa" w:w="120"/>
              <w:bottom w:type="dxa" w:w="60"/>
              <w:right w:type="dxa" w:w="120"/>
            </w:tcMar>
          </w:tcPr>
          <w:p>
            <w:r>
              <w:rPr>
                <w:rFonts w:ascii="Arial" w:cs="Arial" w:eastAsia="Arial" w:hAnsi="Arial"/>
                <w:b/>
                <w:bCs/>
                <w:color w:val="1A1A1A"/>
                <w:sz w:val="20"/>
                <w:szCs w:val="20"/>
              </w:rPr>
              <w:t xml:space="preserve">V1 BUILD</w:t>
            </w:r>
          </w:p>
        </w:tc>
        <w:tc>
          <w:tcPr>
            <w:tcW w:type="dxa" w:w="1660"/>
            <w:tcBorders>
              <w:top w:val="single" w:color="B0BEC5" w:sz="1"/>
              <w:left w:val="single" w:color="B0BEC5" w:sz="1"/>
              <w:bottom w:val="single" w:color="B0BEC5" w:sz="1"/>
              <w:right w:val="single" w:color="B0BEC5" w:sz="1"/>
            </w:tcBorders>
            <w:tcMar>
              <w:top w:type="dxa" w:w="60"/>
              <w:left w:type="dxa" w:w="120"/>
              <w:bottom w:type="dxa" w:w="60"/>
              <w:right w:type="dxa" w:w="120"/>
            </w:tcMar>
          </w:tcPr>
          <w:p>
            <w:r>
              <w:rPr>
                <w:rFonts w:ascii="Arial" w:cs="Arial" w:eastAsia="Arial" w:hAnsi="Arial"/>
                <w:b w:val="false"/>
                <w:bCs w:val="false"/>
                <w:color w:val="1A1A1A"/>
                <w:sz w:val="20"/>
                <w:szCs w:val="20"/>
              </w:rPr>
              <w:t xml:space="preserve">Use Business Match</w:t>
            </w:r>
          </w:p>
        </w:tc>
      </w:tr>
      <w:tr>
        <w:tc>
          <w:tcPr>
            <w:tcW w:type="dxa" w:w="1800"/>
            <w:tcBorders>
              <w:top w:val="single" w:color="B0BEC5" w:sz="1"/>
              <w:left w:val="single" w:color="B0BEC5" w:sz="1"/>
              <w:bottom w:val="single" w:color="B0BEC5" w:sz="1"/>
              <w:right w:val="single" w:color="B0BEC5" w:sz="1"/>
            </w:tcBorders>
            <w:shd w:fill="F8FAFC" w:val="clear"/>
            <w:tcMar>
              <w:top w:type="dxa" w:w="60"/>
              <w:left w:type="dxa" w:w="120"/>
              <w:bottom w:type="dxa" w:w="60"/>
              <w:right w:type="dxa" w:w="120"/>
            </w:tcMar>
          </w:tcPr>
          <w:p>
            <w:r>
              <w:rPr>
                <w:rFonts w:ascii="Arial" w:cs="Arial" w:eastAsia="Arial" w:hAnsi="Arial"/>
                <w:b/>
                <w:bCs/>
                <w:color w:val="1A1A1A"/>
                <w:sz w:val="20"/>
                <w:szCs w:val="20"/>
              </w:rPr>
              <w:t xml:space="preserve">Walk Score</w:t>
            </w:r>
          </w:p>
        </w:tc>
        <w:tc>
          <w:tcPr>
            <w:tcW w:type="dxa" w:w="1200"/>
            <w:tcBorders>
              <w:top w:val="single" w:color="B0BEC5" w:sz="1"/>
              <w:left w:val="single" w:color="B0BEC5" w:sz="1"/>
              <w:bottom w:val="single" w:color="B0BEC5" w:sz="1"/>
              <w:right w:val="single" w:color="B0BEC5" w:sz="1"/>
            </w:tcBorders>
            <w:shd w:fill="F8FAFC" w:val="clear"/>
            <w:tcMar>
              <w:top w:type="dxa" w:w="60"/>
              <w:left w:type="dxa" w:w="120"/>
              <w:bottom w:type="dxa" w:w="60"/>
              <w:right w:type="dxa" w:w="120"/>
            </w:tcMar>
          </w:tcPr>
          <w:p>
            <w:r>
              <w:rPr>
                <w:rFonts w:ascii="Arial" w:cs="Arial" w:eastAsia="Arial" w:hAnsi="Arial"/>
                <w:b w:val="false"/>
                <w:bCs w:val="false"/>
                <w:color w:val="1A1A1A"/>
                <w:sz w:val="20"/>
                <w:szCs w:val="20"/>
              </w:rPr>
              <w:t xml:space="preserve">Free*</w:t>
            </w:r>
          </w:p>
        </w:tc>
        <w:tc>
          <w:tcPr>
            <w:tcW w:type="dxa" w:w="1100"/>
            <w:tcBorders>
              <w:top w:val="single" w:color="B0BEC5" w:sz="1"/>
              <w:left w:val="single" w:color="B0BEC5" w:sz="1"/>
              <w:bottom w:val="single" w:color="B0BEC5" w:sz="1"/>
              <w:right w:val="single" w:color="B0BEC5" w:sz="1"/>
            </w:tcBorders>
            <w:shd w:fill="F8FAFC" w:val="clear"/>
            <w:tcMar>
              <w:top w:type="dxa" w:w="60"/>
              <w:left w:type="dxa" w:w="120"/>
              <w:bottom w:type="dxa" w:w="60"/>
              <w:right w:type="dxa" w:w="120"/>
            </w:tcMar>
          </w:tcPr>
          <w:p>
            <w:r>
              <w:rPr>
                <w:rFonts w:ascii="Arial" w:cs="Arial" w:eastAsia="Arial" w:hAnsi="Arial"/>
                <w:b w:val="false"/>
                <w:bCs w:val="false"/>
                <w:color w:val="1A1A1A"/>
                <w:sz w:val="20"/>
                <w:szCs w:val="20"/>
              </w:rPr>
              <w:t xml:space="preserve">Varies</w:t>
            </w:r>
          </w:p>
        </w:tc>
        <w:tc>
          <w:tcPr>
            <w:tcW w:type="dxa" w:w="1300"/>
            <w:tcBorders>
              <w:top w:val="single" w:color="B0BEC5" w:sz="1"/>
              <w:left w:val="single" w:color="B0BEC5" w:sz="1"/>
              <w:bottom w:val="single" w:color="B0BEC5" w:sz="1"/>
              <w:right w:val="single" w:color="B0BEC5" w:sz="1"/>
            </w:tcBorders>
            <w:shd w:fill="F8FAFC" w:val="clear"/>
            <w:tcMar>
              <w:top w:type="dxa" w:w="60"/>
              <w:left w:type="dxa" w:w="120"/>
              <w:bottom w:type="dxa" w:w="60"/>
              <w:right w:type="dxa" w:w="120"/>
            </w:tcMar>
          </w:tcPr>
          <w:p>
            <w:r>
              <w:rPr>
                <w:rFonts w:ascii="Arial" w:cs="Arial" w:eastAsia="Arial" w:hAnsi="Arial"/>
                <w:b w:val="false"/>
                <w:bCs w:val="false"/>
                <w:color w:val="2E7D32"/>
                <w:sz w:val="20"/>
                <w:szCs w:val="20"/>
              </w:rPr>
              <w:t xml:space="preserve">HIGH</w:t>
            </w:r>
          </w:p>
        </w:tc>
        <w:tc>
          <w:tcPr>
            <w:tcW w:type="dxa" w:w="1200"/>
            <w:tcBorders>
              <w:top w:val="single" w:color="B0BEC5" w:sz="1"/>
              <w:left w:val="single" w:color="B0BEC5" w:sz="1"/>
              <w:bottom w:val="single" w:color="B0BEC5" w:sz="1"/>
              <w:right w:val="single" w:color="B0BEC5" w:sz="1"/>
            </w:tcBorders>
            <w:shd w:fill="F8FAFC" w:val="clear"/>
            <w:tcMar>
              <w:top w:type="dxa" w:w="60"/>
              <w:left w:type="dxa" w:w="120"/>
              <w:bottom w:type="dxa" w:w="60"/>
              <w:right w:type="dxa" w:w="120"/>
            </w:tcMar>
          </w:tcPr>
          <w:p>
            <w:r>
              <w:rPr>
                <w:rFonts w:ascii="Arial" w:cs="Arial" w:eastAsia="Arial" w:hAnsi="Arial"/>
                <w:b w:val="false"/>
                <w:bCs w:val="false"/>
                <w:color w:val="1A1A1A"/>
                <w:sz w:val="20"/>
                <w:szCs w:val="20"/>
              </w:rPr>
              <w:t xml:space="preserve">Very Low</w:t>
            </w:r>
          </w:p>
        </w:tc>
        <w:tc>
          <w:tcPr>
            <w:tcW w:type="dxa" w:w="1100"/>
            <w:tcBorders>
              <w:top w:val="single" w:color="B0BEC5" w:sz="1"/>
              <w:left w:val="single" w:color="B0BEC5" w:sz="1"/>
              <w:bottom w:val="single" w:color="B0BEC5" w:sz="1"/>
              <w:right w:val="single" w:color="B0BEC5" w:sz="1"/>
            </w:tcBorders>
            <w:shd w:fill="F8FAFC" w:val="clear"/>
            <w:tcMar>
              <w:top w:type="dxa" w:w="60"/>
              <w:left w:type="dxa" w:w="120"/>
              <w:bottom w:type="dxa" w:w="60"/>
              <w:right w:type="dxa" w:w="120"/>
            </w:tcMar>
          </w:tcPr>
          <w:p>
            <w:r>
              <w:rPr>
                <w:rFonts w:ascii="Arial" w:cs="Arial" w:eastAsia="Arial" w:hAnsi="Arial"/>
                <w:b/>
                <w:bCs/>
                <w:color w:val="1A1A1A"/>
                <w:sz w:val="20"/>
                <w:szCs w:val="20"/>
              </w:rPr>
              <w:t xml:space="preserve">V1 BUILD</w:t>
            </w:r>
          </w:p>
        </w:tc>
        <w:tc>
          <w:tcPr>
            <w:tcW w:type="dxa" w:w="1660"/>
            <w:tcBorders>
              <w:top w:val="single" w:color="B0BEC5" w:sz="1"/>
              <w:left w:val="single" w:color="B0BEC5" w:sz="1"/>
              <w:bottom w:val="single" w:color="B0BEC5" w:sz="1"/>
              <w:right w:val="single" w:color="B0BEC5" w:sz="1"/>
            </w:tcBorders>
            <w:shd w:fill="F8FAFC" w:val="clear"/>
            <w:tcMar>
              <w:top w:type="dxa" w:w="60"/>
              <w:left w:type="dxa" w:w="120"/>
              <w:bottom w:type="dxa" w:w="60"/>
              <w:right w:type="dxa" w:w="120"/>
            </w:tcMar>
          </w:tcPr>
          <w:p>
            <w:r>
              <w:rPr>
                <w:rFonts w:ascii="Arial" w:cs="Arial" w:eastAsia="Arial" w:hAnsi="Arial"/>
                <w:b w:val="false"/>
                <w:bCs w:val="false"/>
                <w:color w:val="1A1A1A"/>
                <w:sz w:val="20"/>
                <w:szCs w:val="20"/>
              </w:rPr>
              <w:t xml:space="preserve">NEW — single API call</w:t>
            </w:r>
          </w:p>
        </w:tc>
      </w:tr>
      <w:tr>
        <w:tc>
          <w:tcPr>
            <w:tcW w:type="dxa" w:w="1800"/>
            <w:tcBorders>
              <w:top w:val="single" w:color="B0BEC5" w:sz="1"/>
              <w:left w:val="single" w:color="B0BEC5" w:sz="1"/>
              <w:bottom w:val="single" w:color="B0BEC5" w:sz="1"/>
              <w:right w:val="single" w:color="B0BEC5" w:sz="1"/>
            </w:tcBorders>
            <w:tcMar>
              <w:top w:type="dxa" w:w="60"/>
              <w:left w:type="dxa" w:w="120"/>
              <w:bottom w:type="dxa" w:w="60"/>
              <w:right w:type="dxa" w:w="120"/>
            </w:tcMar>
          </w:tcPr>
          <w:p>
            <w:r>
              <w:rPr>
                <w:rFonts w:ascii="Arial" w:cs="Arial" w:eastAsia="Arial" w:hAnsi="Arial"/>
                <w:b/>
                <w:bCs/>
                <w:color w:val="1A1A1A"/>
                <w:sz w:val="20"/>
                <w:szCs w:val="20"/>
              </w:rPr>
              <w:t xml:space="preserve">Census LEHD</w:t>
            </w:r>
          </w:p>
        </w:tc>
        <w:tc>
          <w:tcPr>
            <w:tcW w:type="dxa" w:w="1200"/>
            <w:tcBorders>
              <w:top w:val="single" w:color="B0BEC5" w:sz="1"/>
              <w:left w:val="single" w:color="B0BEC5" w:sz="1"/>
              <w:bottom w:val="single" w:color="B0BEC5" w:sz="1"/>
              <w:right w:val="single" w:color="B0BEC5" w:sz="1"/>
            </w:tcBorders>
            <w:tcMar>
              <w:top w:type="dxa" w:w="60"/>
              <w:left w:type="dxa" w:w="120"/>
              <w:bottom w:type="dxa" w:w="60"/>
              <w:right w:type="dxa" w:w="120"/>
            </w:tcMar>
          </w:tcPr>
          <w:p>
            <w:r>
              <w:rPr>
                <w:rFonts w:ascii="Arial" w:cs="Arial" w:eastAsia="Arial" w:hAnsi="Arial"/>
                <w:b w:val="false"/>
                <w:bCs w:val="false"/>
                <w:color w:val="1A1A1A"/>
                <w:sz w:val="20"/>
                <w:szCs w:val="20"/>
              </w:rPr>
              <w:t xml:space="preserve">Free</w:t>
            </w:r>
          </w:p>
        </w:tc>
        <w:tc>
          <w:tcPr>
            <w:tcW w:type="dxa" w:w="1100"/>
            <w:tcBorders>
              <w:top w:val="single" w:color="B0BEC5" w:sz="1"/>
              <w:left w:val="single" w:color="B0BEC5" w:sz="1"/>
              <w:bottom w:val="single" w:color="B0BEC5" w:sz="1"/>
              <w:right w:val="single" w:color="B0BEC5" w:sz="1"/>
            </w:tcBorders>
            <w:tcMar>
              <w:top w:type="dxa" w:w="60"/>
              <w:left w:type="dxa" w:w="120"/>
              <w:bottom w:type="dxa" w:w="60"/>
              <w:right w:type="dxa" w:w="120"/>
            </w:tcMar>
          </w:tcPr>
          <w:p>
            <w:r>
              <w:rPr>
                <w:rFonts w:ascii="Arial" w:cs="Arial" w:eastAsia="Arial" w:hAnsi="Arial"/>
                <w:b w:val="false"/>
                <w:bCs w:val="false"/>
                <w:color w:val="1A1A1A"/>
                <w:sz w:val="20"/>
                <w:szCs w:val="20"/>
              </w:rPr>
              <w:t xml:space="preserve">None</w:t>
            </w:r>
          </w:p>
        </w:tc>
        <w:tc>
          <w:tcPr>
            <w:tcW w:type="dxa" w:w="1300"/>
            <w:tcBorders>
              <w:top w:val="single" w:color="B0BEC5" w:sz="1"/>
              <w:left w:val="single" w:color="B0BEC5" w:sz="1"/>
              <w:bottom w:val="single" w:color="B0BEC5" w:sz="1"/>
              <w:right w:val="single" w:color="B0BEC5" w:sz="1"/>
            </w:tcBorders>
            <w:tcMar>
              <w:top w:type="dxa" w:w="60"/>
              <w:left w:type="dxa" w:w="120"/>
              <w:bottom w:type="dxa" w:w="60"/>
              <w:right w:type="dxa" w:w="120"/>
            </w:tcMar>
          </w:tcPr>
          <w:p>
            <w:r>
              <w:rPr>
                <w:rFonts w:ascii="Arial" w:cs="Arial" w:eastAsia="Arial" w:hAnsi="Arial"/>
                <w:b w:val="false"/>
                <w:bCs w:val="false"/>
                <w:color w:val="2E7D32"/>
                <w:sz w:val="20"/>
                <w:szCs w:val="20"/>
              </w:rPr>
              <w:t xml:space="preserve">HIGH</w:t>
            </w:r>
          </w:p>
        </w:tc>
        <w:tc>
          <w:tcPr>
            <w:tcW w:type="dxa" w:w="1200"/>
            <w:tcBorders>
              <w:top w:val="single" w:color="B0BEC5" w:sz="1"/>
              <w:left w:val="single" w:color="B0BEC5" w:sz="1"/>
              <w:bottom w:val="single" w:color="B0BEC5" w:sz="1"/>
              <w:right w:val="single" w:color="B0BEC5" w:sz="1"/>
            </w:tcBorders>
            <w:tcMar>
              <w:top w:type="dxa" w:w="60"/>
              <w:left w:type="dxa" w:w="120"/>
              <w:bottom w:type="dxa" w:w="60"/>
              <w:right w:type="dxa" w:w="120"/>
            </w:tcMar>
          </w:tcPr>
          <w:p>
            <w:r>
              <w:rPr>
                <w:rFonts w:ascii="Arial" w:cs="Arial" w:eastAsia="Arial" w:hAnsi="Arial"/>
                <w:b w:val="false"/>
                <w:bCs w:val="false"/>
                <w:color w:val="1A1A1A"/>
                <w:sz w:val="20"/>
                <w:szCs w:val="20"/>
              </w:rPr>
              <w:t xml:space="preserve">Medium</w:t>
            </w:r>
          </w:p>
        </w:tc>
        <w:tc>
          <w:tcPr>
            <w:tcW w:type="dxa" w:w="1100"/>
            <w:tcBorders>
              <w:top w:val="single" w:color="B0BEC5" w:sz="1"/>
              <w:left w:val="single" w:color="B0BEC5" w:sz="1"/>
              <w:bottom w:val="single" w:color="B0BEC5" w:sz="1"/>
              <w:right w:val="single" w:color="B0BEC5" w:sz="1"/>
            </w:tcBorders>
            <w:tcMar>
              <w:top w:type="dxa" w:w="60"/>
              <w:left w:type="dxa" w:w="120"/>
              <w:bottom w:type="dxa" w:w="60"/>
              <w:right w:type="dxa" w:w="120"/>
            </w:tcMar>
          </w:tcPr>
          <w:p>
            <w:r>
              <w:rPr>
                <w:rFonts w:ascii="Arial" w:cs="Arial" w:eastAsia="Arial" w:hAnsi="Arial"/>
                <w:b/>
                <w:bCs/>
                <w:color w:val="1A1A1A"/>
                <w:sz w:val="20"/>
                <w:szCs w:val="20"/>
              </w:rPr>
              <w:t xml:space="preserve">V1 BUILD</w:t>
            </w:r>
          </w:p>
        </w:tc>
        <w:tc>
          <w:tcPr>
            <w:tcW w:type="dxa" w:w="1660"/>
            <w:tcBorders>
              <w:top w:val="single" w:color="B0BEC5" w:sz="1"/>
              <w:left w:val="single" w:color="B0BEC5" w:sz="1"/>
              <w:bottom w:val="single" w:color="B0BEC5" w:sz="1"/>
              <w:right w:val="single" w:color="B0BEC5" w:sz="1"/>
            </w:tcBorders>
            <w:tcMar>
              <w:top w:type="dxa" w:w="60"/>
              <w:left w:type="dxa" w:w="120"/>
              <w:bottom w:type="dxa" w:w="60"/>
              <w:right w:type="dxa" w:w="120"/>
            </w:tcMar>
          </w:tcPr>
          <w:p>
            <w:r>
              <w:rPr>
                <w:rFonts w:ascii="Arial" w:cs="Arial" w:eastAsia="Arial" w:hAnsi="Arial"/>
                <w:b w:val="false"/>
                <w:bCs w:val="false"/>
                <w:color w:val="1A1A1A"/>
                <w:sz w:val="20"/>
                <w:szCs w:val="20"/>
              </w:rPr>
              <w:t xml:space="preserve">NEW — pre-process CSVs</w:t>
            </w:r>
          </w:p>
        </w:tc>
      </w:tr>
      <w:tr>
        <w:tc>
          <w:tcPr>
            <w:tcW w:type="dxa" w:w="1800"/>
            <w:tcBorders>
              <w:top w:val="single" w:color="B0BEC5" w:sz="1"/>
              <w:left w:val="single" w:color="B0BEC5" w:sz="1"/>
              <w:bottom w:val="single" w:color="B0BEC5" w:sz="1"/>
              <w:right w:val="single" w:color="B0BEC5" w:sz="1"/>
            </w:tcBorders>
            <w:shd w:fill="F8FAFC" w:val="clear"/>
            <w:tcMar>
              <w:top w:type="dxa" w:w="60"/>
              <w:left w:type="dxa" w:w="120"/>
              <w:bottom w:type="dxa" w:w="60"/>
              <w:right w:type="dxa" w:w="120"/>
            </w:tcMar>
          </w:tcPr>
          <w:p>
            <w:r>
              <w:rPr>
                <w:rFonts w:ascii="Arial" w:cs="Arial" w:eastAsia="Arial" w:hAnsi="Arial"/>
                <w:b/>
                <w:bCs/>
                <w:color w:val="1A1A1A"/>
                <w:sz w:val="20"/>
                <w:szCs w:val="20"/>
              </w:rPr>
              <w:t xml:space="preserve">EPA Smart Loc.</w:t>
            </w:r>
          </w:p>
        </w:tc>
        <w:tc>
          <w:tcPr>
            <w:tcW w:type="dxa" w:w="1200"/>
            <w:tcBorders>
              <w:top w:val="single" w:color="B0BEC5" w:sz="1"/>
              <w:left w:val="single" w:color="B0BEC5" w:sz="1"/>
              <w:bottom w:val="single" w:color="B0BEC5" w:sz="1"/>
              <w:right w:val="single" w:color="B0BEC5" w:sz="1"/>
            </w:tcBorders>
            <w:shd w:fill="F8FAFC" w:val="clear"/>
            <w:tcMar>
              <w:top w:type="dxa" w:w="60"/>
              <w:left w:type="dxa" w:w="120"/>
              <w:bottom w:type="dxa" w:w="60"/>
              <w:right w:type="dxa" w:w="120"/>
            </w:tcMar>
          </w:tcPr>
          <w:p>
            <w:r>
              <w:rPr>
                <w:rFonts w:ascii="Arial" w:cs="Arial" w:eastAsia="Arial" w:hAnsi="Arial"/>
                <w:b w:val="false"/>
                <w:bCs w:val="false"/>
                <w:color w:val="1A1A1A"/>
                <w:sz w:val="20"/>
                <w:szCs w:val="20"/>
              </w:rPr>
              <w:t xml:space="preserve">Free</w:t>
            </w:r>
          </w:p>
        </w:tc>
        <w:tc>
          <w:tcPr>
            <w:tcW w:type="dxa" w:w="1100"/>
            <w:tcBorders>
              <w:top w:val="single" w:color="B0BEC5" w:sz="1"/>
              <w:left w:val="single" w:color="B0BEC5" w:sz="1"/>
              <w:bottom w:val="single" w:color="B0BEC5" w:sz="1"/>
              <w:right w:val="single" w:color="B0BEC5" w:sz="1"/>
            </w:tcBorders>
            <w:shd w:fill="F8FAFC" w:val="clear"/>
            <w:tcMar>
              <w:top w:type="dxa" w:w="60"/>
              <w:left w:type="dxa" w:w="120"/>
              <w:bottom w:type="dxa" w:w="60"/>
              <w:right w:type="dxa" w:w="120"/>
            </w:tcMar>
          </w:tcPr>
          <w:p>
            <w:r>
              <w:rPr>
                <w:rFonts w:ascii="Arial" w:cs="Arial" w:eastAsia="Arial" w:hAnsi="Arial"/>
                <w:b w:val="false"/>
                <w:bCs w:val="false"/>
                <w:color w:val="1A1A1A"/>
                <w:sz w:val="20"/>
                <w:szCs w:val="20"/>
              </w:rPr>
              <w:t xml:space="preserve">None</w:t>
            </w:r>
          </w:p>
        </w:tc>
        <w:tc>
          <w:tcPr>
            <w:tcW w:type="dxa" w:w="1300"/>
            <w:tcBorders>
              <w:top w:val="single" w:color="B0BEC5" w:sz="1"/>
              <w:left w:val="single" w:color="B0BEC5" w:sz="1"/>
              <w:bottom w:val="single" w:color="B0BEC5" w:sz="1"/>
              <w:right w:val="single" w:color="B0BEC5" w:sz="1"/>
            </w:tcBorders>
            <w:shd w:fill="F8FAFC" w:val="clear"/>
            <w:tcMar>
              <w:top w:type="dxa" w:w="60"/>
              <w:left w:type="dxa" w:w="120"/>
              <w:bottom w:type="dxa" w:w="60"/>
              <w:right w:type="dxa" w:w="120"/>
            </w:tcMar>
          </w:tcPr>
          <w:p>
            <w:r>
              <w:rPr>
                <w:rFonts w:ascii="Arial" w:cs="Arial" w:eastAsia="Arial" w:hAnsi="Arial"/>
                <w:b w:val="false"/>
                <w:bCs w:val="false"/>
                <w:color w:val="E65100"/>
                <w:sz w:val="20"/>
                <w:szCs w:val="20"/>
              </w:rPr>
              <w:t xml:space="preserve">MEDIUM</w:t>
            </w:r>
          </w:p>
        </w:tc>
        <w:tc>
          <w:tcPr>
            <w:tcW w:type="dxa" w:w="1200"/>
            <w:tcBorders>
              <w:top w:val="single" w:color="B0BEC5" w:sz="1"/>
              <w:left w:val="single" w:color="B0BEC5" w:sz="1"/>
              <w:bottom w:val="single" w:color="B0BEC5" w:sz="1"/>
              <w:right w:val="single" w:color="B0BEC5" w:sz="1"/>
            </w:tcBorders>
            <w:shd w:fill="F8FAFC" w:val="clear"/>
            <w:tcMar>
              <w:top w:type="dxa" w:w="60"/>
              <w:left w:type="dxa" w:w="120"/>
              <w:bottom w:type="dxa" w:w="60"/>
              <w:right w:type="dxa" w:w="120"/>
            </w:tcMar>
          </w:tcPr>
          <w:p>
            <w:r>
              <w:rPr>
                <w:rFonts w:ascii="Arial" w:cs="Arial" w:eastAsia="Arial" w:hAnsi="Arial"/>
                <w:b w:val="false"/>
                <w:bCs w:val="false"/>
                <w:color w:val="1A1A1A"/>
                <w:sz w:val="20"/>
                <w:szCs w:val="20"/>
              </w:rPr>
              <w:t xml:space="preserve">Medium</w:t>
            </w:r>
          </w:p>
        </w:tc>
        <w:tc>
          <w:tcPr>
            <w:tcW w:type="dxa" w:w="1100"/>
            <w:tcBorders>
              <w:top w:val="single" w:color="B0BEC5" w:sz="1"/>
              <w:left w:val="single" w:color="B0BEC5" w:sz="1"/>
              <w:bottom w:val="single" w:color="B0BEC5" w:sz="1"/>
              <w:right w:val="single" w:color="B0BEC5" w:sz="1"/>
            </w:tcBorders>
            <w:shd w:fill="F8FAFC" w:val="clear"/>
            <w:tcMar>
              <w:top w:type="dxa" w:w="60"/>
              <w:left w:type="dxa" w:w="120"/>
              <w:bottom w:type="dxa" w:w="60"/>
              <w:right w:type="dxa" w:w="120"/>
            </w:tcMar>
          </w:tcPr>
          <w:p>
            <w:r>
              <w:rPr>
                <w:rFonts w:ascii="Arial" w:cs="Arial" w:eastAsia="Arial" w:hAnsi="Arial"/>
                <w:b w:val="false"/>
                <w:bCs w:val="false"/>
                <w:color w:val="1A1A1A"/>
                <w:sz w:val="20"/>
                <w:szCs w:val="20"/>
              </w:rPr>
              <w:t xml:space="preserve">V1.5</w:t>
            </w:r>
          </w:p>
        </w:tc>
        <w:tc>
          <w:tcPr>
            <w:tcW w:type="dxa" w:w="1660"/>
            <w:tcBorders>
              <w:top w:val="single" w:color="B0BEC5" w:sz="1"/>
              <w:left w:val="single" w:color="B0BEC5" w:sz="1"/>
              <w:bottom w:val="single" w:color="B0BEC5" w:sz="1"/>
              <w:right w:val="single" w:color="B0BEC5" w:sz="1"/>
            </w:tcBorders>
            <w:shd w:fill="F8FAFC" w:val="clear"/>
            <w:tcMar>
              <w:top w:type="dxa" w:w="60"/>
              <w:left w:type="dxa" w:w="120"/>
              <w:bottom w:type="dxa" w:w="60"/>
              <w:right w:type="dxa" w:w="120"/>
            </w:tcMar>
          </w:tcPr>
          <w:p>
            <w:r>
              <w:rPr>
                <w:rFonts w:ascii="Arial" w:cs="Arial" w:eastAsia="Arial" w:hAnsi="Arial"/>
                <w:b w:val="false"/>
                <w:bCs w:val="false"/>
                <w:color w:val="1A1A1A"/>
                <w:sz w:val="20"/>
                <w:szCs w:val="20"/>
              </w:rPr>
              <w:t xml:space="preserve">NEW — nice enrichment</w:t>
            </w:r>
          </w:p>
        </w:tc>
      </w:tr>
      <w:tr>
        <w:tc>
          <w:tcPr>
            <w:tcW w:type="dxa" w:w="1800"/>
            <w:tcBorders>
              <w:top w:val="single" w:color="B0BEC5" w:sz="1"/>
              <w:left w:val="single" w:color="B0BEC5" w:sz="1"/>
              <w:bottom w:val="single" w:color="B0BEC5" w:sz="1"/>
              <w:right w:val="single" w:color="B0BEC5" w:sz="1"/>
            </w:tcBorders>
            <w:tcMar>
              <w:top w:type="dxa" w:w="60"/>
              <w:left w:type="dxa" w:w="120"/>
              <w:bottom w:type="dxa" w:w="60"/>
              <w:right w:type="dxa" w:w="120"/>
            </w:tcMar>
          </w:tcPr>
          <w:p>
            <w:r>
              <w:rPr>
                <w:rFonts w:ascii="Arial" w:cs="Arial" w:eastAsia="Arial" w:hAnsi="Arial"/>
                <w:b/>
                <w:bCs/>
                <w:color w:val="1A1A1A"/>
                <w:sz w:val="20"/>
                <w:szCs w:val="20"/>
              </w:rPr>
              <w:t xml:space="preserve">BestTime.app</w:t>
            </w:r>
          </w:p>
        </w:tc>
        <w:tc>
          <w:tcPr>
            <w:tcW w:type="dxa" w:w="1200"/>
            <w:tcBorders>
              <w:top w:val="single" w:color="B0BEC5" w:sz="1"/>
              <w:left w:val="single" w:color="B0BEC5" w:sz="1"/>
              <w:bottom w:val="single" w:color="B0BEC5" w:sz="1"/>
              <w:right w:val="single" w:color="B0BEC5" w:sz="1"/>
            </w:tcBorders>
            <w:tcMar>
              <w:top w:type="dxa" w:w="60"/>
              <w:left w:type="dxa" w:w="120"/>
              <w:bottom w:type="dxa" w:w="60"/>
              <w:right w:type="dxa" w:w="120"/>
            </w:tcMar>
          </w:tcPr>
          <w:p>
            <w:r>
              <w:rPr>
                <w:rFonts w:ascii="Arial" w:cs="Arial" w:eastAsia="Arial" w:hAnsi="Arial"/>
                <w:b w:val="false"/>
                <w:bCs w:val="false"/>
                <w:color w:val="1A1A1A"/>
                <w:sz w:val="20"/>
                <w:szCs w:val="20"/>
              </w:rPr>
              <w:t xml:space="preserve">$9/mo</w:t>
            </w:r>
          </w:p>
        </w:tc>
        <w:tc>
          <w:tcPr>
            <w:tcW w:type="dxa" w:w="1100"/>
            <w:tcBorders>
              <w:top w:val="single" w:color="B0BEC5" w:sz="1"/>
              <w:left w:val="single" w:color="B0BEC5" w:sz="1"/>
              <w:bottom w:val="single" w:color="B0BEC5" w:sz="1"/>
              <w:right w:val="single" w:color="B0BEC5" w:sz="1"/>
            </w:tcBorders>
            <w:tcMar>
              <w:top w:type="dxa" w:w="60"/>
              <w:left w:type="dxa" w:w="120"/>
              <w:bottom w:type="dxa" w:w="60"/>
              <w:right w:type="dxa" w:w="120"/>
            </w:tcMar>
          </w:tcPr>
          <w:p>
            <w:r>
              <w:rPr>
                <w:rFonts w:ascii="Arial" w:cs="Arial" w:eastAsia="Arial" w:hAnsi="Arial"/>
                <w:b w:val="false"/>
                <w:bCs w:val="false"/>
                <w:color w:val="1A1A1A"/>
                <w:sz w:val="20"/>
                <w:szCs w:val="20"/>
              </w:rPr>
              <w:t xml:space="preserve">450/mo</w:t>
            </w:r>
          </w:p>
        </w:tc>
        <w:tc>
          <w:tcPr>
            <w:tcW w:type="dxa" w:w="1300"/>
            <w:tcBorders>
              <w:top w:val="single" w:color="B0BEC5" w:sz="1"/>
              <w:left w:val="single" w:color="B0BEC5" w:sz="1"/>
              <w:bottom w:val="single" w:color="B0BEC5" w:sz="1"/>
              <w:right w:val="single" w:color="B0BEC5" w:sz="1"/>
            </w:tcBorders>
            <w:tcMar>
              <w:top w:type="dxa" w:w="60"/>
              <w:left w:type="dxa" w:w="120"/>
              <w:bottom w:type="dxa" w:w="60"/>
              <w:right w:type="dxa" w:w="120"/>
            </w:tcMar>
          </w:tcPr>
          <w:p>
            <w:r>
              <w:rPr>
                <w:rFonts w:ascii="Arial" w:cs="Arial" w:eastAsia="Arial" w:hAnsi="Arial"/>
                <w:b w:val="false"/>
                <w:bCs w:val="false"/>
                <w:color w:val="2E7D32"/>
                <w:sz w:val="20"/>
                <w:szCs w:val="20"/>
              </w:rPr>
              <w:t xml:space="preserve">VERY HIGH</w:t>
            </w:r>
          </w:p>
        </w:tc>
        <w:tc>
          <w:tcPr>
            <w:tcW w:type="dxa" w:w="1200"/>
            <w:tcBorders>
              <w:top w:val="single" w:color="B0BEC5" w:sz="1"/>
              <w:left w:val="single" w:color="B0BEC5" w:sz="1"/>
              <w:bottom w:val="single" w:color="B0BEC5" w:sz="1"/>
              <w:right w:val="single" w:color="B0BEC5" w:sz="1"/>
            </w:tcBorders>
            <w:tcMar>
              <w:top w:type="dxa" w:w="60"/>
              <w:left w:type="dxa" w:w="120"/>
              <w:bottom w:type="dxa" w:w="60"/>
              <w:right w:type="dxa" w:w="120"/>
            </w:tcMar>
          </w:tcPr>
          <w:p>
            <w:r>
              <w:rPr>
                <w:rFonts w:ascii="Arial" w:cs="Arial" w:eastAsia="Arial" w:hAnsi="Arial"/>
                <w:b w:val="false"/>
                <w:bCs w:val="false"/>
                <w:color w:val="1A1A1A"/>
                <w:sz w:val="20"/>
                <w:szCs w:val="20"/>
              </w:rPr>
              <w:t xml:space="preserve">Very Low</w:t>
            </w:r>
          </w:p>
        </w:tc>
        <w:tc>
          <w:tcPr>
            <w:tcW w:type="dxa" w:w="1100"/>
            <w:tcBorders>
              <w:top w:val="single" w:color="B0BEC5" w:sz="1"/>
              <w:left w:val="single" w:color="B0BEC5" w:sz="1"/>
              <w:bottom w:val="single" w:color="B0BEC5" w:sz="1"/>
              <w:right w:val="single" w:color="B0BEC5" w:sz="1"/>
            </w:tcBorders>
            <w:tcMar>
              <w:top w:type="dxa" w:w="60"/>
              <w:left w:type="dxa" w:w="120"/>
              <w:bottom w:type="dxa" w:w="60"/>
              <w:right w:type="dxa" w:w="120"/>
            </w:tcMar>
          </w:tcPr>
          <w:p>
            <w:r>
              <w:rPr>
                <w:rFonts w:ascii="Arial" w:cs="Arial" w:eastAsia="Arial" w:hAnsi="Arial"/>
                <w:b/>
                <w:bCs/>
                <w:color w:val="1A1A1A"/>
                <w:sz w:val="20"/>
                <w:szCs w:val="20"/>
              </w:rPr>
              <w:t xml:space="preserve">V1 BUILD</w:t>
            </w:r>
          </w:p>
        </w:tc>
        <w:tc>
          <w:tcPr>
            <w:tcW w:type="dxa" w:w="1660"/>
            <w:tcBorders>
              <w:top w:val="single" w:color="B0BEC5" w:sz="1"/>
              <w:left w:val="single" w:color="B0BEC5" w:sz="1"/>
              <w:bottom w:val="single" w:color="B0BEC5" w:sz="1"/>
              <w:right w:val="single" w:color="B0BEC5" w:sz="1"/>
            </w:tcBorders>
            <w:tcMar>
              <w:top w:type="dxa" w:w="60"/>
              <w:left w:type="dxa" w:w="120"/>
              <w:bottom w:type="dxa" w:w="60"/>
              <w:right w:type="dxa" w:w="120"/>
            </w:tcMar>
          </w:tcPr>
          <w:p>
            <w:r>
              <w:rPr>
                <w:rFonts w:ascii="Arial" w:cs="Arial" w:eastAsia="Arial" w:hAnsi="Arial"/>
                <w:b w:val="false"/>
                <w:bCs w:val="false"/>
                <w:color w:val="1A1A1A"/>
                <w:sz w:val="20"/>
                <w:szCs w:val="20"/>
              </w:rPr>
              <w:t xml:space="preserve">NEW — replaces scraper</w:t>
            </w:r>
          </w:p>
        </w:tc>
      </w:tr>
      <w:tr>
        <w:tc>
          <w:tcPr>
            <w:tcW w:type="dxa" w:w="1800"/>
            <w:tcBorders>
              <w:top w:val="single" w:color="B0BEC5" w:sz="1"/>
              <w:left w:val="single" w:color="B0BEC5" w:sz="1"/>
              <w:bottom w:val="single" w:color="B0BEC5" w:sz="1"/>
              <w:right w:val="single" w:color="B0BEC5" w:sz="1"/>
            </w:tcBorders>
            <w:shd w:fill="F8FAFC" w:val="clear"/>
            <w:tcMar>
              <w:top w:type="dxa" w:w="60"/>
              <w:left w:type="dxa" w:w="120"/>
              <w:bottom w:type="dxa" w:w="60"/>
              <w:right w:type="dxa" w:w="120"/>
            </w:tcMar>
          </w:tcPr>
          <w:p>
            <w:r>
              <w:rPr>
                <w:rFonts w:ascii="Arial" w:cs="Arial" w:eastAsia="Arial" w:hAnsi="Arial"/>
                <w:b/>
                <w:bCs/>
                <w:color w:val="1A1A1A"/>
                <w:sz w:val="20"/>
                <w:szCs w:val="20"/>
              </w:rPr>
              <w:t xml:space="preserve">GTFS Feeds</w:t>
            </w:r>
          </w:p>
        </w:tc>
        <w:tc>
          <w:tcPr>
            <w:tcW w:type="dxa" w:w="1200"/>
            <w:tcBorders>
              <w:top w:val="single" w:color="B0BEC5" w:sz="1"/>
              <w:left w:val="single" w:color="B0BEC5" w:sz="1"/>
              <w:bottom w:val="single" w:color="B0BEC5" w:sz="1"/>
              <w:right w:val="single" w:color="B0BEC5" w:sz="1"/>
            </w:tcBorders>
            <w:shd w:fill="F8FAFC" w:val="clear"/>
            <w:tcMar>
              <w:top w:type="dxa" w:w="60"/>
              <w:left w:type="dxa" w:w="120"/>
              <w:bottom w:type="dxa" w:w="60"/>
              <w:right w:type="dxa" w:w="120"/>
            </w:tcMar>
          </w:tcPr>
          <w:p>
            <w:r>
              <w:rPr>
                <w:rFonts w:ascii="Arial" w:cs="Arial" w:eastAsia="Arial" w:hAnsi="Arial"/>
                <w:b w:val="false"/>
                <w:bCs w:val="false"/>
                <w:color w:val="1A1A1A"/>
                <w:sz w:val="20"/>
                <w:szCs w:val="20"/>
              </w:rPr>
              <w:t xml:space="preserve">Free</w:t>
            </w:r>
          </w:p>
        </w:tc>
        <w:tc>
          <w:tcPr>
            <w:tcW w:type="dxa" w:w="1100"/>
            <w:tcBorders>
              <w:top w:val="single" w:color="B0BEC5" w:sz="1"/>
              <w:left w:val="single" w:color="B0BEC5" w:sz="1"/>
              <w:bottom w:val="single" w:color="B0BEC5" w:sz="1"/>
              <w:right w:val="single" w:color="B0BEC5" w:sz="1"/>
            </w:tcBorders>
            <w:shd w:fill="F8FAFC" w:val="clear"/>
            <w:tcMar>
              <w:top w:type="dxa" w:w="60"/>
              <w:left w:type="dxa" w:w="120"/>
              <w:bottom w:type="dxa" w:w="60"/>
              <w:right w:type="dxa" w:w="120"/>
            </w:tcMar>
          </w:tcPr>
          <w:p>
            <w:r>
              <w:rPr>
                <w:rFonts w:ascii="Arial" w:cs="Arial" w:eastAsia="Arial" w:hAnsi="Arial"/>
                <w:b w:val="false"/>
                <w:bCs w:val="false"/>
                <w:color w:val="1A1A1A"/>
                <w:sz w:val="20"/>
                <w:szCs w:val="20"/>
              </w:rPr>
              <w:t xml:space="preserve">None</w:t>
            </w:r>
          </w:p>
        </w:tc>
        <w:tc>
          <w:tcPr>
            <w:tcW w:type="dxa" w:w="1300"/>
            <w:tcBorders>
              <w:top w:val="single" w:color="B0BEC5" w:sz="1"/>
              <w:left w:val="single" w:color="B0BEC5" w:sz="1"/>
              <w:bottom w:val="single" w:color="B0BEC5" w:sz="1"/>
              <w:right w:val="single" w:color="B0BEC5" w:sz="1"/>
            </w:tcBorders>
            <w:shd w:fill="F8FAFC" w:val="clear"/>
            <w:tcMar>
              <w:top w:type="dxa" w:w="60"/>
              <w:left w:type="dxa" w:w="120"/>
              <w:bottom w:type="dxa" w:w="60"/>
              <w:right w:type="dxa" w:w="120"/>
            </w:tcMar>
          </w:tcPr>
          <w:p>
            <w:r>
              <w:rPr>
                <w:rFonts w:ascii="Arial" w:cs="Arial" w:eastAsia="Arial" w:hAnsi="Arial"/>
                <w:b w:val="false"/>
                <w:bCs w:val="false"/>
                <w:color w:val="E65100"/>
                <w:sz w:val="20"/>
                <w:szCs w:val="20"/>
              </w:rPr>
              <w:t xml:space="preserve">MEDIUM</w:t>
            </w:r>
          </w:p>
        </w:tc>
        <w:tc>
          <w:tcPr>
            <w:tcW w:type="dxa" w:w="1200"/>
            <w:tcBorders>
              <w:top w:val="single" w:color="B0BEC5" w:sz="1"/>
              <w:left w:val="single" w:color="B0BEC5" w:sz="1"/>
              <w:bottom w:val="single" w:color="B0BEC5" w:sz="1"/>
              <w:right w:val="single" w:color="B0BEC5" w:sz="1"/>
            </w:tcBorders>
            <w:shd w:fill="F8FAFC" w:val="clear"/>
            <w:tcMar>
              <w:top w:type="dxa" w:w="60"/>
              <w:left w:type="dxa" w:w="120"/>
              <w:bottom w:type="dxa" w:w="60"/>
              <w:right w:type="dxa" w:w="120"/>
            </w:tcMar>
          </w:tcPr>
          <w:p>
            <w:r>
              <w:rPr>
                <w:rFonts w:ascii="Arial" w:cs="Arial" w:eastAsia="Arial" w:hAnsi="Arial"/>
                <w:b w:val="false"/>
                <w:bCs w:val="false"/>
                <w:color w:val="1A1A1A"/>
                <w:sz w:val="20"/>
                <w:szCs w:val="20"/>
              </w:rPr>
              <w:t xml:space="preserve">High</w:t>
            </w:r>
          </w:p>
        </w:tc>
        <w:tc>
          <w:tcPr>
            <w:tcW w:type="dxa" w:w="1100"/>
            <w:tcBorders>
              <w:top w:val="single" w:color="B0BEC5" w:sz="1"/>
              <w:left w:val="single" w:color="B0BEC5" w:sz="1"/>
              <w:bottom w:val="single" w:color="B0BEC5" w:sz="1"/>
              <w:right w:val="single" w:color="B0BEC5" w:sz="1"/>
            </w:tcBorders>
            <w:shd w:fill="F8FAFC" w:val="clear"/>
            <w:tcMar>
              <w:top w:type="dxa" w:w="60"/>
              <w:left w:type="dxa" w:w="120"/>
              <w:bottom w:type="dxa" w:w="60"/>
              <w:right w:type="dxa" w:w="120"/>
            </w:tcMar>
          </w:tcPr>
          <w:p>
            <w:r>
              <w:rPr>
                <w:rFonts w:ascii="Arial" w:cs="Arial" w:eastAsia="Arial" w:hAnsi="Arial"/>
                <w:b w:val="false"/>
                <w:bCs w:val="false"/>
                <w:color w:val="1A1A1A"/>
                <w:sz w:val="20"/>
                <w:szCs w:val="20"/>
              </w:rPr>
              <w:t xml:space="preserve">V2</w:t>
            </w:r>
          </w:p>
        </w:tc>
        <w:tc>
          <w:tcPr>
            <w:tcW w:type="dxa" w:w="1660"/>
            <w:tcBorders>
              <w:top w:val="single" w:color="B0BEC5" w:sz="1"/>
              <w:left w:val="single" w:color="B0BEC5" w:sz="1"/>
              <w:bottom w:val="single" w:color="B0BEC5" w:sz="1"/>
              <w:right w:val="single" w:color="B0BEC5" w:sz="1"/>
            </w:tcBorders>
            <w:shd w:fill="F8FAFC" w:val="clear"/>
            <w:tcMar>
              <w:top w:type="dxa" w:w="60"/>
              <w:left w:type="dxa" w:w="120"/>
              <w:bottom w:type="dxa" w:w="60"/>
              <w:right w:type="dxa" w:w="120"/>
            </w:tcMar>
          </w:tcPr>
          <w:p>
            <w:r>
              <w:rPr>
                <w:rFonts w:ascii="Arial" w:cs="Arial" w:eastAsia="Arial" w:hAnsi="Arial"/>
                <w:b w:val="false"/>
                <w:bCs w:val="false"/>
                <w:color w:val="1A1A1A"/>
                <w:sz w:val="20"/>
                <w:szCs w:val="20"/>
              </w:rPr>
              <w:t xml:space="preserve">Enhances transit signal</w:t>
            </w:r>
          </w:p>
        </w:tc>
      </w:tr>
      <w:tr>
        <w:tc>
          <w:tcPr>
            <w:tcW w:type="dxa" w:w="1800"/>
            <w:tcBorders>
              <w:top w:val="single" w:color="B0BEC5" w:sz="1"/>
              <w:left w:val="single" w:color="B0BEC5" w:sz="1"/>
              <w:bottom w:val="single" w:color="B0BEC5" w:sz="1"/>
              <w:right w:val="single" w:color="B0BEC5" w:sz="1"/>
            </w:tcBorders>
            <w:tcMar>
              <w:top w:type="dxa" w:w="60"/>
              <w:left w:type="dxa" w:w="120"/>
              <w:bottom w:type="dxa" w:w="60"/>
              <w:right w:type="dxa" w:w="120"/>
            </w:tcMar>
          </w:tcPr>
          <w:p>
            <w:r>
              <w:rPr>
                <w:rFonts w:ascii="Arial" w:cs="Arial" w:eastAsia="Arial" w:hAnsi="Arial"/>
                <w:b/>
                <w:bCs/>
                <w:color w:val="1A1A1A"/>
                <w:sz w:val="20"/>
                <w:szCs w:val="20"/>
              </w:rPr>
              <w:t xml:space="preserve">Foursquare</w:t>
            </w:r>
          </w:p>
        </w:tc>
        <w:tc>
          <w:tcPr>
            <w:tcW w:type="dxa" w:w="1200"/>
            <w:tcBorders>
              <w:top w:val="single" w:color="B0BEC5" w:sz="1"/>
              <w:left w:val="single" w:color="B0BEC5" w:sz="1"/>
              <w:bottom w:val="single" w:color="B0BEC5" w:sz="1"/>
              <w:right w:val="single" w:color="B0BEC5" w:sz="1"/>
            </w:tcBorders>
            <w:tcMar>
              <w:top w:type="dxa" w:w="60"/>
              <w:left w:type="dxa" w:w="120"/>
              <w:bottom w:type="dxa" w:w="60"/>
              <w:right w:type="dxa" w:w="120"/>
            </w:tcMar>
          </w:tcPr>
          <w:p>
            <w:r>
              <w:rPr>
                <w:rFonts w:ascii="Arial" w:cs="Arial" w:eastAsia="Arial" w:hAnsi="Arial"/>
                <w:b w:val="false"/>
                <w:bCs w:val="false"/>
                <w:color w:val="1A1A1A"/>
                <w:sz w:val="20"/>
                <w:szCs w:val="20"/>
              </w:rPr>
              <w:t xml:space="preserve">Free</w:t>
            </w:r>
          </w:p>
        </w:tc>
        <w:tc>
          <w:tcPr>
            <w:tcW w:type="dxa" w:w="1100"/>
            <w:tcBorders>
              <w:top w:val="single" w:color="B0BEC5" w:sz="1"/>
              <w:left w:val="single" w:color="B0BEC5" w:sz="1"/>
              <w:bottom w:val="single" w:color="B0BEC5" w:sz="1"/>
              <w:right w:val="single" w:color="B0BEC5" w:sz="1"/>
            </w:tcBorders>
            <w:tcMar>
              <w:top w:type="dxa" w:w="60"/>
              <w:left w:type="dxa" w:w="120"/>
              <w:bottom w:type="dxa" w:w="60"/>
              <w:right w:type="dxa" w:w="120"/>
            </w:tcMar>
          </w:tcPr>
          <w:p>
            <w:r>
              <w:rPr>
                <w:rFonts w:ascii="Arial" w:cs="Arial" w:eastAsia="Arial" w:hAnsi="Arial"/>
                <w:b w:val="false"/>
                <w:bCs w:val="false"/>
                <w:color w:val="1A1A1A"/>
                <w:sz w:val="20"/>
                <w:szCs w:val="20"/>
              </w:rPr>
              <w:t xml:space="preserve">50/day</w:t>
            </w:r>
          </w:p>
        </w:tc>
        <w:tc>
          <w:tcPr>
            <w:tcW w:type="dxa" w:w="1300"/>
            <w:tcBorders>
              <w:top w:val="single" w:color="B0BEC5" w:sz="1"/>
              <w:left w:val="single" w:color="B0BEC5" w:sz="1"/>
              <w:bottom w:val="single" w:color="B0BEC5" w:sz="1"/>
              <w:right w:val="single" w:color="B0BEC5" w:sz="1"/>
            </w:tcBorders>
            <w:tcMar>
              <w:top w:type="dxa" w:w="60"/>
              <w:left w:type="dxa" w:w="120"/>
              <w:bottom w:type="dxa" w:w="60"/>
              <w:right w:type="dxa" w:w="120"/>
            </w:tcMar>
          </w:tcPr>
          <w:p>
            <w:r>
              <w:rPr>
                <w:rFonts w:ascii="Arial" w:cs="Arial" w:eastAsia="Arial" w:hAnsi="Arial"/>
                <w:b w:val="false"/>
                <w:bCs w:val="false"/>
                <w:color w:val="C62828"/>
                <w:sz w:val="20"/>
                <w:szCs w:val="20"/>
              </w:rPr>
              <w:t xml:space="preserve">LOW</w:t>
            </w:r>
          </w:p>
        </w:tc>
        <w:tc>
          <w:tcPr>
            <w:tcW w:type="dxa" w:w="1200"/>
            <w:tcBorders>
              <w:top w:val="single" w:color="B0BEC5" w:sz="1"/>
              <w:left w:val="single" w:color="B0BEC5" w:sz="1"/>
              <w:bottom w:val="single" w:color="B0BEC5" w:sz="1"/>
              <w:right w:val="single" w:color="B0BEC5" w:sz="1"/>
            </w:tcBorders>
            <w:tcMar>
              <w:top w:type="dxa" w:w="60"/>
              <w:left w:type="dxa" w:w="120"/>
              <w:bottom w:type="dxa" w:w="60"/>
              <w:right w:type="dxa" w:w="120"/>
            </w:tcMar>
          </w:tcPr>
          <w:p>
            <w:r>
              <w:rPr>
                <w:rFonts w:ascii="Arial" w:cs="Arial" w:eastAsia="Arial" w:hAnsi="Arial"/>
                <w:b w:val="false"/>
                <w:bCs w:val="false"/>
                <w:color w:val="1A1A1A"/>
                <w:sz w:val="20"/>
                <w:szCs w:val="20"/>
              </w:rPr>
              <w:t xml:space="preserve">Low</w:t>
            </w:r>
          </w:p>
        </w:tc>
        <w:tc>
          <w:tcPr>
            <w:tcW w:type="dxa" w:w="1100"/>
            <w:tcBorders>
              <w:top w:val="single" w:color="B0BEC5" w:sz="1"/>
              <w:left w:val="single" w:color="B0BEC5" w:sz="1"/>
              <w:bottom w:val="single" w:color="B0BEC5" w:sz="1"/>
              <w:right w:val="single" w:color="B0BEC5" w:sz="1"/>
            </w:tcBorders>
            <w:tcMar>
              <w:top w:type="dxa" w:w="60"/>
              <w:left w:type="dxa" w:w="120"/>
              <w:bottom w:type="dxa" w:w="60"/>
              <w:right w:type="dxa" w:w="120"/>
            </w:tcMar>
          </w:tcPr>
          <w:p>
            <w:r>
              <w:rPr>
                <w:rFonts w:ascii="Arial" w:cs="Arial" w:eastAsia="Arial" w:hAnsi="Arial"/>
                <w:b/>
                <w:bCs/>
                <w:color w:val="C62828"/>
                <w:sz w:val="20"/>
                <w:szCs w:val="20"/>
              </w:rPr>
              <w:t xml:space="preserve">DROP</w:t>
            </w:r>
          </w:p>
        </w:tc>
        <w:tc>
          <w:tcPr>
            <w:tcW w:type="dxa" w:w="1660"/>
            <w:tcBorders>
              <w:top w:val="single" w:color="B0BEC5" w:sz="1"/>
              <w:left w:val="single" w:color="B0BEC5" w:sz="1"/>
              <w:bottom w:val="single" w:color="B0BEC5" w:sz="1"/>
              <w:right w:val="single" w:color="B0BEC5" w:sz="1"/>
            </w:tcBorders>
            <w:tcMar>
              <w:top w:type="dxa" w:w="60"/>
              <w:left w:type="dxa" w:w="120"/>
              <w:bottom w:type="dxa" w:w="60"/>
              <w:right w:type="dxa" w:w="120"/>
            </w:tcMar>
          </w:tcPr>
          <w:p>
            <w:r>
              <w:rPr>
                <w:rFonts w:ascii="Arial" w:cs="Arial" w:eastAsia="Arial" w:hAnsi="Arial"/>
                <w:b w:val="false"/>
                <w:bCs w:val="false"/>
                <w:color w:val="1A1A1A"/>
                <w:sz w:val="20"/>
                <w:szCs w:val="20"/>
              </w:rPr>
              <w:t xml:space="preserve">Not worth 50/day limit</w:t>
            </w:r>
          </w:p>
        </w:tc>
      </w:tr>
      <w:tr>
        <w:tc>
          <w:tcPr>
            <w:tcW w:type="dxa" w:w="1800"/>
            <w:tcBorders>
              <w:top w:val="single" w:color="B0BEC5" w:sz="1"/>
              <w:left w:val="single" w:color="B0BEC5" w:sz="1"/>
              <w:bottom w:val="single" w:color="B0BEC5" w:sz="1"/>
              <w:right w:val="single" w:color="B0BEC5" w:sz="1"/>
            </w:tcBorders>
            <w:shd w:fill="F8FAFC" w:val="clear"/>
            <w:tcMar>
              <w:top w:type="dxa" w:w="60"/>
              <w:left w:type="dxa" w:w="120"/>
              <w:bottom w:type="dxa" w:w="60"/>
              <w:right w:type="dxa" w:w="120"/>
            </w:tcMar>
          </w:tcPr>
          <w:p>
            <w:r>
              <w:rPr>
                <w:rFonts w:ascii="Arial" w:cs="Arial" w:eastAsia="Arial" w:hAnsi="Arial"/>
                <w:b/>
                <w:bCs/>
                <w:color w:val="1A1A1A"/>
                <w:sz w:val="20"/>
                <w:szCs w:val="20"/>
              </w:rPr>
              <w:t xml:space="preserve">Popular Times</w:t>
            </w:r>
          </w:p>
        </w:tc>
        <w:tc>
          <w:tcPr>
            <w:tcW w:type="dxa" w:w="1200"/>
            <w:tcBorders>
              <w:top w:val="single" w:color="B0BEC5" w:sz="1"/>
              <w:left w:val="single" w:color="B0BEC5" w:sz="1"/>
              <w:bottom w:val="single" w:color="B0BEC5" w:sz="1"/>
              <w:right w:val="single" w:color="B0BEC5" w:sz="1"/>
            </w:tcBorders>
            <w:shd w:fill="F8FAFC" w:val="clear"/>
            <w:tcMar>
              <w:top w:type="dxa" w:w="60"/>
              <w:left w:type="dxa" w:w="120"/>
              <w:bottom w:type="dxa" w:w="60"/>
              <w:right w:type="dxa" w:w="120"/>
            </w:tcMar>
          </w:tcPr>
          <w:p>
            <w:r>
              <w:rPr>
                <w:rFonts w:ascii="Arial" w:cs="Arial" w:eastAsia="Arial" w:hAnsi="Arial"/>
                <w:b w:val="false"/>
                <w:bCs w:val="false"/>
                <w:color w:val="1A1A1A"/>
                <w:sz w:val="20"/>
                <w:szCs w:val="20"/>
              </w:rPr>
              <w:t xml:space="preserve">Free*</w:t>
            </w:r>
          </w:p>
        </w:tc>
        <w:tc>
          <w:tcPr>
            <w:tcW w:type="dxa" w:w="1100"/>
            <w:tcBorders>
              <w:top w:val="single" w:color="B0BEC5" w:sz="1"/>
              <w:left w:val="single" w:color="B0BEC5" w:sz="1"/>
              <w:bottom w:val="single" w:color="B0BEC5" w:sz="1"/>
              <w:right w:val="single" w:color="B0BEC5" w:sz="1"/>
            </w:tcBorders>
            <w:shd w:fill="F8FAFC" w:val="clear"/>
            <w:tcMar>
              <w:top w:type="dxa" w:w="60"/>
              <w:left w:type="dxa" w:w="120"/>
              <w:bottom w:type="dxa" w:w="60"/>
              <w:right w:type="dxa" w:w="120"/>
            </w:tcMar>
          </w:tcPr>
          <w:p>
            <w:r>
              <w:rPr>
                <w:rFonts w:ascii="Arial" w:cs="Arial" w:eastAsia="Arial" w:hAnsi="Arial"/>
                <w:b w:val="false"/>
                <w:bCs w:val="false"/>
                <w:color w:val="1A1A1A"/>
                <w:sz w:val="20"/>
                <w:szCs w:val="20"/>
              </w:rPr>
              <w:t xml:space="preserve">IP risk</w:t>
            </w:r>
          </w:p>
        </w:tc>
        <w:tc>
          <w:tcPr>
            <w:tcW w:type="dxa" w:w="1300"/>
            <w:tcBorders>
              <w:top w:val="single" w:color="B0BEC5" w:sz="1"/>
              <w:left w:val="single" w:color="B0BEC5" w:sz="1"/>
              <w:bottom w:val="single" w:color="B0BEC5" w:sz="1"/>
              <w:right w:val="single" w:color="B0BEC5" w:sz="1"/>
            </w:tcBorders>
            <w:shd w:fill="F8FAFC" w:val="clear"/>
            <w:tcMar>
              <w:top w:type="dxa" w:w="60"/>
              <w:left w:type="dxa" w:w="120"/>
              <w:bottom w:type="dxa" w:w="60"/>
              <w:right w:type="dxa" w:w="120"/>
            </w:tcMar>
          </w:tcPr>
          <w:p>
            <w:r>
              <w:rPr>
                <w:rFonts w:ascii="Arial" w:cs="Arial" w:eastAsia="Arial" w:hAnsi="Arial"/>
                <w:b w:val="false"/>
                <w:bCs w:val="false"/>
                <w:color w:val="2E7D32"/>
                <w:sz w:val="20"/>
                <w:szCs w:val="20"/>
              </w:rPr>
              <w:t xml:space="preserve">HIGH</w:t>
            </w:r>
          </w:p>
        </w:tc>
        <w:tc>
          <w:tcPr>
            <w:tcW w:type="dxa" w:w="1200"/>
            <w:tcBorders>
              <w:top w:val="single" w:color="B0BEC5" w:sz="1"/>
              <w:left w:val="single" w:color="B0BEC5" w:sz="1"/>
              <w:bottom w:val="single" w:color="B0BEC5" w:sz="1"/>
              <w:right w:val="single" w:color="B0BEC5" w:sz="1"/>
            </w:tcBorders>
            <w:shd w:fill="F8FAFC" w:val="clear"/>
            <w:tcMar>
              <w:top w:type="dxa" w:w="60"/>
              <w:left w:type="dxa" w:w="120"/>
              <w:bottom w:type="dxa" w:w="60"/>
              <w:right w:type="dxa" w:w="120"/>
            </w:tcMar>
          </w:tcPr>
          <w:p>
            <w:r>
              <w:rPr>
                <w:rFonts w:ascii="Arial" w:cs="Arial" w:eastAsia="Arial" w:hAnsi="Arial"/>
                <w:b w:val="false"/>
                <w:bCs w:val="false"/>
                <w:color w:val="1A1A1A"/>
                <w:sz w:val="20"/>
                <w:szCs w:val="20"/>
              </w:rPr>
              <w:t xml:space="preserve">Very High</w:t>
            </w:r>
          </w:p>
        </w:tc>
        <w:tc>
          <w:tcPr>
            <w:tcW w:type="dxa" w:w="1100"/>
            <w:tcBorders>
              <w:top w:val="single" w:color="B0BEC5" w:sz="1"/>
              <w:left w:val="single" w:color="B0BEC5" w:sz="1"/>
              <w:bottom w:val="single" w:color="B0BEC5" w:sz="1"/>
              <w:right w:val="single" w:color="B0BEC5" w:sz="1"/>
            </w:tcBorders>
            <w:shd w:fill="F8FAFC" w:val="clear"/>
            <w:tcMar>
              <w:top w:type="dxa" w:w="60"/>
              <w:left w:type="dxa" w:w="120"/>
              <w:bottom w:type="dxa" w:w="60"/>
              <w:right w:type="dxa" w:w="120"/>
            </w:tcMar>
          </w:tcPr>
          <w:p>
            <w:r>
              <w:rPr>
                <w:rFonts w:ascii="Arial" w:cs="Arial" w:eastAsia="Arial" w:hAnsi="Arial"/>
                <w:b/>
                <w:bCs/>
                <w:color w:val="C62828"/>
                <w:sz w:val="20"/>
                <w:szCs w:val="20"/>
              </w:rPr>
              <w:t xml:space="preserve">DROP</w:t>
            </w:r>
          </w:p>
        </w:tc>
        <w:tc>
          <w:tcPr>
            <w:tcW w:type="dxa" w:w="1660"/>
            <w:tcBorders>
              <w:top w:val="single" w:color="B0BEC5" w:sz="1"/>
              <w:left w:val="single" w:color="B0BEC5" w:sz="1"/>
              <w:bottom w:val="single" w:color="B0BEC5" w:sz="1"/>
              <w:right w:val="single" w:color="B0BEC5" w:sz="1"/>
            </w:tcBorders>
            <w:shd w:fill="F8FAFC" w:val="clear"/>
            <w:tcMar>
              <w:top w:type="dxa" w:w="60"/>
              <w:left w:type="dxa" w:w="120"/>
              <w:bottom w:type="dxa" w:w="60"/>
              <w:right w:type="dxa" w:w="120"/>
            </w:tcMar>
          </w:tcPr>
          <w:p>
            <w:r>
              <w:rPr>
                <w:rFonts w:ascii="Arial" w:cs="Arial" w:eastAsia="Arial" w:hAnsi="Arial"/>
                <w:b w:val="false"/>
                <w:bCs w:val="false"/>
                <w:color w:val="1A1A1A"/>
                <w:sz w:val="20"/>
                <w:szCs w:val="20"/>
              </w:rPr>
              <w:t xml:space="preserve">Use BestTime instead</w:t>
            </w:r>
          </w:p>
        </w:tc>
      </w:tr>
    </w:tbl>
    <w:p>
      <w:pPr>
        <w:pBdr>
          <w:bottom w:val="single" w:color="2E75B6" w:sz="6" w:space="1"/>
        </w:pBdr>
        <w:spacing w:before="200" w:after="200"/>
      </w:pPr>
    </w:p>
    <w:p>
      <w:pPr>
        <w:pStyle w:val="Heading1"/>
        <w:spacing w:before="360" w:after="120"/>
      </w:pPr>
      <w:r>
        <w:rPr>
          <w:rFonts w:ascii="Arial" w:cs="Arial" w:eastAsia="Arial" w:hAnsi="Arial"/>
          <w:b/>
          <w:bCs/>
          <w:color w:val="1A3A5C"/>
          <w:sz w:val="32"/>
          <w:szCs w:val="32"/>
        </w:rPr>
        <w:t xml:space="preserve">6. Revised Build Plan</w:t>
      </w:r>
    </w:p>
    <w:p>
      <w:pPr>
        <w:spacing w:after="160"/>
      </w:pPr>
      <w:r>
        <w:rPr>
          <w:rFonts w:ascii="Arial" w:cs="Arial" w:eastAsia="Arial" w:hAnsi="Arial"/>
          <w:color w:val="1A1A1A"/>
          <w:sz w:val="22"/>
          <w:szCs w:val="22"/>
        </w:rPr>
        <w:t xml:space="preserve">Based on the review above, here’s what I recommend Pax actually builds:</w:t>
      </w:r>
    </w:p>
    <w:p>
      <w:pPr>
        <w:spacing w:after="80"/>
      </w:pPr>
    </w:p>
    <w:p>
      <w:pPr>
        <w:pStyle w:val="Heading2"/>
        <w:spacing w:before="240" w:after="120"/>
      </w:pPr>
      <w:r>
        <w:rPr>
          <w:rFonts w:ascii="Arial" w:cs="Arial" w:eastAsia="Arial" w:hAnsi="Arial"/>
          <w:b/>
          <w:bCs/>
          <w:color w:val="1A3A5C"/>
          <w:sz w:val="26"/>
          <w:szCs w:val="26"/>
        </w:rPr>
        <w:t xml:space="preserve">6.1 V1 Deliverables (Build Now)</w:t>
      </w:r>
    </w:p>
    <w:p>
      <w:pPr>
        <w:spacing w:after="40"/>
      </w:pPr>
    </w:p>
    <w:p>
      <w:pPr>
        <w:pStyle w:val="ListParagraph"/>
        <w:numPr>
          <w:ilvl w:val="0"/>
          <w:numId w:val="3"/>
        </w:numPr>
        <w:spacing w:after="80"/>
      </w:pPr>
      <w:r>
        <w:rPr>
          <w:rFonts w:ascii="Arial" w:cs="Arial" w:eastAsia="Arial" w:hAnsi="Arial"/>
          <w:color w:val="1A1A1A"/>
          <w:sz w:val="22"/>
          <w:szCs w:val="22"/>
        </w:rPr>
        <w:t xml:space="preserve"/>
      </w:r>
      <w:r>
        <w:rPr>
          <w:rFonts w:ascii="Arial" w:cs="Arial" w:eastAsia="Arial" w:hAnsi="Arial"/>
          <w:b/>
          <w:bCs/>
          <w:color w:val="1A1A1A"/>
          <w:sz w:val="22"/>
          <w:szCs w:val="22"/>
        </w:rPr>
        <w:t xml:space="preserve">/src/lib/foot-traffic-aggregator.ts</w:t>
      </w:r>
      <w:r>
        <w:rPr>
          <w:rFonts w:ascii="Arial" w:cs="Arial" w:eastAsia="Arial" w:hAnsi="Arial"/>
          <w:color w:val="1A1A1A"/>
          <w:sz w:val="22"/>
          <w:szCs w:val="22"/>
        </w:rPr>
        <w:t xml:space="preserve"> — Main aggregator module with 5 source fetchers (Google Places enhanced, OpenStreetMap, Yelp Business Match, Walk Score, BestTime.app). Each fetcher wrapped with 2-second AbortController timeout. All fetched in parallel via Promise.allSettled.</w:t>
      </w:r>
    </w:p>
    <w:p>
      <w:pPr>
        <w:pStyle w:val="ListParagraph"/>
        <w:numPr>
          <w:ilvl w:val="0"/>
          <w:numId w:val="3"/>
        </w:numPr>
        <w:spacing w:after="80"/>
      </w:pPr>
      <w:r>
        <w:rPr>
          <w:rFonts w:ascii="Arial" w:cs="Arial" w:eastAsia="Arial" w:hAnsi="Arial"/>
          <w:color w:val="1A1A1A"/>
          <w:sz w:val="22"/>
          <w:szCs w:val="22"/>
        </w:rPr>
        <w:t xml:space="preserve"/>
      </w:r>
      <w:r>
        <w:rPr>
          <w:rFonts w:ascii="Arial" w:cs="Arial" w:eastAsia="Arial" w:hAnsi="Arial"/>
          <w:b/>
          <w:bCs/>
          <w:color w:val="1A1A1A"/>
          <w:sz w:val="22"/>
          <w:szCs w:val="22"/>
        </w:rPr>
        <w:t xml:space="preserve">/src/lib/building-type-classifier.ts</w:t>
      </w:r>
      <w:r>
        <w:rPr>
          <w:rFonts w:ascii="Arial" w:cs="Arial" w:eastAsia="Arial" w:hAnsi="Arial"/>
          <w:color w:val="1A1A1A"/>
          <w:sz w:val="22"/>
          <w:szCs w:val="22"/>
        </w:rPr>
        <w:t xml:space="preserve"> — Uses Google Places types[] array + OSM building tags to produce a real buildingType score (0–100). Falls back to the existing estimateBuildingTypeFit() when Places/OSM data is unavailable. This kills the Census heuristic.</w:t>
      </w:r>
    </w:p>
    <w:p>
      <w:pPr>
        <w:pStyle w:val="ListParagraph"/>
        <w:numPr>
          <w:ilvl w:val="0"/>
          <w:numId w:val="3"/>
        </w:numPr>
        <w:spacing w:after="80"/>
      </w:pPr>
      <w:r>
        <w:rPr>
          <w:rFonts w:ascii="Arial" w:cs="Arial" w:eastAsia="Arial" w:hAnsi="Arial"/>
          <w:color w:val="1A1A1A"/>
          <w:sz w:val="22"/>
          <w:szCs w:val="22"/>
        </w:rPr>
        <w:t xml:space="preserve"/>
      </w:r>
      <w:r>
        <w:rPr>
          <w:rFonts w:ascii="Arial" w:cs="Arial" w:eastAsia="Arial" w:hAnsi="Arial"/>
          <w:b/>
          <w:bCs/>
          <w:color w:val="1A1A1A"/>
          <w:sz w:val="22"/>
          <w:szCs w:val="22"/>
        </w:rPr>
        <w:t xml:space="preserve">/src/lib/lehd-data.ts</w:t>
      </w:r>
      <w:r>
        <w:rPr>
          <w:rFonts w:ascii="Arial" w:cs="Arial" w:eastAsia="Arial" w:hAnsi="Arial"/>
          <w:color w:val="1A1A1A"/>
          <w:sz w:val="22"/>
          <w:szCs w:val="22"/>
        </w:rPr>
        <w:t xml:space="preserve"> — Pre-processed LEHD workplace employment data indexed by census tract. Provides workplace density signal for office, manufacturing, and hospital categories.</w:t>
      </w:r>
    </w:p>
    <w:p>
      <w:pPr>
        <w:pStyle w:val="ListParagraph"/>
        <w:numPr>
          <w:ilvl w:val="0"/>
          <w:numId w:val="3"/>
        </w:numPr>
        <w:spacing w:after="80"/>
      </w:pPr>
      <w:r>
        <w:rPr>
          <w:rFonts w:ascii="Arial" w:cs="Arial" w:eastAsia="Arial" w:hAnsi="Arial"/>
          <w:color w:val="1A1A1A"/>
          <w:sz w:val="22"/>
          <w:szCs w:val="22"/>
        </w:rPr>
        <w:t xml:space="preserve"/>
      </w:r>
      <w:r>
        <w:rPr>
          <w:rFonts w:ascii="Arial" w:cs="Arial" w:eastAsia="Arial" w:hAnsi="Arial"/>
          <w:b/>
          <w:bCs/>
          <w:color w:val="1A1A1A"/>
          <w:sz w:val="22"/>
          <w:szCs w:val="22"/>
        </w:rPr>
        <w:t xml:space="preserve">/src/lib/scoring.ts update</w:t>
      </w:r>
      <w:r>
        <w:rPr>
          <w:rFonts w:ascii="Arial" w:cs="Arial" w:eastAsia="Arial" w:hAnsi="Arial"/>
          <w:color w:val="1A1A1A"/>
          <w:sz w:val="22"/>
          <w:szCs w:val="22"/>
        </w:rPr>
        <w:t xml:space="preserve"> — Modify calculateLocationScore() to accept AggregatedFootTraffic as the footTraffic parameter. Update buildingType to use the classifier output.</w:t>
      </w:r>
    </w:p>
    <w:p>
      <w:pPr>
        <w:pStyle w:val="ListParagraph"/>
        <w:numPr>
          <w:ilvl w:val="0"/>
          <w:numId w:val="3"/>
        </w:numPr>
        <w:spacing w:after="80"/>
      </w:pPr>
      <w:r>
        <w:rPr>
          <w:rFonts w:ascii="Arial" w:cs="Arial" w:eastAsia="Arial" w:hAnsi="Arial"/>
          <w:color w:val="1A1A1A"/>
          <w:sz w:val="22"/>
          <w:szCs w:val="22"/>
        </w:rPr>
        <w:t xml:space="preserve"/>
      </w:r>
      <w:r>
        <w:rPr>
          <w:rFonts w:ascii="Arial" w:cs="Arial" w:eastAsia="Arial" w:hAnsi="Arial"/>
          <w:b/>
          <w:bCs/>
          <w:color w:val="1A1A1A"/>
          <w:sz w:val="22"/>
          <w:szCs w:val="22"/>
        </w:rPr>
        <w:t xml:space="preserve">/src/lib/types.ts update</w:t>
      </w:r>
      <w:r>
        <w:rPr>
          <w:rFonts w:ascii="Arial" w:cs="Arial" w:eastAsia="Arial" w:hAnsi="Arial"/>
          <w:color w:val="1A1A1A"/>
          <w:sz w:val="22"/>
          <w:szCs w:val="22"/>
        </w:rPr>
        <w:t xml:space="preserve"> — Add AggregatedFootTraffic, SignalResult, and BuildingClassification interfaces. Replace raw: any with typed per-source interfaces.</w:t>
      </w:r>
    </w:p>
    <w:p>
      <w:pPr>
        <w:pStyle w:val="ListParagraph"/>
        <w:numPr>
          <w:ilvl w:val="0"/>
          <w:numId w:val="3"/>
        </w:numPr>
        <w:spacing w:after="80"/>
      </w:pPr>
      <w:r>
        <w:rPr>
          <w:rFonts w:ascii="Arial" w:cs="Arial" w:eastAsia="Arial" w:hAnsi="Arial"/>
          <w:color w:val="1A1A1A"/>
          <w:sz w:val="22"/>
          <w:szCs w:val="22"/>
        </w:rPr>
        <w:t xml:space="preserve"/>
      </w:r>
      <w:r>
        <w:rPr>
          <w:rFonts w:ascii="Arial" w:cs="Arial" w:eastAsia="Arial" w:hAnsi="Arial"/>
          <w:b/>
          <w:bCs/>
          <w:color w:val="1A1A1A"/>
          <w:sz w:val="22"/>
          <w:szCs w:val="22"/>
        </w:rPr>
        <w:t xml:space="preserve">.env.example additions</w:t>
      </w:r>
      <w:r>
        <w:rPr>
          <w:rFonts w:ascii="Arial" w:cs="Arial" w:eastAsia="Arial" w:hAnsi="Arial"/>
          <w:color w:val="1A1A1A"/>
          <w:sz w:val="22"/>
          <w:szCs w:val="22"/>
        </w:rPr>
        <w:t xml:space="preserve"> — YELP_API_KEY, WALK_SCORE_API_KEY, BESTTIME_API_KEY. Note: use GOOGLE_MAPS_API_KEY (server-only, no NEXT_PUBLIC prefix) for the aggregator to avoid leaking the key to the browser.</w:t>
      </w:r>
    </w:p>
    <w:p>
      <w:pPr>
        <w:pStyle w:val="ListParagraph"/>
        <w:numPr>
          <w:ilvl w:val="0"/>
          <w:numId w:val="3"/>
        </w:numPr>
        <w:spacing w:after="80"/>
      </w:pPr>
      <w:r>
        <w:rPr>
          <w:rFonts w:ascii="Arial" w:cs="Arial" w:eastAsia="Arial" w:hAnsi="Arial"/>
          <w:color w:val="1A1A1A"/>
          <w:sz w:val="22"/>
          <w:szCs w:val="22"/>
        </w:rPr>
        <w:t xml:space="preserve"/>
      </w:r>
      <w:r>
        <w:rPr>
          <w:rFonts w:ascii="Arial" w:cs="Arial" w:eastAsia="Arial" w:hAnsi="Arial"/>
          <w:b/>
          <w:bCs/>
          <w:color w:val="1A1A1A"/>
          <w:sz w:val="22"/>
          <w:szCs w:val="22"/>
        </w:rPr>
        <w:t xml:space="preserve">Unit tests</w:t>
      </w:r>
      <w:r>
        <w:rPr>
          <w:rFonts w:ascii="Arial" w:cs="Arial" w:eastAsia="Arial" w:hAnsi="Arial"/>
          <w:color w:val="1A1A1A"/>
          <w:sz w:val="22"/>
          <w:szCs w:val="22"/>
        </w:rPr>
        <w:t xml:space="preserve"> (Jest) — Normalization functions edge cases (0 reviews, 1000+ reviews, all signals missing, single signal only). Integration test verifying graceful degradation when sources fail.</w:t>
      </w:r>
    </w:p>
    <w:p>
      <w:pPr>
        <w:spacing w:after="120"/>
      </w:pPr>
    </w:p>
    <w:p>
      <w:pPr>
        <w:pStyle w:val="Heading2"/>
        <w:spacing w:before="240" w:after="120"/>
      </w:pPr>
      <w:r>
        <w:rPr>
          <w:rFonts w:ascii="Arial" w:cs="Arial" w:eastAsia="Arial" w:hAnsi="Arial"/>
          <w:b/>
          <w:bCs/>
          <w:color w:val="1A3A5C"/>
          <w:sz w:val="26"/>
          <w:szCs w:val="26"/>
        </w:rPr>
        <w:t xml:space="preserve">6.2 V1.5 Deliverables (Next Sprint)</w:t>
      </w:r>
    </w:p>
    <w:p>
      <w:pPr>
        <w:pStyle w:val="ListParagraph"/>
        <w:numPr>
          <w:ilvl w:val="0"/>
          <w:numId w:val="2"/>
        </w:numPr>
        <w:spacing w:after="80"/>
      </w:pPr>
      <w:r>
        <w:rPr>
          <w:rFonts w:ascii="Arial" w:cs="Arial" w:eastAsia="Arial" w:hAnsi="Arial"/>
          <w:color w:val="1A1A1A"/>
          <w:sz w:val="22"/>
          <w:szCs w:val="22"/>
        </w:rPr>
        <w:t xml:space="preserve">EPA Smart Location Database integration for built-environment quality scoring</w:t>
      </w:r>
    </w:p>
    <w:p>
      <w:pPr>
        <w:pStyle w:val="ListParagraph"/>
        <w:numPr>
          <w:ilvl w:val="0"/>
          <w:numId w:val="2"/>
        </w:numPr>
        <w:spacing w:after="80"/>
      </w:pPr>
      <w:r>
        <w:rPr>
          <w:rFonts w:ascii="Arial" w:cs="Arial" w:eastAsia="Arial" w:hAnsi="Arial"/>
          <w:color w:val="1A1A1A"/>
          <w:sz w:val="22"/>
          <w:szCs w:val="22"/>
        </w:rPr>
        <w:t xml:space="preserve">Vercel KV caching layer (7-day TTL for BestTime/Yelp, 30-day for OSM/LEHD)</w:t>
      </w:r>
    </w:p>
    <w:p>
      <w:pPr>
        <w:pStyle w:val="ListParagraph"/>
        <w:numPr>
          <w:ilvl w:val="0"/>
          <w:numId w:val="2"/>
        </w:numPr>
        <w:spacing w:after="80"/>
      </w:pPr>
      <w:r>
        <w:rPr>
          <w:rFonts w:ascii="Arial" w:cs="Arial" w:eastAsia="Arial" w:hAnsi="Arial"/>
          <w:color w:val="1A1A1A"/>
          <w:sz w:val="22"/>
          <w:szCs w:val="22"/>
        </w:rPr>
        <w:t xml:space="preserve">GTFS transit frequency data to enhance the OSM transit signal</w:t>
      </w:r>
    </w:p>
    <w:p>
      <w:pPr>
        <w:spacing w:after="120"/>
      </w:pPr>
    </w:p>
    <w:p>
      <w:pPr>
        <w:pStyle w:val="Heading2"/>
        <w:spacing w:before="240" w:after="120"/>
      </w:pPr>
      <w:r>
        <w:rPr>
          <w:rFonts w:ascii="Arial" w:cs="Arial" w:eastAsia="Arial" w:hAnsi="Arial"/>
          <w:b/>
          <w:bCs/>
          <w:color w:val="1A3A5C"/>
          <w:sz w:val="26"/>
          <w:szCs w:val="26"/>
        </w:rPr>
        <w:t xml:space="preserve">6.3 Dropped from Scope</w:t>
      </w:r>
    </w:p>
    <w:p>
      <w:pPr>
        <w:pStyle w:val="ListParagraph"/>
        <w:numPr>
          <w:ilvl w:val="0"/>
          <w:numId w:val="2"/>
        </w:numPr>
        <w:spacing w:after="80"/>
      </w:pPr>
      <w:r>
        <w:rPr>
          <w:rFonts w:ascii="Arial" w:cs="Arial" w:eastAsia="Arial" w:hAnsi="Arial"/>
          <w:color w:val="1A1A1A"/>
          <w:sz w:val="22"/>
          <w:szCs w:val="22"/>
        </w:rPr>
        <w:t xml:space="preserve"/>
      </w:r>
      <w:r>
        <w:rPr>
          <w:rFonts w:ascii="Arial" w:cs="Arial" w:eastAsia="Arial" w:hAnsi="Arial"/>
          <w:b/>
          <w:bCs/>
          <w:color w:val="1A1A1A"/>
          <w:sz w:val="22"/>
          <w:szCs w:val="22"/>
        </w:rPr>
        <w:t xml:space="preserve">Google Popular Times scraper</w:t>
      </w:r>
      <w:r>
        <w:rPr>
          <w:rFonts w:ascii="Arial" w:cs="Arial" w:eastAsia="Arial" w:hAnsi="Arial"/>
          <w:color w:val="1A1A1A"/>
          <w:sz w:val="22"/>
          <w:szCs w:val="22"/>
        </w:rPr>
        <w:t xml:space="preserve"> — replaced by BestTime.app API</w:t>
      </w:r>
    </w:p>
    <w:p>
      <w:pPr>
        <w:pStyle w:val="ListParagraph"/>
        <w:numPr>
          <w:ilvl w:val="0"/>
          <w:numId w:val="2"/>
        </w:numPr>
        <w:spacing w:after="80"/>
      </w:pPr>
      <w:r>
        <w:rPr>
          <w:rFonts w:ascii="Arial" w:cs="Arial" w:eastAsia="Arial" w:hAnsi="Arial"/>
          <w:color w:val="1A1A1A"/>
          <w:sz w:val="22"/>
          <w:szCs w:val="22"/>
        </w:rPr>
        <w:t xml:space="preserve"/>
      </w:r>
      <w:r>
        <w:rPr>
          <w:rFonts w:ascii="Arial" w:cs="Arial" w:eastAsia="Arial" w:hAnsi="Arial"/>
          <w:b/>
          <w:bCs/>
          <w:color w:val="1A1A1A"/>
          <w:sz w:val="22"/>
          <w:szCs w:val="22"/>
        </w:rPr>
        <w:t xml:space="preserve">/api/popular-times/route.ts</w:t>
      </w:r>
      <w:r>
        <w:rPr>
          <w:rFonts w:ascii="Arial" w:cs="Arial" w:eastAsia="Arial" w:hAnsi="Arial"/>
          <w:color w:val="1A1A1A"/>
          <w:sz w:val="22"/>
          <w:szCs w:val="22"/>
        </w:rPr>
        <w:t xml:space="preserve"> — no longer needed</w:t>
      </w:r>
    </w:p>
    <w:p>
      <w:pPr>
        <w:pStyle w:val="ListParagraph"/>
        <w:numPr>
          <w:ilvl w:val="0"/>
          <w:numId w:val="2"/>
        </w:numPr>
        <w:spacing w:after="80"/>
      </w:pPr>
      <w:r>
        <w:rPr>
          <w:rFonts w:ascii="Arial" w:cs="Arial" w:eastAsia="Arial" w:hAnsi="Arial"/>
          <w:color w:val="1A1A1A"/>
          <w:sz w:val="22"/>
          <w:szCs w:val="22"/>
        </w:rPr>
        <w:t xml:space="preserve"/>
      </w:r>
      <w:r>
        <w:rPr>
          <w:rFonts w:ascii="Arial" w:cs="Arial" w:eastAsia="Arial" w:hAnsi="Arial"/>
          <w:b/>
          <w:bCs/>
          <w:color w:val="1A1A1A"/>
          <w:sz w:val="22"/>
          <w:szCs w:val="22"/>
        </w:rPr>
        <w:t xml:space="preserve">Foursquare Places API</w:t>
      </w:r>
      <w:r>
        <w:rPr>
          <w:rFonts w:ascii="Arial" w:cs="Arial" w:eastAsia="Arial" w:hAnsi="Arial"/>
          <w:color w:val="1A1A1A"/>
          <w:sz w:val="22"/>
          <w:szCs w:val="22"/>
        </w:rPr>
        <w:t xml:space="preserve"> — 50/day rate limit makes it impractical</w:t>
      </w:r>
    </w:p>
    <w:p>
      <w:pPr>
        <w:pStyle w:val="ListParagraph"/>
        <w:numPr>
          <w:ilvl w:val="0"/>
          <w:numId w:val="2"/>
        </w:numPr>
        <w:spacing w:after="80"/>
      </w:pPr>
      <w:r>
        <w:rPr>
          <w:rFonts w:ascii="Arial" w:cs="Arial" w:eastAsia="Arial" w:hAnsi="Arial"/>
          <w:color w:val="1A1A1A"/>
          <w:sz w:val="22"/>
          <w:szCs w:val="22"/>
        </w:rPr>
        <w:t xml:space="preserve"/>
      </w:r>
      <w:r>
        <w:rPr>
          <w:rFonts w:ascii="Arial" w:cs="Arial" w:eastAsia="Arial" w:hAnsi="Arial"/>
          <w:b/>
          <w:bCs/>
          <w:color w:val="1A1A1A"/>
          <w:sz w:val="22"/>
          <w:szCs w:val="22"/>
        </w:rPr>
        <w:t xml:space="preserve">Puppeteer / @sparticuz/chromium</w:t>
      </w:r>
      <w:r>
        <w:rPr>
          <w:rFonts w:ascii="Arial" w:cs="Arial" w:eastAsia="Arial" w:hAnsi="Arial"/>
          <w:color w:val="1A1A1A"/>
          <w:sz w:val="22"/>
          <w:szCs w:val="22"/>
        </w:rPr>
        <w:t xml:space="preserve"> — not compatible with Vercel’s serverless model for this use case</w:t>
      </w:r>
    </w:p>
    <w:p>
      <w:pPr>
        <w:pBdr>
          <w:bottom w:val="single" w:color="2E75B6" w:sz="6" w:space="1"/>
        </w:pBdr>
        <w:spacing w:before="200" w:after="200"/>
      </w:pPr>
    </w:p>
    <w:p>
      <w:pPr>
        <w:pStyle w:val="Heading1"/>
        <w:spacing w:before="360" w:after="120"/>
      </w:pPr>
      <w:r>
        <w:rPr>
          <w:rFonts w:ascii="Arial" w:cs="Arial" w:eastAsia="Arial" w:hAnsi="Arial"/>
          <w:b/>
          <w:bCs/>
          <w:color w:val="1A3A5C"/>
          <w:sz w:val="32"/>
          <w:szCs w:val="32"/>
        </w:rPr>
        <w:t xml:space="preserve">7. Revised Category Weight Profiles</w:t>
      </w:r>
    </w:p>
    <w:p>
      <w:pPr>
        <w:spacing w:after="160"/>
      </w:pPr>
      <w:r>
        <w:rPr>
          <w:rFonts w:ascii="Arial" w:cs="Arial" w:eastAsia="Arial" w:hAnsi="Arial"/>
          <w:color w:val="1A1A1A"/>
          <w:sz w:val="22"/>
          <w:szCs w:val="22"/>
        </w:rPr>
        <w:t xml:space="preserve">With the source changes above, here are the revised weights. These sum to 100 per category and reflect the actual sources being built: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1300"/>
        <w:gridCol w:w="1000"/>
        <w:gridCol w:w="1300"/>
        <w:gridCol w:w="1260"/>
        <w:gridCol w:w="1500"/>
      </w:tblGrid>
      <w:tr>
        <w:tc>
          <w:tcPr>
            <w:tcW w:type="dxa" w:w="1300"/>
            <w:tcBorders>
              <w:top w:val="single" w:color="B0BEC5" w:sz="1"/>
              <w:left w:val="single" w:color="B0BEC5" w:sz="1"/>
              <w:bottom w:val="single" w:color="B0BEC5" w:sz="1"/>
              <w:right w:val="single" w:color="B0BEC5" w:sz="1"/>
            </w:tcBorders>
            <w:shd w:fill="1A3A5C" w:val="clear"/>
            <w:tcMar>
              <w:top w:type="dxa" w:w="60"/>
              <w:left w:type="dxa" w:w="120"/>
              <w:bottom w:type="dxa" w:w="60"/>
              <w:right w:type="dxa" w:w="120"/>
            </w:tcMar>
            <w:vAlign w:val="center"/>
          </w:tcPr>
          <w:p>
            <w:r>
              <w:rPr>
                <w:rFonts w:ascii="Arial" w:cs="Arial" w:eastAsia="Arial" w:hAnsi="Arial"/>
                <w:b/>
                <w:bCs/>
                <w:color w:val="FFFFFF"/>
                <w:sz w:val="20"/>
                <w:szCs w:val="20"/>
              </w:rPr>
              <w:t xml:space="preserve">Category</w:t>
            </w:r>
          </w:p>
        </w:tc>
        <w:tc>
          <w:tcPr>
            <w:tcW w:type="dxa" w:w="1300"/>
            <w:tcBorders>
              <w:top w:val="single" w:color="B0BEC5" w:sz="1"/>
              <w:left w:val="single" w:color="B0BEC5" w:sz="1"/>
              <w:bottom w:val="single" w:color="B0BEC5" w:sz="1"/>
              <w:right w:val="single" w:color="B0BEC5" w:sz="1"/>
            </w:tcBorders>
            <w:shd w:fill="1A3A5C" w:val="clear"/>
            <w:tcMar>
              <w:top w:type="dxa" w:w="60"/>
              <w:left w:type="dxa" w:w="120"/>
              <w:bottom w:type="dxa" w:w="60"/>
              <w:right w:type="dxa" w:w="120"/>
            </w:tcMar>
            <w:vAlign w:val="center"/>
          </w:tcPr>
          <w:p>
            <w:r>
              <w:rPr>
                <w:rFonts w:ascii="Arial" w:cs="Arial" w:eastAsia="Arial" w:hAnsi="Arial"/>
                <w:b/>
                <w:bCs/>
                <w:color w:val="FFFFFF"/>
                <w:sz w:val="20"/>
                <w:szCs w:val="20"/>
              </w:rPr>
              <w:t xml:space="preserve">BestTime</w:t>
            </w:r>
          </w:p>
        </w:tc>
        <w:tc>
          <w:tcPr>
            <w:tcW w:type="dxa" w:w="1300"/>
            <w:tcBorders>
              <w:top w:val="single" w:color="B0BEC5" w:sz="1"/>
              <w:left w:val="single" w:color="B0BEC5" w:sz="1"/>
              <w:bottom w:val="single" w:color="B0BEC5" w:sz="1"/>
              <w:right w:val="single" w:color="B0BEC5" w:sz="1"/>
            </w:tcBorders>
            <w:shd w:fill="1A3A5C" w:val="clear"/>
            <w:tcMar>
              <w:top w:type="dxa" w:w="60"/>
              <w:left w:type="dxa" w:w="120"/>
              <w:bottom w:type="dxa" w:w="60"/>
              <w:right w:type="dxa" w:w="120"/>
            </w:tcMar>
            <w:vAlign w:val="center"/>
          </w:tcPr>
          <w:p>
            <w:r>
              <w:rPr>
                <w:rFonts w:ascii="Arial" w:cs="Arial" w:eastAsia="Arial" w:hAnsi="Arial"/>
                <w:b/>
                <w:bCs/>
                <w:color w:val="FFFFFF"/>
                <w:sz w:val="20"/>
                <w:szCs w:val="20"/>
              </w:rPr>
              <w:t xml:space="preserve">Google Pl.</w:t>
            </w:r>
          </w:p>
        </w:tc>
        <w:tc>
          <w:tcPr>
            <w:tcW w:type="dxa" w:w="1000"/>
            <w:tcBorders>
              <w:top w:val="single" w:color="B0BEC5" w:sz="1"/>
              <w:left w:val="single" w:color="B0BEC5" w:sz="1"/>
              <w:bottom w:val="single" w:color="B0BEC5" w:sz="1"/>
              <w:right w:val="single" w:color="B0BEC5" w:sz="1"/>
            </w:tcBorders>
            <w:shd w:fill="1A3A5C" w:val="clear"/>
            <w:tcMar>
              <w:top w:type="dxa" w:w="60"/>
              <w:left w:type="dxa" w:w="120"/>
              <w:bottom w:type="dxa" w:w="60"/>
              <w:right w:type="dxa" w:w="120"/>
            </w:tcMar>
            <w:vAlign w:val="center"/>
          </w:tcPr>
          <w:p>
            <w:r>
              <w:rPr>
                <w:rFonts w:ascii="Arial" w:cs="Arial" w:eastAsia="Arial" w:hAnsi="Arial"/>
                <w:b/>
                <w:bCs/>
                <w:color w:val="FFFFFF"/>
                <w:sz w:val="20"/>
                <w:szCs w:val="20"/>
              </w:rPr>
              <w:t xml:space="preserve">Yelp</w:t>
            </w:r>
          </w:p>
        </w:tc>
        <w:tc>
          <w:tcPr>
            <w:tcW w:type="dxa" w:w="1300"/>
            <w:tcBorders>
              <w:top w:val="single" w:color="B0BEC5" w:sz="1"/>
              <w:left w:val="single" w:color="B0BEC5" w:sz="1"/>
              <w:bottom w:val="single" w:color="B0BEC5" w:sz="1"/>
              <w:right w:val="single" w:color="B0BEC5" w:sz="1"/>
            </w:tcBorders>
            <w:shd w:fill="1A3A5C" w:val="clear"/>
            <w:tcMar>
              <w:top w:type="dxa" w:w="60"/>
              <w:left w:type="dxa" w:w="120"/>
              <w:bottom w:type="dxa" w:w="60"/>
              <w:right w:type="dxa" w:w="120"/>
            </w:tcMar>
            <w:vAlign w:val="center"/>
          </w:tcPr>
          <w:p>
            <w:r>
              <w:rPr>
                <w:rFonts w:ascii="Arial" w:cs="Arial" w:eastAsia="Arial" w:hAnsi="Arial"/>
                <w:b/>
                <w:bCs/>
                <w:color w:val="FFFFFF"/>
                <w:sz w:val="20"/>
                <w:szCs w:val="20"/>
              </w:rPr>
              <w:t xml:space="preserve">OSM</w:t>
            </w:r>
          </w:p>
        </w:tc>
        <w:tc>
          <w:tcPr>
            <w:tcW w:type="dxa" w:w="1260"/>
            <w:tcBorders>
              <w:top w:val="single" w:color="B0BEC5" w:sz="1"/>
              <w:left w:val="single" w:color="B0BEC5" w:sz="1"/>
              <w:bottom w:val="single" w:color="B0BEC5" w:sz="1"/>
              <w:right w:val="single" w:color="B0BEC5" w:sz="1"/>
            </w:tcBorders>
            <w:shd w:fill="1A3A5C" w:val="clear"/>
            <w:tcMar>
              <w:top w:type="dxa" w:w="60"/>
              <w:left w:type="dxa" w:w="120"/>
              <w:bottom w:type="dxa" w:w="60"/>
              <w:right w:type="dxa" w:w="120"/>
            </w:tcMar>
            <w:vAlign w:val="center"/>
          </w:tcPr>
          <w:p>
            <w:r>
              <w:rPr>
                <w:rFonts w:ascii="Arial" w:cs="Arial" w:eastAsia="Arial" w:hAnsi="Arial"/>
                <w:b/>
                <w:bCs/>
                <w:color w:val="FFFFFF"/>
                <w:sz w:val="20"/>
                <w:szCs w:val="20"/>
              </w:rPr>
              <w:t xml:space="preserve">Walk Sc.</w:t>
            </w:r>
          </w:p>
        </w:tc>
        <w:tc>
          <w:tcPr>
            <w:tcW w:type="dxa" w:w="1500"/>
            <w:tcBorders>
              <w:top w:val="single" w:color="B0BEC5" w:sz="1"/>
              <w:left w:val="single" w:color="B0BEC5" w:sz="1"/>
              <w:bottom w:val="single" w:color="B0BEC5" w:sz="1"/>
              <w:right w:val="single" w:color="B0BEC5" w:sz="1"/>
            </w:tcBorders>
            <w:shd w:fill="1A3A5C" w:val="clear"/>
            <w:tcMar>
              <w:top w:type="dxa" w:w="60"/>
              <w:left w:type="dxa" w:w="120"/>
              <w:bottom w:type="dxa" w:w="60"/>
              <w:right w:type="dxa" w:w="120"/>
            </w:tcMar>
            <w:vAlign w:val="center"/>
          </w:tcPr>
          <w:p>
            <w:r>
              <w:rPr>
                <w:rFonts w:ascii="Arial" w:cs="Arial" w:eastAsia="Arial" w:hAnsi="Arial"/>
                <w:b/>
                <w:bCs/>
                <w:color w:val="FFFFFF"/>
                <w:sz w:val="20"/>
                <w:szCs w:val="20"/>
              </w:rPr>
              <w:t xml:space="preserve">LEHD Work</w:t>
            </w:r>
          </w:p>
        </w:tc>
      </w:tr>
      <w:tr>
        <w:tc>
          <w:tcPr>
            <w:tcW w:type="dxa" w:w="1300"/>
            <w:tcBorders>
              <w:top w:val="single" w:color="B0BEC5" w:sz="1"/>
              <w:left w:val="single" w:color="B0BEC5" w:sz="1"/>
              <w:bottom w:val="single" w:color="B0BEC5" w:sz="1"/>
              <w:right w:val="single" w:color="B0BEC5" w:sz="1"/>
            </w:tcBorders>
            <w:tcMar>
              <w:top w:type="dxa" w:w="60"/>
              <w:left w:type="dxa" w:w="120"/>
              <w:bottom w:type="dxa" w:w="60"/>
              <w:right w:type="dxa" w:w="120"/>
            </w:tcMar>
          </w:tcPr>
          <w:p>
            <w:r>
              <w:rPr>
                <w:rFonts w:ascii="Arial" w:cs="Arial" w:eastAsia="Arial" w:hAnsi="Arial"/>
                <w:b/>
                <w:bCs/>
                <w:color w:val="1A1A1A"/>
                <w:sz w:val="20"/>
                <w:szCs w:val="20"/>
              </w:rPr>
              <w:t xml:space="preserve">office</w:t>
            </w:r>
          </w:p>
        </w:tc>
        <w:tc>
          <w:tcPr>
            <w:tcW w:type="dxa" w:w="1300"/>
            <w:tcBorders>
              <w:top w:val="single" w:color="B0BEC5" w:sz="1"/>
              <w:left w:val="single" w:color="B0BEC5" w:sz="1"/>
              <w:bottom w:val="single" w:color="B0BEC5" w:sz="1"/>
              <w:right w:val="single" w:color="B0BEC5" w:sz="1"/>
            </w:tcBorders>
            <w:tcMar>
              <w:top w:type="dxa" w:w="60"/>
              <w:left w:type="dxa" w:w="120"/>
              <w:bottom w:type="dxa" w:w="60"/>
              <w:right w:type="dxa" w:w="120"/>
            </w:tcMar>
          </w:tcPr>
          <w:p>
            <w:r>
              <w:rPr>
                <w:rFonts w:ascii="Arial" w:cs="Arial" w:eastAsia="Arial" w:hAnsi="Arial"/>
                <w:b w:val="false"/>
                <w:bCs w:val="false"/>
                <w:color w:val="1A1A1A"/>
                <w:sz w:val="20"/>
                <w:szCs w:val="20"/>
              </w:rPr>
              <w:t xml:space="preserve">25</w:t>
            </w:r>
          </w:p>
        </w:tc>
        <w:tc>
          <w:tcPr>
            <w:tcW w:type="dxa" w:w="1300"/>
            <w:tcBorders>
              <w:top w:val="single" w:color="B0BEC5" w:sz="1"/>
              <w:left w:val="single" w:color="B0BEC5" w:sz="1"/>
              <w:bottom w:val="single" w:color="B0BEC5" w:sz="1"/>
              <w:right w:val="single" w:color="B0BEC5" w:sz="1"/>
            </w:tcBorders>
            <w:tcMar>
              <w:top w:type="dxa" w:w="60"/>
              <w:left w:type="dxa" w:w="120"/>
              <w:bottom w:type="dxa" w:w="60"/>
              <w:right w:type="dxa" w:w="120"/>
            </w:tcMar>
          </w:tcPr>
          <w:p>
            <w:r>
              <w:rPr>
                <w:rFonts w:ascii="Arial" w:cs="Arial" w:eastAsia="Arial" w:hAnsi="Arial"/>
                <w:b w:val="false"/>
                <w:bCs w:val="false"/>
                <w:color w:val="1A1A1A"/>
                <w:sz w:val="20"/>
                <w:szCs w:val="20"/>
              </w:rPr>
              <w:t xml:space="preserve">20</w:t>
            </w:r>
          </w:p>
        </w:tc>
        <w:tc>
          <w:tcPr>
            <w:tcW w:type="dxa" w:w="1000"/>
            <w:tcBorders>
              <w:top w:val="single" w:color="B0BEC5" w:sz="1"/>
              <w:left w:val="single" w:color="B0BEC5" w:sz="1"/>
              <w:bottom w:val="single" w:color="B0BEC5" w:sz="1"/>
              <w:right w:val="single" w:color="B0BEC5" w:sz="1"/>
            </w:tcBorders>
            <w:tcMar>
              <w:top w:type="dxa" w:w="60"/>
              <w:left w:type="dxa" w:w="120"/>
              <w:bottom w:type="dxa" w:w="60"/>
              <w:right w:type="dxa" w:w="120"/>
            </w:tcMar>
          </w:tcPr>
          <w:p>
            <w:r>
              <w:rPr>
                <w:rFonts w:ascii="Arial" w:cs="Arial" w:eastAsia="Arial" w:hAnsi="Arial"/>
                <w:b w:val="false"/>
                <w:bCs w:val="false"/>
                <w:color w:val="1A1A1A"/>
                <w:sz w:val="20"/>
                <w:szCs w:val="20"/>
              </w:rPr>
              <w:t xml:space="preserve">10</w:t>
            </w:r>
          </w:p>
        </w:tc>
        <w:tc>
          <w:tcPr>
            <w:tcW w:type="dxa" w:w="1300"/>
            <w:tcBorders>
              <w:top w:val="single" w:color="B0BEC5" w:sz="1"/>
              <w:left w:val="single" w:color="B0BEC5" w:sz="1"/>
              <w:bottom w:val="single" w:color="B0BEC5" w:sz="1"/>
              <w:right w:val="single" w:color="B0BEC5" w:sz="1"/>
            </w:tcBorders>
            <w:tcMar>
              <w:top w:type="dxa" w:w="60"/>
              <w:left w:type="dxa" w:w="120"/>
              <w:bottom w:type="dxa" w:w="60"/>
              <w:right w:type="dxa" w:w="120"/>
            </w:tcMar>
          </w:tcPr>
          <w:p>
            <w:r>
              <w:rPr>
                <w:rFonts w:ascii="Arial" w:cs="Arial" w:eastAsia="Arial" w:hAnsi="Arial"/>
                <w:b w:val="false"/>
                <w:bCs w:val="false"/>
                <w:color w:val="1A1A1A"/>
                <w:sz w:val="20"/>
                <w:szCs w:val="20"/>
              </w:rPr>
              <w:t xml:space="preserve">15</w:t>
            </w:r>
          </w:p>
        </w:tc>
        <w:tc>
          <w:tcPr>
            <w:tcW w:type="dxa" w:w="1260"/>
            <w:tcBorders>
              <w:top w:val="single" w:color="B0BEC5" w:sz="1"/>
              <w:left w:val="single" w:color="B0BEC5" w:sz="1"/>
              <w:bottom w:val="single" w:color="B0BEC5" w:sz="1"/>
              <w:right w:val="single" w:color="B0BEC5" w:sz="1"/>
            </w:tcBorders>
            <w:tcMar>
              <w:top w:type="dxa" w:w="60"/>
              <w:left w:type="dxa" w:w="120"/>
              <w:bottom w:type="dxa" w:w="60"/>
              <w:right w:type="dxa" w:w="120"/>
            </w:tcMar>
          </w:tcPr>
          <w:p>
            <w:r>
              <w:rPr>
                <w:rFonts w:ascii="Arial" w:cs="Arial" w:eastAsia="Arial" w:hAnsi="Arial"/>
                <w:b w:val="false"/>
                <w:bCs w:val="false"/>
                <w:color w:val="1A1A1A"/>
                <w:sz w:val="20"/>
                <w:szCs w:val="20"/>
              </w:rPr>
              <w:t xml:space="preserve">10</w:t>
            </w:r>
          </w:p>
        </w:tc>
        <w:tc>
          <w:tcPr>
            <w:tcW w:type="dxa" w:w="1500"/>
            <w:tcBorders>
              <w:top w:val="single" w:color="B0BEC5" w:sz="1"/>
              <w:left w:val="single" w:color="B0BEC5" w:sz="1"/>
              <w:bottom w:val="single" w:color="B0BEC5" w:sz="1"/>
              <w:right w:val="single" w:color="B0BEC5" w:sz="1"/>
            </w:tcBorders>
            <w:tcMar>
              <w:top w:type="dxa" w:w="60"/>
              <w:left w:type="dxa" w:w="120"/>
              <w:bottom w:type="dxa" w:w="60"/>
              <w:right w:type="dxa" w:w="120"/>
            </w:tcMar>
          </w:tcPr>
          <w:p>
            <w:r>
              <w:rPr>
                <w:rFonts w:ascii="Arial" w:cs="Arial" w:eastAsia="Arial" w:hAnsi="Arial"/>
                <w:b w:val="false"/>
                <w:bCs w:val="false"/>
                <w:color w:val="1A1A1A"/>
                <w:sz w:val="20"/>
                <w:szCs w:val="20"/>
              </w:rPr>
              <w:t xml:space="preserve">20</w:t>
            </w:r>
          </w:p>
        </w:tc>
      </w:tr>
      <w:tr>
        <w:tc>
          <w:tcPr>
            <w:tcW w:type="dxa" w:w="1300"/>
            <w:tcBorders>
              <w:top w:val="single" w:color="B0BEC5" w:sz="1"/>
              <w:left w:val="single" w:color="B0BEC5" w:sz="1"/>
              <w:bottom w:val="single" w:color="B0BEC5" w:sz="1"/>
              <w:right w:val="single" w:color="B0BEC5" w:sz="1"/>
            </w:tcBorders>
            <w:shd w:fill="F8FAFC" w:val="clear"/>
            <w:tcMar>
              <w:top w:type="dxa" w:w="60"/>
              <w:left w:type="dxa" w:w="120"/>
              <w:bottom w:type="dxa" w:w="60"/>
              <w:right w:type="dxa" w:w="120"/>
            </w:tcMar>
          </w:tcPr>
          <w:p>
            <w:r>
              <w:rPr>
                <w:rFonts w:ascii="Arial" w:cs="Arial" w:eastAsia="Arial" w:hAnsi="Arial"/>
                <w:b/>
                <w:bCs/>
                <w:color w:val="1A1A1A"/>
                <w:sz w:val="20"/>
                <w:szCs w:val="20"/>
              </w:rPr>
              <w:t xml:space="preserve">gym</w:t>
            </w:r>
          </w:p>
        </w:tc>
        <w:tc>
          <w:tcPr>
            <w:tcW w:type="dxa" w:w="1300"/>
            <w:tcBorders>
              <w:top w:val="single" w:color="B0BEC5" w:sz="1"/>
              <w:left w:val="single" w:color="B0BEC5" w:sz="1"/>
              <w:bottom w:val="single" w:color="B0BEC5" w:sz="1"/>
              <w:right w:val="single" w:color="B0BEC5" w:sz="1"/>
            </w:tcBorders>
            <w:shd w:fill="F8FAFC" w:val="clear"/>
            <w:tcMar>
              <w:top w:type="dxa" w:w="60"/>
              <w:left w:type="dxa" w:w="120"/>
              <w:bottom w:type="dxa" w:w="60"/>
              <w:right w:type="dxa" w:w="120"/>
            </w:tcMar>
          </w:tcPr>
          <w:p>
            <w:r>
              <w:rPr>
                <w:rFonts w:ascii="Arial" w:cs="Arial" w:eastAsia="Arial" w:hAnsi="Arial"/>
                <w:b w:val="false"/>
                <w:bCs w:val="false"/>
                <w:color w:val="1A1A1A"/>
                <w:sz w:val="20"/>
                <w:szCs w:val="20"/>
              </w:rPr>
              <w:t xml:space="preserve">25</w:t>
            </w:r>
          </w:p>
        </w:tc>
        <w:tc>
          <w:tcPr>
            <w:tcW w:type="dxa" w:w="1300"/>
            <w:tcBorders>
              <w:top w:val="single" w:color="B0BEC5" w:sz="1"/>
              <w:left w:val="single" w:color="B0BEC5" w:sz="1"/>
              <w:bottom w:val="single" w:color="B0BEC5" w:sz="1"/>
              <w:right w:val="single" w:color="B0BEC5" w:sz="1"/>
            </w:tcBorders>
            <w:shd w:fill="F8FAFC" w:val="clear"/>
            <w:tcMar>
              <w:top w:type="dxa" w:w="60"/>
              <w:left w:type="dxa" w:w="120"/>
              <w:bottom w:type="dxa" w:w="60"/>
              <w:right w:type="dxa" w:w="120"/>
            </w:tcMar>
          </w:tcPr>
          <w:p>
            <w:r>
              <w:rPr>
                <w:rFonts w:ascii="Arial" w:cs="Arial" w:eastAsia="Arial" w:hAnsi="Arial"/>
                <w:b w:val="false"/>
                <w:bCs w:val="false"/>
                <w:color w:val="1A1A1A"/>
                <w:sz w:val="20"/>
                <w:szCs w:val="20"/>
              </w:rPr>
              <w:t xml:space="preserve">25</w:t>
            </w:r>
          </w:p>
        </w:tc>
        <w:tc>
          <w:tcPr>
            <w:tcW w:type="dxa" w:w="1000"/>
            <w:tcBorders>
              <w:top w:val="single" w:color="B0BEC5" w:sz="1"/>
              <w:left w:val="single" w:color="B0BEC5" w:sz="1"/>
              <w:bottom w:val="single" w:color="B0BEC5" w:sz="1"/>
              <w:right w:val="single" w:color="B0BEC5" w:sz="1"/>
            </w:tcBorders>
            <w:shd w:fill="F8FAFC" w:val="clear"/>
            <w:tcMar>
              <w:top w:type="dxa" w:w="60"/>
              <w:left w:type="dxa" w:w="120"/>
              <w:bottom w:type="dxa" w:w="60"/>
              <w:right w:type="dxa" w:w="120"/>
            </w:tcMar>
          </w:tcPr>
          <w:p>
            <w:r>
              <w:rPr>
                <w:rFonts w:ascii="Arial" w:cs="Arial" w:eastAsia="Arial" w:hAnsi="Arial"/>
                <w:b w:val="false"/>
                <w:bCs w:val="false"/>
                <w:color w:val="1A1A1A"/>
                <w:sz w:val="20"/>
                <w:szCs w:val="20"/>
              </w:rPr>
              <w:t xml:space="preserve">20</w:t>
            </w:r>
          </w:p>
        </w:tc>
        <w:tc>
          <w:tcPr>
            <w:tcW w:type="dxa" w:w="1300"/>
            <w:tcBorders>
              <w:top w:val="single" w:color="B0BEC5" w:sz="1"/>
              <w:left w:val="single" w:color="B0BEC5" w:sz="1"/>
              <w:bottom w:val="single" w:color="B0BEC5" w:sz="1"/>
              <w:right w:val="single" w:color="B0BEC5" w:sz="1"/>
            </w:tcBorders>
            <w:shd w:fill="F8FAFC" w:val="clear"/>
            <w:tcMar>
              <w:top w:type="dxa" w:w="60"/>
              <w:left w:type="dxa" w:w="120"/>
              <w:bottom w:type="dxa" w:w="60"/>
              <w:right w:type="dxa" w:w="120"/>
            </w:tcMar>
          </w:tcPr>
          <w:p>
            <w:r>
              <w:rPr>
                <w:rFonts w:ascii="Arial" w:cs="Arial" w:eastAsia="Arial" w:hAnsi="Arial"/>
                <w:b w:val="false"/>
                <w:bCs w:val="false"/>
                <w:color w:val="1A1A1A"/>
                <w:sz w:val="20"/>
                <w:szCs w:val="20"/>
              </w:rPr>
              <w:t xml:space="preserve">10</w:t>
            </w:r>
          </w:p>
        </w:tc>
        <w:tc>
          <w:tcPr>
            <w:tcW w:type="dxa" w:w="1260"/>
            <w:tcBorders>
              <w:top w:val="single" w:color="B0BEC5" w:sz="1"/>
              <w:left w:val="single" w:color="B0BEC5" w:sz="1"/>
              <w:bottom w:val="single" w:color="B0BEC5" w:sz="1"/>
              <w:right w:val="single" w:color="B0BEC5" w:sz="1"/>
            </w:tcBorders>
            <w:shd w:fill="F8FAFC" w:val="clear"/>
            <w:tcMar>
              <w:top w:type="dxa" w:w="60"/>
              <w:left w:type="dxa" w:w="120"/>
              <w:bottom w:type="dxa" w:w="60"/>
              <w:right w:type="dxa" w:w="120"/>
            </w:tcMar>
          </w:tcPr>
          <w:p>
            <w:r>
              <w:rPr>
                <w:rFonts w:ascii="Arial" w:cs="Arial" w:eastAsia="Arial" w:hAnsi="Arial"/>
                <w:b w:val="false"/>
                <w:bCs w:val="false"/>
                <w:color w:val="1A1A1A"/>
                <w:sz w:val="20"/>
                <w:szCs w:val="20"/>
              </w:rPr>
              <w:t xml:space="preserve">15</w:t>
            </w:r>
          </w:p>
        </w:tc>
        <w:tc>
          <w:tcPr>
            <w:tcW w:type="dxa" w:w="1500"/>
            <w:tcBorders>
              <w:top w:val="single" w:color="B0BEC5" w:sz="1"/>
              <w:left w:val="single" w:color="B0BEC5" w:sz="1"/>
              <w:bottom w:val="single" w:color="B0BEC5" w:sz="1"/>
              <w:right w:val="single" w:color="B0BEC5" w:sz="1"/>
            </w:tcBorders>
            <w:shd w:fill="F8FAFC" w:val="clear"/>
            <w:tcMar>
              <w:top w:type="dxa" w:w="60"/>
              <w:left w:type="dxa" w:w="120"/>
              <w:bottom w:type="dxa" w:w="60"/>
              <w:right w:type="dxa" w:w="120"/>
            </w:tcMar>
          </w:tcPr>
          <w:p>
            <w:r>
              <w:rPr>
                <w:rFonts w:ascii="Arial" w:cs="Arial" w:eastAsia="Arial" w:hAnsi="Arial"/>
                <w:b w:val="false"/>
                <w:bCs w:val="false"/>
                <w:color w:val="1A1A1A"/>
                <w:sz w:val="20"/>
                <w:szCs w:val="20"/>
              </w:rPr>
              <w:t xml:space="preserve">5</w:t>
            </w:r>
          </w:p>
        </w:tc>
      </w:tr>
      <w:tr>
        <w:tc>
          <w:tcPr>
            <w:tcW w:type="dxa" w:w="1300"/>
            <w:tcBorders>
              <w:top w:val="single" w:color="B0BEC5" w:sz="1"/>
              <w:left w:val="single" w:color="B0BEC5" w:sz="1"/>
              <w:bottom w:val="single" w:color="B0BEC5" w:sz="1"/>
              <w:right w:val="single" w:color="B0BEC5" w:sz="1"/>
            </w:tcBorders>
            <w:tcMar>
              <w:top w:type="dxa" w:w="60"/>
              <w:left w:type="dxa" w:w="120"/>
              <w:bottom w:type="dxa" w:w="60"/>
              <w:right w:type="dxa" w:w="120"/>
            </w:tcMar>
          </w:tcPr>
          <w:p>
            <w:r>
              <w:rPr>
                <w:rFonts w:ascii="Arial" w:cs="Arial" w:eastAsia="Arial" w:hAnsi="Arial"/>
                <w:b/>
                <w:bCs/>
                <w:color w:val="1A1A1A"/>
                <w:sz w:val="20"/>
                <w:szCs w:val="20"/>
              </w:rPr>
              <w:t xml:space="preserve">hospital</w:t>
            </w:r>
          </w:p>
        </w:tc>
        <w:tc>
          <w:tcPr>
            <w:tcW w:type="dxa" w:w="1300"/>
            <w:tcBorders>
              <w:top w:val="single" w:color="B0BEC5" w:sz="1"/>
              <w:left w:val="single" w:color="B0BEC5" w:sz="1"/>
              <w:bottom w:val="single" w:color="B0BEC5" w:sz="1"/>
              <w:right w:val="single" w:color="B0BEC5" w:sz="1"/>
            </w:tcBorders>
            <w:tcMar>
              <w:top w:type="dxa" w:w="60"/>
              <w:left w:type="dxa" w:w="120"/>
              <w:bottom w:type="dxa" w:w="60"/>
              <w:right w:type="dxa" w:w="120"/>
            </w:tcMar>
          </w:tcPr>
          <w:p>
            <w:r>
              <w:rPr>
                <w:rFonts w:ascii="Arial" w:cs="Arial" w:eastAsia="Arial" w:hAnsi="Arial"/>
                <w:b w:val="false"/>
                <w:bCs w:val="false"/>
                <w:color w:val="1A1A1A"/>
                <w:sz w:val="20"/>
                <w:szCs w:val="20"/>
              </w:rPr>
              <w:t xml:space="preserve">30</w:t>
            </w:r>
          </w:p>
        </w:tc>
        <w:tc>
          <w:tcPr>
            <w:tcW w:type="dxa" w:w="1300"/>
            <w:tcBorders>
              <w:top w:val="single" w:color="B0BEC5" w:sz="1"/>
              <w:left w:val="single" w:color="B0BEC5" w:sz="1"/>
              <w:bottom w:val="single" w:color="B0BEC5" w:sz="1"/>
              <w:right w:val="single" w:color="B0BEC5" w:sz="1"/>
            </w:tcBorders>
            <w:tcMar>
              <w:top w:type="dxa" w:w="60"/>
              <w:left w:type="dxa" w:w="120"/>
              <w:bottom w:type="dxa" w:w="60"/>
              <w:right w:type="dxa" w:w="120"/>
            </w:tcMar>
          </w:tcPr>
          <w:p>
            <w:r>
              <w:rPr>
                <w:rFonts w:ascii="Arial" w:cs="Arial" w:eastAsia="Arial" w:hAnsi="Arial"/>
                <w:b w:val="false"/>
                <w:bCs w:val="false"/>
                <w:color w:val="1A1A1A"/>
                <w:sz w:val="20"/>
                <w:szCs w:val="20"/>
              </w:rPr>
              <w:t xml:space="preserve">15</w:t>
            </w:r>
          </w:p>
        </w:tc>
        <w:tc>
          <w:tcPr>
            <w:tcW w:type="dxa" w:w="1000"/>
            <w:tcBorders>
              <w:top w:val="single" w:color="B0BEC5" w:sz="1"/>
              <w:left w:val="single" w:color="B0BEC5" w:sz="1"/>
              <w:bottom w:val="single" w:color="B0BEC5" w:sz="1"/>
              <w:right w:val="single" w:color="B0BEC5" w:sz="1"/>
            </w:tcBorders>
            <w:tcMar>
              <w:top w:type="dxa" w:w="60"/>
              <w:left w:type="dxa" w:w="120"/>
              <w:bottom w:type="dxa" w:w="60"/>
              <w:right w:type="dxa" w:w="120"/>
            </w:tcMar>
          </w:tcPr>
          <w:p>
            <w:r>
              <w:rPr>
                <w:rFonts w:ascii="Arial" w:cs="Arial" w:eastAsia="Arial" w:hAnsi="Arial"/>
                <w:b w:val="false"/>
                <w:bCs w:val="false"/>
                <w:color w:val="1A1A1A"/>
                <w:sz w:val="20"/>
                <w:szCs w:val="20"/>
              </w:rPr>
              <w:t xml:space="preserve">5</w:t>
            </w:r>
          </w:p>
        </w:tc>
        <w:tc>
          <w:tcPr>
            <w:tcW w:type="dxa" w:w="1300"/>
            <w:tcBorders>
              <w:top w:val="single" w:color="B0BEC5" w:sz="1"/>
              <w:left w:val="single" w:color="B0BEC5" w:sz="1"/>
              <w:bottom w:val="single" w:color="B0BEC5" w:sz="1"/>
              <w:right w:val="single" w:color="B0BEC5" w:sz="1"/>
            </w:tcBorders>
            <w:tcMar>
              <w:top w:type="dxa" w:w="60"/>
              <w:left w:type="dxa" w:w="120"/>
              <w:bottom w:type="dxa" w:w="60"/>
              <w:right w:type="dxa" w:w="120"/>
            </w:tcMar>
          </w:tcPr>
          <w:p>
            <w:r>
              <w:rPr>
                <w:rFonts w:ascii="Arial" w:cs="Arial" w:eastAsia="Arial" w:hAnsi="Arial"/>
                <w:b w:val="false"/>
                <w:bCs w:val="false"/>
                <w:color w:val="1A1A1A"/>
                <w:sz w:val="20"/>
                <w:szCs w:val="20"/>
              </w:rPr>
              <w:t xml:space="preserve">15</w:t>
            </w:r>
          </w:p>
        </w:tc>
        <w:tc>
          <w:tcPr>
            <w:tcW w:type="dxa" w:w="1260"/>
            <w:tcBorders>
              <w:top w:val="single" w:color="B0BEC5" w:sz="1"/>
              <w:left w:val="single" w:color="B0BEC5" w:sz="1"/>
              <w:bottom w:val="single" w:color="B0BEC5" w:sz="1"/>
              <w:right w:val="single" w:color="B0BEC5" w:sz="1"/>
            </w:tcBorders>
            <w:tcMar>
              <w:top w:type="dxa" w:w="60"/>
              <w:left w:type="dxa" w:w="120"/>
              <w:bottom w:type="dxa" w:w="60"/>
              <w:right w:type="dxa" w:w="120"/>
            </w:tcMar>
          </w:tcPr>
          <w:p>
            <w:r>
              <w:rPr>
                <w:rFonts w:ascii="Arial" w:cs="Arial" w:eastAsia="Arial" w:hAnsi="Arial"/>
                <w:b w:val="false"/>
                <w:bCs w:val="false"/>
                <w:color w:val="1A1A1A"/>
                <w:sz w:val="20"/>
                <w:szCs w:val="20"/>
              </w:rPr>
              <w:t xml:space="preserve">10</w:t>
            </w:r>
          </w:p>
        </w:tc>
        <w:tc>
          <w:tcPr>
            <w:tcW w:type="dxa" w:w="1500"/>
            <w:tcBorders>
              <w:top w:val="single" w:color="B0BEC5" w:sz="1"/>
              <w:left w:val="single" w:color="B0BEC5" w:sz="1"/>
              <w:bottom w:val="single" w:color="B0BEC5" w:sz="1"/>
              <w:right w:val="single" w:color="B0BEC5" w:sz="1"/>
            </w:tcBorders>
            <w:tcMar>
              <w:top w:type="dxa" w:w="60"/>
              <w:left w:type="dxa" w:w="120"/>
              <w:bottom w:type="dxa" w:w="60"/>
              <w:right w:type="dxa" w:w="120"/>
            </w:tcMar>
          </w:tcPr>
          <w:p>
            <w:r>
              <w:rPr>
                <w:rFonts w:ascii="Arial" w:cs="Arial" w:eastAsia="Arial" w:hAnsi="Arial"/>
                <w:b w:val="false"/>
                <w:bCs w:val="false"/>
                <w:color w:val="1A1A1A"/>
                <w:sz w:val="20"/>
                <w:szCs w:val="20"/>
              </w:rPr>
              <w:t xml:space="preserve">25</w:t>
            </w:r>
          </w:p>
        </w:tc>
      </w:tr>
      <w:tr>
        <w:tc>
          <w:tcPr>
            <w:tcW w:type="dxa" w:w="1300"/>
            <w:tcBorders>
              <w:top w:val="single" w:color="B0BEC5" w:sz="1"/>
              <w:left w:val="single" w:color="B0BEC5" w:sz="1"/>
              <w:bottom w:val="single" w:color="B0BEC5" w:sz="1"/>
              <w:right w:val="single" w:color="B0BEC5" w:sz="1"/>
            </w:tcBorders>
            <w:shd w:fill="F8FAFC" w:val="clear"/>
            <w:tcMar>
              <w:top w:type="dxa" w:w="60"/>
              <w:left w:type="dxa" w:w="120"/>
              <w:bottom w:type="dxa" w:w="60"/>
              <w:right w:type="dxa" w:w="120"/>
            </w:tcMar>
          </w:tcPr>
          <w:p>
            <w:r>
              <w:rPr>
                <w:rFonts w:ascii="Arial" w:cs="Arial" w:eastAsia="Arial" w:hAnsi="Arial"/>
                <w:b/>
                <w:bCs/>
                <w:color w:val="1A1A1A"/>
                <w:sz w:val="20"/>
                <w:szCs w:val="20"/>
              </w:rPr>
              <w:t xml:space="preserve">school</w:t>
            </w:r>
          </w:p>
        </w:tc>
        <w:tc>
          <w:tcPr>
            <w:tcW w:type="dxa" w:w="1300"/>
            <w:tcBorders>
              <w:top w:val="single" w:color="B0BEC5" w:sz="1"/>
              <w:left w:val="single" w:color="B0BEC5" w:sz="1"/>
              <w:bottom w:val="single" w:color="B0BEC5" w:sz="1"/>
              <w:right w:val="single" w:color="B0BEC5" w:sz="1"/>
            </w:tcBorders>
            <w:shd w:fill="F8FAFC" w:val="clear"/>
            <w:tcMar>
              <w:top w:type="dxa" w:w="60"/>
              <w:left w:type="dxa" w:w="120"/>
              <w:bottom w:type="dxa" w:w="60"/>
              <w:right w:type="dxa" w:w="120"/>
            </w:tcMar>
          </w:tcPr>
          <w:p>
            <w:r>
              <w:rPr>
                <w:rFonts w:ascii="Arial" w:cs="Arial" w:eastAsia="Arial" w:hAnsi="Arial"/>
                <w:b w:val="false"/>
                <w:bCs w:val="false"/>
                <w:color w:val="1A1A1A"/>
                <w:sz w:val="20"/>
                <w:szCs w:val="20"/>
              </w:rPr>
              <w:t xml:space="preserve">25</w:t>
            </w:r>
          </w:p>
        </w:tc>
        <w:tc>
          <w:tcPr>
            <w:tcW w:type="dxa" w:w="1300"/>
            <w:tcBorders>
              <w:top w:val="single" w:color="B0BEC5" w:sz="1"/>
              <w:left w:val="single" w:color="B0BEC5" w:sz="1"/>
              <w:bottom w:val="single" w:color="B0BEC5" w:sz="1"/>
              <w:right w:val="single" w:color="B0BEC5" w:sz="1"/>
            </w:tcBorders>
            <w:shd w:fill="F8FAFC" w:val="clear"/>
            <w:tcMar>
              <w:top w:type="dxa" w:w="60"/>
              <w:left w:type="dxa" w:w="120"/>
              <w:bottom w:type="dxa" w:w="60"/>
              <w:right w:type="dxa" w:w="120"/>
            </w:tcMar>
          </w:tcPr>
          <w:p>
            <w:r>
              <w:rPr>
                <w:rFonts w:ascii="Arial" w:cs="Arial" w:eastAsia="Arial" w:hAnsi="Arial"/>
                <w:b w:val="false"/>
                <w:bCs w:val="false"/>
                <w:color w:val="1A1A1A"/>
                <w:sz w:val="20"/>
                <w:szCs w:val="20"/>
              </w:rPr>
              <w:t xml:space="preserve">20</w:t>
            </w:r>
          </w:p>
        </w:tc>
        <w:tc>
          <w:tcPr>
            <w:tcW w:type="dxa" w:w="1000"/>
            <w:tcBorders>
              <w:top w:val="single" w:color="B0BEC5" w:sz="1"/>
              <w:left w:val="single" w:color="B0BEC5" w:sz="1"/>
              <w:bottom w:val="single" w:color="B0BEC5" w:sz="1"/>
              <w:right w:val="single" w:color="B0BEC5" w:sz="1"/>
            </w:tcBorders>
            <w:shd w:fill="F8FAFC" w:val="clear"/>
            <w:tcMar>
              <w:top w:type="dxa" w:w="60"/>
              <w:left w:type="dxa" w:w="120"/>
              <w:bottom w:type="dxa" w:w="60"/>
              <w:right w:type="dxa" w:w="120"/>
            </w:tcMar>
          </w:tcPr>
          <w:p>
            <w:r>
              <w:rPr>
                <w:rFonts w:ascii="Arial" w:cs="Arial" w:eastAsia="Arial" w:hAnsi="Arial"/>
                <w:b w:val="false"/>
                <w:bCs w:val="false"/>
                <w:color w:val="1A1A1A"/>
                <w:sz w:val="20"/>
                <w:szCs w:val="20"/>
              </w:rPr>
              <w:t xml:space="preserve">10</w:t>
            </w:r>
          </w:p>
        </w:tc>
        <w:tc>
          <w:tcPr>
            <w:tcW w:type="dxa" w:w="1300"/>
            <w:tcBorders>
              <w:top w:val="single" w:color="B0BEC5" w:sz="1"/>
              <w:left w:val="single" w:color="B0BEC5" w:sz="1"/>
              <w:bottom w:val="single" w:color="B0BEC5" w:sz="1"/>
              <w:right w:val="single" w:color="B0BEC5" w:sz="1"/>
            </w:tcBorders>
            <w:shd w:fill="F8FAFC" w:val="clear"/>
            <w:tcMar>
              <w:top w:type="dxa" w:w="60"/>
              <w:left w:type="dxa" w:w="120"/>
              <w:bottom w:type="dxa" w:w="60"/>
              <w:right w:type="dxa" w:w="120"/>
            </w:tcMar>
          </w:tcPr>
          <w:p>
            <w:r>
              <w:rPr>
                <w:rFonts w:ascii="Arial" w:cs="Arial" w:eastAsia="Arial" w:hAnsi="Arial"/>
                <w:b w:val="false"/>
                <w:bCs w:val="false"/>
                <w:color w:val="1A1A1A"/>
                <w:sz w:val="20"/>
                <w:szCs w:val="20"/>
              </w:rPr>
              <w:t xml:space="preserve">15</w:t>
            </w:r>
          </w:p>
        </w:tc>
        <w:tc>
          <w:tcPr>
            <w:tcW w:type="dxa" w:w="1260"/>
            <w:tcBorders>
              <w:top w:val="single" w:color="B0BEC5" w:sz="1"/>
              <w:left w:val="single" w:color="B0BEC5" w:sz="1"/>
              <w:bottom w:val="single" w:color="B0BEC5" w:sz="1"/>
              <w:right w:val="single" w:color="B0BEC5" w:sz="1"/>
            </w:tcBorders>
            <w:shd w:fill="F8FAFC" w:val="clear"/>
            <w:tcMar>
              <w:top w:type="dxa" w:w="60"/>
              <w:left w:type="dxa" w:w="120"/>
              <w:bottom w:type="dxa" w:w="60"/>
              <w:right w:type="dxa" w:w="120"/>
            </w:tcMar>
          </w:tcPr>
          <w:p>
            <w:r>
              <w:rPr>
                <w:rFonts w:ascii="Arial" w:cs="Arial" w:eastAsia="Arial" w:hAnsi="Arial"/>
                <w:b w:val="false"/>
                <w:bCs w:val="false"/>
                <w:color w:val="1A1A1A"/>
                <w:sz w:val="20"/>
                <w:szCs w:val="20"/>
              </w:rPr>
              <w:t xml:space="preserve">20</w:t>
            </w:r>
          </w:p>
        </w:tc>
        <w:tc>
          <w:tcPr>
            <w:tcW w:type="dxa" w:w="1500"/>
            <w:tcBorders>
              <w:top w:val="single" w:color="B0BEC5" w:sz="1"/>
              <w:left w:val="single" w:color="B0BEC5" w:sz="1"/>
              <w:bottom w:val="single" w:color="B0BEC5" w:sz="1"/>
              <w:right w:val="single" w:color="B0BEC5" w:sz="1"/>
            </w:tcBorders>
            <w:shd w:fill="F8FAFC" w:val="clear"/>
            <w:tcMar>
              <w:top w:type="dxa" w:w="60"/>
              <w:left w:type="dxa" w:w="120"/>
              <w:bottom w:type="dxa" w:w="60"/>
              <w:right w:type="dxa" w:w="120"/>
            </w:tcMar>
          </w:tcPr>
          <w:p>
            <w:r>
              <w:rPr>
                <w:rFonts w:ascii="Arial" w:cs="Arial" w:eastAsia="Arial" w:hAnsi="Arial"/>
                <w:b w:val="false"/>
                <w:bCs w:val="false"/>
                <w:color w:val="1A1A1A"/>
                <w:sz w:val="20"/>
                <w:szCs w:val="20"/>
              </w:rPr>
              <w:t xml:space="preserve">10</w:t>
            </w:r>
          </w:p>
        </w:tc>
      </w:tr>
      <w:tr>
        <w:tc>
          <w:tcPr>
            <w:tcW w:type="dxa" w:w="1300"/>
            <w:tcBorders>
              <w:top w:val="single" w:color="B0BEC5" w:sz="1"/>
              <w:left w:val="single" w:color="B0BEC5" w:sz="1"/>
              <w:bottom w:val="single" w:color="B0BEC5" w:sz="1"/>
              <w:right w:val="single" w:color="B0BEC5" w:sz="1"/>
            </w:tcBorders>
            <w:tcMar>
              <w:top w:type="dxa" w:w="60"/>
              <w:left w:type="dxa" w:w="120"/>
              <w:bottom w:type="dxa" w:w="60"/>
              <w:right w:type="dxa" w:w="120"/>
            </w:tcMar>
          </w:tcPr>
          <w:p>
            <w:r>
              <w:rPr>
                <w:rFonts w:ascii="Arial" w:cs="Arial" w:eastAsia="Arial" w:hAnsi="Arial"/>
                <w:b/>
                <w:bCs/>
                <w:color w:val="1A1A1A"/>
                <w:sz w:val="20"/>
                <w:szCs w:val="20"/>
              </w:rPr>
              <w:t xml:space="preserve">manufacturing</w:t>
            </w:r>
          </w:p>
        </w:tc>
        <w:tc>
          <w:tcPr>
            <w:tcW w:type="dxa" w:w="1300"/>
            <w:tcBorders>
              <w:top w:val="single" w:color="B0BEC5" w:sz="1"/>
              <w:left w:val="single" w:color="B0BEC5" w:sz="1"/>
              <w:bottom w:val="single" w:color="B0BEC5" w:sz="1"/>
              <w:right w:val="single" w:color="B0BEC5" w:sz="1"/>
            </w:tcBorders>
            <w:tcMar>
              <w:top w:type="dxa" w:w="60"/>
              <w:left w:type="dxa" w:w="120"/>
              <w:bottom w:type="dxa" w:w="60"/>
              <w:right w:type="dxa" w:w="120"/>
            </w:tcMar>
          </w:tcPr>
          <w:p>
            <w:r>
              <w:rPr>
                <w:rFonts w:ascii="Arial" w:cs="Arial" w:eastAsia="Arial" w:hAnsi="Arial"/>
                <w:b w:val="false"/>
                <w:bCs w:val="false"/>
                <w:color w:val="1A1A1A"/>
                <w:sz w:val="20"/>
                <w:szCs w:val="20"/>
              </w:rPr>
              <w:t xml:space="preserve">25</w:t>
            </w:r>
          </w:p>
        </w:tc>
        <w:tc>
          <w:tcPr>
            <w:tcW w:type="dxa" w:w="1300"/>
            <w:tcBorders>
              <w:top w:val="single" w:color="B0BEC5" w:sz="1"/>
              <w:left w:val="single" w:color="B0BEC5" w:sz="1"/>
              <w:bottom w:val="single" w:color="B0BEC5" w:sz="1"/>
              <w:right w:val="single" w:color="B0BEC5" w:sz="1"/>
            </w:tcBorders>
            <w:tcMar>
              <w:top w:type="dxa" w:w="60"/>
              <w:left w:type="dxa" w:w="120"/>
              <w:bottom w:type="dxa" w:w="60"/>
              <w:right w:type="dxa" w:w="120"/>
            </w:tcMar>
          </w:tcPr>
          <w:p>
            <w:r>
              <w:rPr>
                <w:rFonts w:ascii="Arial" w:cs="Arial" w:eastAsia="Arial" w:hAnsi="Arial"/>
                <w:b w:val="false"/>
                <w:bCs w:val="false"/>
                <w:color w:val="1A1A1A"/>
                <w:sz w:val="20"/>
                <w:szCs w:val="20"/>
              </w:rPr>
              <w:t xml:space="preserve">10</w:t>
            </w:r>
          </w:p>
        </w:tc>
        <w:tc>
          <w:tcPr>
            <w:tcW w:type="dxa" w:w="1000"/>
            <w:tcBorders>
              <w:top w:val="single" w:color="B0BEC5" w:sz="1"/>
              <w:left w:val="single" w:color="B0BEC5" w:sz="1"/>
              <w:bottom w:val="single" w:color="B0BEC5" w:sz="1"/>
              <w:right w:val="single" w:color="B0BEC5" w:sz="1"/>
            </w:tcBorders>
            <w:tcMar>
              <w:top w:type="dxa" w:w="60"/>
              <w:left w:type="dxa" w:w="120"/>
              <w:bottom w:type="dxa" w:w="60"/>
              <w:right w:type="dxa" w:w="120"/>
            </w:tcMar>
          </w:tcPr>
          <w:p>
            <w:r>
              <w:rPr>
                <w:rFonts w:ascii="Arial" w:cs="Arial" w:eastAsia="Arial" w:hAnsi="Arial"/>
                <w:b w:val="false"/>
                <w:bCs w:val="false"/>
                <w:color w:val="1A1A1A"/>
                <w:sz w:val="20"/>
                <w:szCs w:val="20"/>
              </w:rPr>
              <w:t xml:space="preserve">5</w:t>
            </w:r>
          </w:p>
        </w:tc>
        <w:tc>
          <w:tcPr>
            <w:tcW w:type="dxa" w:w="1300"/>
            <w:tcBorders>
              <w:top w:val="single" w:color="B0BEC5" w:sz="1"/>
              <w:left w:val="single" w:color="B0BEC5" w:sz="1"/>
              <w:bottom w:val="single" w:color="B0BEC5" w:sz="1"/>
              <w:right w:val="single" w:color="B0BEC5" w:sz="1"/>
            </w:tcBorders>
            <w:tcMar>
              <w:top w:type="dxa" w:w="60"/>
              <w:left w:type="dxa" w:w="120"/>
              <w:bottom w:type="dxa" w:w="60"/>
              <w:right w:type="dxa" w:w="120"/>
            </w:tcMar>
          </w:tcPr>
          <w:p>
            <w:r>
              <w:rPr>
                <w:rFonts w:ascii="Arial" w:cs="Arial" w:eastAsia="Arial" w:hAnsi="Arial"/>
                <w:b w:val="false"/>
                <w:bCs w:val="false"/>
                <w:color w:val="1A1A1A"/>
                <w:sz w:val="20"/>
                <w:szCs w:val="20"/>
              </w:rPr>
              <w:t xml:space="preserve">25</w:t>
            </w:r>
          </w:p>
        </w:tc>
        <w:tc>
          <w:tcPr>
            <w:tcW w:type="dxa" w:w="1260"/>
            <w:tcBorders>
              <w:top w:val="single" w:color="B0BEC5" w:sz="1"/>
              <w:left w:val="single" w:color="B0BEC5" w:sz="1"/>
              <w:bottom w:val="single" w:color="B0BEC5" w:sz="1"/>
              <w:right w:val="single" w:color="B0BEC5" w:sz="1"/>
            </w:tcBorders>
            <w:tcMar>
              <w:top w:type="dxa" w:w="60"/>
              <w:left w:type="dxa" w:w="120"/>
              <w:bottom w:type="dxa" w:w="60"/>
              <w:right w:type="dxa" w:w="120"/>
            </w:tcMar>
          </w:tcPr>
          <w:p>
            <w:r>
              <w:rPr>
                <w:rFonts w:ascii="Arial" w:cs="Arial" w:eastAsia="Arial" w:hAnsi="Arial"/>
                <w:b w:val="false"/>
                <w:bCs w:val="false"/>
                <w:color w:val="1A1A1A"/>
                <w:sz w:val="20"/>
                <w:szCs w:val="20"/>
              </w:rPr>
              <w:t xml:space="preserve">5</w:t>
            </w:r>
          </w:p>
        </w:tc>
        <w:tc>
          <w:tcPr>
            <w:tcW w:type="dxa" w:w="1500"/>
            <w:tcBorders>
              <w:top w:val="single" w:color="B0BEC5" w:sz="1"/>
              <w:left w:val="single" w:color="B0BEC5" w:sz="1"/>
              <w:bottom w:val="single" w:color="B0BEC5" w:sz="1"/>
              <w:right w:val="single" w:color="B0BEC5" w:sz="1"/>
            </w:tcBorders>
            <w:tcMar>
              <w:top w:type="dxa" w:w="60"/>
              <w:left w:type="dxa" w:w="120"/>
              <w:bottom w:type="dxa" w:w="60"/>
              <w:right w:type="dxa" w:w="120"/>
            </w:tcMar>
          </w:tcPr>
          <w:p>
            <w:r>
              <w:rPr>
                <w:rFonts w:ascii="Arial" w:cs="Arial" w:eastAsia="Arial" w:hAnsi="Arial"/>
                <w:b w:val="false"/>
                <w:bCs w:val="false"/>
                <w:color w:val="1A1A1A"/>
                <w:sz w:val="20"/>
                <w:szCs w:val="20"/>
              </w:rPr>
              <w:t xml:space="preserve">30</w:t>
            </w:r>
          </w:p>
        </w:tc>
      </w:tr>
      <w:tr>
        <w:tc>
          <w:tcPr>
            <w:tcW w:type="dxa" w:w="1300"/>
            <w:tcBorders>
              <w:top w:val="single" w:color="B0BEC5" w:sz="1"/>
              <w:left w:val="single" w:color="B0BEC5" w:sz="1"/>
              <w:bottom w:val="single" w:color="B0BEC5" w:sz="1"/>
              <w:right w:val="single" w:color="B0BEC5" w:sz="1"/>
            </w:tcBorders>
            <w:shd w:fill="F8FAFC" w:val="clear"/>
            <w:tcMar>
              <w:top w:type="dxa" w:w="60"/>
              <w:left w:type="dxa" w:w="120"/>
              <w:bottom w:type="dxa" w:w="60"/>
              <w:right w:type="dxa" w:w="120"/>
            </w:tcMar>
          </w:tcPr>
          <w:p>
            <w:r>
              <w:rPr>
                <w:rFonts w:ascii="Arial" w:cs="Arial" w:eastAsia="Arial" w:hAnsi="Arial"/>
                <w:b/>
                <w:bCs/>
                <w:color w:val="1A1A1A"/>
                <w:sz w:val="20"/>
                <w:szCs w:val="20"/>
              </w:rPr>
              <w:t xml:space="preserve">apartment</w:t>
            </w:r>
          </w:p>
        </w:tc>
        <w:tc>
          <w:tcPr>
            <w:tcW w:type="dxa" w:w="1300"/>
            <w:tcBorders>
              <w:top w:val="single" w:color="B0BEC5" w:sz="1"/>
              <w:left w:val="single" w:color="B0BEC5" w:sz="1"/>
              <w:bottom w:val="single" w:color="B0BEC5" w:sz="1"/>
              <w:right w:val="single" w:color="B0BEC5" w:sz="1"/>
            </w:tcBorders>
            <w:shd w:fill="F8FAFC" w:val="clear"/>
            <w:tcMar>
              <w:top w:type="dxa" w:w="60"/>
              <w:left w:type="dxa" w:w="120"/>
              <w:bottom w:type="dxa" w:w="60"/>
              <w:right w:type="dxa" w:w="120"/>
            </w:tcMar>
          </w:tcPr>
          <w:p>
            <w:r>
              <w:rPr>
                <w:rFonts w:ascii="Arial" w:cs="Arial" w:eastAsia="Arial" w:hAnsi="Arial"/>
                <w:b w:val="false"/>
                <w:bCs w:val="false"/>
                <w:color w:val="1A1A1A"/>
                <w:sz w:val="20"/>
                <w:szCs w:val="20"/>
              </w:rPr>
              <w:t xml:space="preserve">20</w:t>
            </w:r>
          </w:p>
        </w:tc>
        <w:tc>
          <w:tcPr>
            <w:tcW w:type="dxa" w:w="1300"/>
            <w:tcBorders>
              <w:top w:val="single" w:color="B0BEC5" w:sz="1"/>
              <w:left w:val="single" w:color="B0BEC5" w:sz="1"/>
              <w:bottom w:val="single" w:color="B0BEC5" w:sz="1"/>
              <w:right w:val="single" w:color="B0BEC5" w:sz="1"/>
            </w:tcBorders>
            <w:shd w:fill="F8FAFC" w:val="clear"/>
            <w:tcMar>
              <w:top w:type="dxa" w:w="60"/>
              <w:left w:type="dxa" w:w="120"/>
              <w:bottom w:type="dxa" w:w="60"/>
              <w:right w:type="dxa" w:w="120"/>
            </w:tcMar>
          </w:tcPr>
          <w:p>
            <w:r>
              <w:rPr>
                <w:rFonts w:ascii="Arial" w:cs="Arial" w:eastAsia="Arial" w:hAnsi="Arial"/>
                <w:b w:val="false"/>
                <w:bCs w:val="false"/>
                <w:color w:val="1A1A1A"/>
                <w:sz w:val="20"/>
                <w:szCs w:val="20"/>
              </w:rPr>
              <w:t xml:space="preserve">20</w:t>
            </w:r>
          </w:p>
        </w:tc>
        <w:tc>
          <w:tcPr>
            <w:tcW w:type="dxa" w:w="1000"/>
            <w:tcBorders>
              <w:top w:val="single" w:color="B0BEC5" w:sz="1"/>
              <w:left w:val="single" w:color="B0BEC5" w:sz="1"/>
              <w:bottom w:val="single" w:color="B0BEC5" w:sz="1"/>
              <w:right w:val="single" w:color="B0BEC5" w:sz="1"/>
            </w:tcBorders>
            <w:shd w:fill="F8FAFC" w:val="clear"/>
            <w:tcMar>
              <w:top w:type="dxa" w:w="60"/>
              <w:left w:type="dxa" w:w="120"/>
              <w:bottom w:type="dxa" w:w="60"/>
              <w:right w:type="dxa" w:w="120"/>
            </w:tcMar>
          </w:tcPr>
          <w:p>
            <w:r>
              <w:rPr>
                <w:rFonts w:ascii="Arial" w:cs="Arial" w:eastAsia="Arial" w:hAnsi="Arial"/>
                <w:b w:val="false"/>
                <w:bCs w:val="false"/>
                <w:color w:val="1A1A1A"/>
                <w:sz w:val="20"/>
                <w:szCs w:val="20"/>
              </w:rPr>
              <w:t xml:space="preserve">15</w:t>
            </w:r>
          </w:p>
        </w:tc>
        <w:tc>
          <w:tcPr>
            <w:tcW w:type="dxa" w:w="1300"/>
            <w:tcBorders>
              <w:top w:val="single" w:color="B0BEC5" w:sz="1"/>
              <w:left w:val="single" w:color="B0BEC5" w:sz="1"/>
              <w:bottom w:val="single" w:color="B0BEC5" w:sz="1"/>
              <w:right w:val="single" w:color="B0BEC5" w:sz="1"/>
            </w:tcBorders>
            <w:shd w:fill="F8FAFC" w:val="clear"/>
            <w:tcMar>
              <w:top w:type="dxa" w:w="60"/>
              <w:left w:type="dxa" w:w="120"/>
              <w:bottom w:type="dxa" w:w="60"/>
              <w:right w:type="dxa" w:w="120"/>
            </w:tcMar>
          </w:tcPr>
          <w:p>
            <w:r>
              <w:rPr>
                <w:rFonts w:ascii="Arial" w:cs="Arial" w:eastAsia="Arial" w:hAnsi="Arial"/>
                <w:b w:val="false"/>
                <w:bCs w:val="false"/>
                <w:color w:val="1A1A1A"/>
                <w:sz w:val="20"/>
                <w:szCs w:val="20"/>
              </w:rPr>
              <w:t xml:space="preserve">15</w:t>
            </w:r>
          </w:p>
        </w:tc>
        <w:tc>
          <w:tcPr>
            <w:tcW w:type="dxa" w:w="1260"/>
            <w:tcBorders>
              <w:top w:val="single" w:color="B0BEC5" w:sz="1"/>
              <w:left w:val="single" w:color="B0BEC5" w:sz="1"/>
              <w:bottom w:val="single" w:color="B0BEC5" w:sz="1"/>
              <w:right w:val="single" w:color="B0BEC5" w:sz="1"/>
            </w:tcBorders>
            <w:shd w:fill="F8FAFC" w:val="clear"/>
            <w:tcMar>
              <w:top w:type="dxa" w:w="60"/>
              <w:left w:type="dxa" w:w="120"/>
              <w:bottom w:type="dxa" w:w="60"/>
              <w:right w:type="dxa" w:w="120"/>
            </w:tcMar>
          </w:tcPr>
          <w:p>
            <w:r>
              <w:rPr>
                <w:rFonts w:ascii="Arial" w:cs="Arial" w:eastAsia="Arial" w:hAnsi="Arial"/>
                <w:b w:val="false"/>
                <w:bCs w:val="false"/>
                <w:color w:val="1A1A1A"/>
                <w:sz w:val="20"/>
                <w:szCs w:val="20"/>
              </w:rPr>
              <w:t xml:space="preserve">25</w:t>
            </w:r>
          </w:p>
        </w:tc>
        <w:tc>
          <w:tcPr>
            <w:tcW w:type="dxa" w:w="1500"/>
            <w:tcBorders>
              <w:top w:val="single" w:color="B0BEC5" w:sz="1"/>
              <w:left w:val="single" w:color="B0BEC5" w:sz="1"/>
              <w:bottom w:val="single" w:color="B0BEC5" w:sz="1"/>
              <w:right w:val="single" w:color="B0BEC5" w:sz="1"/>
            </w:tcBorders>
            <w:shd w:fill="F8FAFC" w:val="clear"/>
            <w:tcMar>
              <w:top w:type="dxa" w:w="60"/>
              <w:left w:type="dxa" w:w="120"/>
              <w:bottom w:type="dxa" w:w="60"/>
              <w:right w:type="dxa" w:w="120"/>
            </w:tcMar>
          </w:tcPr>
          <w:p>
            <w:r>
              <w:rPr>
                <w:rFonts w:ascii="Arial" w:cs="Arial" w:eastAsia="Arial" w:hAnsi="Arial"/>
                <w:b w:val="false"/>
                <w:bCs w:val="false"/>
                <w:color w:val="1A1A1A"/>
                <w:sz w:val="20"/>
                <w:szCs w:val="20"/>
              </w:rPr>
              <w:t xml:space="preserve">5</w:t>
            </w:r>
          </w:p>
        </w:tc>
      </w:tr>
      <w:tr>
        <w:tc>
          <w:tcPr>
            <w:tcW w:type="dxa" w:w="1300"/>
            <w:tcBorders>
              <w:top w:val="single" w:color="B0BEC5" w:sz="1"/>
              <w:left w:val="single" w:color="B0BEC5" w:sz="1"/>
              <w:bottom w:val="single" w:color="B0BEC5" w:sz="1"/>
              <w:right w:val="single" w:color="B0BEC5" w:sz="1"/>
            </w:tcBorders>
            <w:tcMar>
              <w:top w:type="dxa" w:w="60"/>
              <w:left w:type="dxa" w:w="120"/>
              <w:bottom w:type="dxa" w:w="60"/>
              <w:right w:type="dxa" w:w="120"/>
            </w:tcMar>
          </w:tcPr>
          <w:p>
            <w:r>
              <w:rPr>
                <w:rFonts w:ascii="Arial" w:cs="Arial" w:eastAsia="Arial" w:hAnsi="Arial"/>
                <w:b/>
                <w:bCs/>
                <w:color w:val="1A1A1A"/>
                <w:sz w:val="20"/>
                <w:szCs w:val="20"/>
              </w:rPr>
              <w:t xml:space="preserve">hotel</w:t>
            </w:r>
          </w:p>
        </w:tc>
        <w:tc>
          <w:tcPr>
            <w:tcW w:type="dxa" w:w="1300"/>
            <w:tcBorders>
              <w:top w:val="single" w:color="B0BEC5" w:sz="1"/>
              <w:left w:val="single" w:color="B0BEC5" w:sz="1"/>
              <w:bottom w:val="single" w:color="B0BEC5" w:sz="1"/>
              <w:right w:val="single" w:color="B0BEC5" w:sz="1"/>
            </w:tcBorders>
            <w:tcMar>
              <w:top w:type="dxa" w:w="60"/>
              <w:left w:type="dxa" w:w="120"/>
              <w:bottom w:type="dxa" w:w="60"/>
              <w:right w:type="dxa" w:w="120"/>
            </w:tcMar>
          </w:tcPr>
          <w:p>
            <w:r>
              <w:rPr>
                <w:rFonts w:ascii="Arial" w:cs="Arial" w:eastAsia="Arial" w:hAnsi="Arial"/>
                <w:b w:val="false"/>
                <w:bCs w:val="false"/>
                <w:color w:val="1A1A1A"/>
                <w:sz w:val="20"/>
                <w:szCs w:val="20"/>
              </w:rPr>
              <w:t xml:space="preserve">30</w:t>
            </w:r>
          </w:p>
        </w:tc>
        <w:tc>
          <w:tcPr>
            <w:tcW w:type="dxa" w:w="1300"/>
            <w:tcBorders>
              <w:top w:val="single" w:color="B0BEC5" w:sz="1"/>
              <w:left w:val="single" w:color="B0BEC5" w:sz="1"/>
              <w:bottom w:val="single" w:color="B0BEC5" w:sz="1"/>
              <w:right w:val="single" w:color="B0BEC5" w:sz="1"/>
            </w:tcBorders>
            <w:tcMar>
              <w:top w:type="dxa" w:w="60"/>
              <w:left w:type="dxa" w:w="120"/>
              <w:bottom w:type="dxa" w:w="60"/>
              <w:right w:type="dxa" w:w="120"/>
            </w:tcMar>
          </w:tcPr>
          <w:p>
            <w:r>
              <w:rPr>
                <w:rFonts w:ascii="Arial" w:cs="Arial" w:eastAsia="Arial" w:hAnsi="Arial"/>
                <w:b w:val="false"/>
                <w:bCs w:val="false"/>
                <w:color w:val="1A1A1A"/>
                <w:sz w:val="20"/>
                <w:szCs w:val="20"/>
              </w:rPr>
              <w:t xml:space="preserve">25</w:t>
            </w:r>
          </w:p>
        </w:tc>
        <w:tc>
          <w:tcPr>
            <w:tcW w:type="dxa" w:w="1000"/>
            <w:tcBorders>
              <w:top w:val="single" w:color="B0BEC5" w:sz="1"/>
              <w:left w:val="single" w:color="B0BEC5" w:sz="1"/>
              <w:bottom w:val="single" w:color="B0BEC5" w:sz="1"/>
              <w:right w:val="single" w:color="B0BEC5" w:sz="1"/>
            </w:tcBorders>
            <w:tcMar>
              <w:top w:type="dxa" w:w="60"/>
              <w:left w:type="dxa" w:w="120"/>
              <w:bottom w:type="dxa" w:w="60"/>
              <w:right w:type="dxa" w:w="120"/>
            </w:tcMar>
          </w:tcPr>
          <w:p>
            <w:r>
              <w:rPr>
                <w:rFonts w:ascii="Arial" w:cs="Arial" w:eastAsia="Arial" w:hAnsi="Arial"/>
                <w:b w:val="false"/>
                <w:bCs w:val="false"/>
                <w:color w:val="1A1A1A"/>
                <w:sz w:val="20"/>
                <w:szCs w:val="20"/>
              </w:rPr>
              <w:t xml:space="preserve">20</w:t>
            </w:r>
          </w:p>
        </w:tc>
        <w:tc>
          <w:tcPr>
            <w:tcW w:type="dxa" w:w="1300"/>
            <w:tcBorders>
              <w:top w:val="single" w:color="B0BEC5" w:sz="1"/>
              <w:left w:val="single" w:color="B0BEC5" w:sz="1"/>
              <w:bottom w:val="single" w:color="B0BEC5" w:sz="1"/>
              <w:right w:val="single" w:color="B0BEC5" w:sz="1"/>
            </w:tcBorders>
            <w:tcMar>
              <w:top w:type="dxa" w:w="60"/>
              <w:left w:type="dxa" w:w="120"/>
              <w:bottom w:type="dxa" w:w="60"/>
              <w:right w:type="dxa" w:w="120"/>
            </w:tcMar>
          </w:tcPr>
          <w:p>
            <w:r>
              <w:rPr>
                <w:rFonts w:ascii="Arial" w:cs="Arial" w:eastAsia="Arial" w:hAnsi="Arial"/>
                <w:b w:val="false"/>
                <w:bCs w:val="false"/>
                <w:color w:val="1A1A1A"/>
                <w:sz w:val="20"/>
                <w:szCs w:val="20"/>
              </w:rPr>
              <w:t xml:space="preserve">10</w:t>
            </w:r>
          </w:p>
        </w:tc>
        <w:tc>
          <w:tcPr>
            <w:tcW w:type="dxa" w:w="1260"/>
            <w:tcBorders>
              <w:top w:val="single" w:color="B0BEC5" w:sz="1"/>
              <w:left w:val="single" w:color="B0BEC5" w:sz="1"/>
              <w:bottom w:val="single" w:color="B0BEC5" w:sz="1"/>
              <w:right w:val="single" w:color="B0BEC5" w:sz="1"/>
            </w:tcBorders>
            <w:tcMar>
              <w:top w:type="dxa" w:w="60"/>
              <w:left w:type="dxa" w:w="120"/>
              <w:bottom w:type="dxa" w:w="60"/>
              <w:right w:type="dxa" w:w="120"/>
            </w:tcMar>
          </w:tcPr>
          <w:p>
            <w:r>
              <w:rPr>
                <w:rFonts w:ascii="Arial" w:cs="Arial" w:eastAsia="Arial" w:hAnsi="Arial"/>
                <w:b w:val="false"/>
                <w:bCs w:val="false"/>
                <w:color w:val="1A1A1A"/>
                <w:sz w:val="20"/>
                <w:szCs w:val="20"/>
              </w:rPr>
              <w:t xml:space="preserve">15</w:t>
            </w:r>
          </w:p>
        </w:tc>
        <w:tc>
          <w:tcPr>
            <w:tcW w:type="dxa" w:w="1500"/>
            <w:tcBorders>
              <w:top w:val="single" w:color="B0BEC5" w:sz="1"/>
              <w:left w:val="single" w:color="B0BEC5" w:sz="1"/>
              <w:bottom w:val="single" w:color="B0BEC5" w:sz="1"/>
              <w:right w:val="single" w:color="B0BEC5" w:sz="1"/>
            </w:tcBorders>
            <w:tcMar>
              <w:top w:type="dxa" w:w="60"/>
              <w:left w:type="dxa" w:w="120"/>
              <w:bottom w:type="dxa" w:w="60"/>
              <w:right w:type="dxa" w:w="120"/>
            </w:tcMar>
          </w:tcPr>
          <w:p>
            <w:r>
              <w:rPr>
                <w:rFonts w:ascii="Arial" w:cs="Arial" w:eastAsia="Arial" w:hAnsi="Arial"/>
                <w:b w:val="false"/>
                <w:bCs w:val="false"/>
                <w:color w:val="1A1A1A"/>
                <w:sz w:val="20"/>
                <w:szCs w:val="20"/>
              </w:rPr>
              <w:t xml:space="preserve">0</w:t>
            </w:r>
          </w:p>
        </w:tc>
      </w:tr>
      <w:tr>
        <w:tc>
          <w:tcPr>
            <w:tcW w:type="dxa" w:w="1300"/>
            <w:tcBorders>
              <w:top w:val="single" w:color="B0BEC5" w:sz="1"/>
              <w:left w:val="single" w:color="B0BEC5" w:sz="1"/>
              <w:bottom w:val="single" w:color="B0BEC5" w:sz="1"/>
              <w:right w:val="single" w:color="B0BEC5" w:sz="1"/>
            </w:tcBorders>
            <w:shd w:fill="F8FAFC" w:val="clear"/>
            <w:tcMar>
              <w:top w:type="dxa" w:w="60"/>
              <w:left w:type="dxa" w:w="120"/>
              <w:bottom w:type="dxa" w:w="60"/>
              <w:right w:type="dxa" w:w="120"/>
            </w:tcMar>
          </w:tcPr>
          <w:p>
            <w:r>
              <w:rPr>
                <w:rFonts w:ascii="Arial" w:cs="Arial" w:eastAsia="Arial" w:hAnsi="Arial"/>
                <w:b/>
                <w:bCs/>
                <w:color w:val="1A1A1A"/>
                <w:sz w:val="20"/>
                <w:szCs w:val="20"/>
              </w:rPr>
              <w:t xml:space="preserve">transit</w:t>
            </w:r>
          </w:p>
        </w:tc>
        <w:tc>
          <w:tcPr>
            <w:tcW w:type="dxa" w:w="1300"/>
            <w:tcBorders>
              <w:top w:val="single" w:color="B0BEC5" w:sz="1"/>
              <w:left w:val="single" w:color="B0BEC5" w:sz="1"/>
              <w:bottom w:val="single" w:color="B0BEC5" w:sz="1"/>
              <w:right w:val="single" w:color="B0BEC5" w:sz="1"/>
            </w:tcBorders>
            <w:shd w:fill="F8FAFC" w:val="clear"/>
            <w:tcMar>
              <w:top w:type="dxa" w:w="60"/>
              <w:left w:type="dxa" w:w="120"/>
              <w:bottom w:type="dxa" w:w="60"/>
              <w:right w:type="dxa" w:w="120"/>
            </w:tcMar>
          </w:tcPr>
          <w:p>
            <w:r>
              <w:rPr>
                <w:rFonts w:ascii="Arial" w:cs="Arial" w:eastAsia="Arial" w:hAnsi="Arial"/>
                <w:b w:val="false"/>
                <w:bCs w:val="false"/>
                <w:color w:val="1A1A1A"/>
                <w:sz w:val="20"/>
                <w:szCs w:val="20"/>
              </w:rPr>
              <w:t xml:space="preserve">35</w:t>
            </w:r>
          </w:p>
        </w:tc>
        <w:tc>
          <w:tcPr>
            <w:tcW w:type="dxa" w:w="1300"/>
            <w:tcBorders>
              <w:top w:val="single" w:color="B0BEC5" w:sz="1"/>
              <w:left w:val="single" w:color="B0BEC5" w:sz="1"/>
              <w:bottom w:val="single" w:color="B0BEC5" w:sz="1"/>
              <w:right w:val="single" w:color="B0BEC5" w:sz="1"/>
            </w:tcBorders>
            <w:shd w:fill="F8FAFC" w:val="clear"/>
            <w:tcMar>
              <w:top w:type="dxa" w:w="60"/>
              <w:left w:type="dxa" w:w="120"/>
              <w:bottom w:type="dxa" w:w="60"/>
              <w:right w:type="dxa" w:w="120"/>
            </w:tcMar>
          </w:tcPr>
          <w:p>
            <w:r>
              <w:rPr>
                <w:rFonts w:ascii="Arial" w:cs="Arial" w:eastAsia="Arial" w:hAnsi="Arial"/>
                <w:b w:val="false"/>
                <w:bCs w:val="false"/>
                <w:color w:val="1A1A1A"/>
                <w:sz w:val="20"/>
                <w:szCs w:val="20"/>
              </w:rPr>
              <w:t xml:space="preserve">15</w:t>
            </w:r>
          </w:p>
        </w:tc>
        <w:tc>
          <w:tcPr>
            <w:tcW w:type="dxa" w:w="1000"/>
            <w:tcBorders>
              <w:top w:val="single" w:color="B0BEC5" w:sz="1"/>
              <w:left w:val="single" w:color="B0BEC5" w:sz="1"/>
              <w:bottom w:val="single" w:color="B0BEC5" w:sz="1"/>
              <w:right w:val="single" w:color="B0BEC5" w:sz="1"/>
            </w:tcBorders>
            <w:shd w:fill="F8FAFC" w:val="clear"/>
            <w:tcMar>
              <w:top w:type="dxa" w:w="60"/>
              <w:left w:type="dxa" w:w="120"/>
              <w:bottom w:type="dxa" w:w="60"/>
              <w:right w:type="dxa" w:w="120"/>
            </w:tcMar>
          </w:tcPr>
          <w:p>
            <w:r>
              <w:rPr>
                <w:rFonts w:ascii="Arial" w:cs="Arial" w:eastAsia="Arial" w:hAnsi="Arial"/>
                <w:b w:val="false"/>
                <w:bCs w:val="false"/>
                <w:color w:val="1A1A1A"/>
                <w:sz w:val="20"/>
                <w:szCs w:val="20"/>
              </w:rPr>
              <w:t xml:space="preserve">5</w:t>
            </w:r>
          </w:p>
        </w:tc>
        <w:tc>
          <w:tcPr>
            <w:tcW w:type="dxa" w:w="1300"/>
            <w:tcBorders>
              <w:top w:val="single" w:color="B0BEC5" w:sz="1"/>
              <w:left w:val="single" w:color="B0BEC5" w:sz="1"/>
              <w:bottom w:val="single" w:color="B0BEC5" w:sz="1"/>
              <w:right w:val="single" w:color="B0BEC5" w:sz="1"/>
            </w:tcBorders>
            <w:shd w:fill="F8FAFC" w:val="clear"/>
            <w:tcMar>
              <w:top w:type="dxa" w:w="60"/>
              <w:left w:type="dxa" w:w="120"/>
              <w:bottom w:type="dxa" w:w="60"/>
              <w:right w:type="dxa" w:w="120"/>
            </w:tcMar>
          </w:tcPr>
          <w:p>
            <w:r>
              <w:rPr>
                <w:rFonts w:ascii="Arial" w:cs="Arial" w:eastAsia="Arial" w:hAnsi="Arial"/>
                <w:b w:val="false"/>
                <w:bCs w:val="false"/>
                <w:color w:val="1A1A1A"/>
                <w:sz w:val="20"/>
                <w:szCs w:val="20"/>
              </w:rPr>
              <w:t xml:space="preserve">15</w:t>
            </w:r>
          </w:p>
        </w:tc>
        <w:tc>
          <w:tcPr>
            <w:tcW w:type="dxa" w:w="1260"/>
            <w:tcBorders>
              <w:top w:val="single" w:color="B0BEC5" w:sz="1"/>
              <w:left w:val="single" w:color="B0BEC5" w:sz="1"/>
              <w:bottom w:val="single" w:color="B0BEC5" w:sz="1"/>
              <w:right w:val="single" w:color="B0BEC5" w:sz="1"/>
            </w:tcBorders>
            <w:shd w:fill="F8FAFC" w:val="clear"/>
            <w:tcMar>
              <w:top w:type="dxa" w:w="60"/>
              <w:left w:type="dxa" w:w="120"/>
              <w:bottom w:type="dxa" w:w="60"/>
              <w:right w:type="dxa" w:w="120"/>
            </w:tcMar>
          </w:tcPr>
          <w:p>
            <w:r>
              <w:rPr>
                <w:rFonts w:ascii="Arial" w:cs="Arial" w:eastAsia="Arial" w:hAnsi="Arial"/>
                <w:b w:val="false"/>
                <w:bCs w:val="false"/>
                <w:color w:val="1A1A1A"/>
                <w:sz w:val="20"/>
                <w:szCs w:val="20"/>
              </w:rPr>
              <w:t xml:space="preserve">25</w:t>
            </w:r>
          </w:p>
        </w:tc>
        <w:tc>
          <w:tcPr>
            <w:tcW w:type="dxa" w:w="1500"/>
            <w:tcBorders>
              <w:top w:val="single" w:color="B0BEC5" w:sz="1"/>
              <w:left w:val="single" w:color="B0BEC5" w:sz="1"/>
              <w:bottom w:val="single" w:color="B0BEC5" w:sz="1"/>
              <w:right w:val="single" w:color="B0BEC5" w:sz="1"/>
            </w:tcBorders>
            <w:shd w:fill="F8FAFC" w:val="clear"/>
            <w:tcMar>
              <w:top w:type="dxa" w:w="60"/>
              <w:left w:type="dxa" w:w="120"/>
              <w:bottom w:type="dxa" w:w="60"/>
              <w:right w:type="dxa" w:w="120"/>
            </w:tcMar>
          </w:tcPr>
          <w:p>
            <w:r>
              <w:rPr>
                <w:rFonts w:ascii="Arial" w:cs="Arial" w:eastAsia="Arial" w:hAnsi="Arial"/>
                <w:b w:val="false"/>
                <w:bCs w:val="false"/>
                <w:color w:val="1A1A1A"/>
                <w:sz w:val="20"/>
                <w:szCs w:val="20"/>
              </w:rPr>
              <w:t xml:space="preserve">5</w:t>
            </w:r>
          </w:p>
        </w:tc>
      </w:tr>
    </w:tbl>
    <w:p>
      <w:pPr>
        <w:spacing w:after="80"/>
      </w:pPr>
    </w:p>
    <w:p>
      <w:pPr>
        <w:spacing w:after="160"/>
      </w:pPr>
      <w:r>
        <w:rPr>
          <w:rFonts w:ascii="Arial" w:cs="Arial" w:eastAsia="Arial" w:hAnsi="Arial"/>
          <w:color w:val="1A1A1A"/>
          <w:sz w:val="22"/>
          <w:szCs w:val="22"/>
        </w:rPr>
        <w:t xml:space="preserve">Note: When BestTime.app is unavailable (credits exhausted or API down), its weight redistributes proportionally across the remaining available signals. The confidence level drops to MEDIUM or LOW accordingly.</w:t>
      </w:r>
    </w:p>
    <w:p>
      <w:pPr>
        <w:pBdr>
          <w:bottom w:val="single" w:color="2E75B6" w:sz="6" w:space="1"/>
        </w:pBdr>
        <w:spacing w:before="200" w:after="200"/>
      </w:pPr>
    </w:p>
    <w:p>
      <w:pPr>
        <w:pStyle w:val="Heading1"/>
        <w:spacing w:before="360" w:after="120"/>
      </w:pPr>
      <w:r>
        <w:rPr>
          <w:rFonts w:ascii="Arial" w:cs="Arial" w:eastAsia="Arial" w:hAnsi="Arial"/>
          <w:b/>
          <w:bCs/>
          <w:color w:val="1A3A5C"/>
          <w:sz w:val="32"/>
          <w:szCs w:val="32"/>
        </w:rPr>
        <w:t xml:space="preserve">8. Additional Technical Notes</w:t>
      </w:r>
    </w:p>
    <w:p>
      <w:pPr>
        <w:spacing w:after="80"/>
      </w:pPr>
    </w:p>
    <w:p>
      <w:pPr>
        <w:pStyle w:val="Heading3"/>
        <w:spacing w:before="240" w:after="120"/>
      </w:pPr>
      <w:r>
        <w:rPr>
          <w:rFonts w:ascii="Arial" w:cs="Arial" w:eastAsia="Arial" w:hAnsi="Arial"/>
          <w:b/>
          <w:bCs/>
          <w:color w:val="1A3A5C"/>
          <w:sz w:val="22"/>
          <w:szCs w:val="22"/>
        </w:rPr>
        <w:t xml:space="preserve">8.1 TypeScript Strict Mode</w:t>
      </w:r>
    </w:p>
    <w:p>
      <w:pPr>
        <w:spacing w:after="160"/>
      </w:pPr>
      <w:r>
        <w:rPr>
          <w:rFonts w:ascii="Arial" w:cs="Arial" w:eastAsia="Arial" w:hAnsi="Arial"/>
          <w:color w:val="1A1A1A"/>
          <w:sz w:val="22"/>
          <w:szCs w:val="22"/>
        </w:rPr>
        <w:t xml:space="preserve">The SignalResult interface has raw: any in the original spec. Since the prompt specifies TypeScript strict mode, this should be typed per source (GooglePlacesRaw, YelpRaw, etc.) or at minimum use Record&lt;string, unknown&gt; instead of any.</w:t>
      </w:r>
    </w:p>
    <w:p>
      <w:pPr>
        <w:pStyle w:val="Heading3"/>
        <w:spacing w:before="240" w:after="120"/>
      </w:pPr>
      <w:r>
        <w:rPr>
          <w:rFonts w:ascii="Arial" w:cs="Arial" w:eastAsia="Arial" w:hAnsi="Arial"/>
          <w:b/>
          <w:bCs/>
          <w:color w:val="1A3A5C"/>
          <w:sz w:val="22"/>
          <w:szCs w:val="22"/>
        </w:rPr>
        <w:t xml:space="preserve">8.2 Normalization Functions</w:t>
      </w:r>
    </w:p>
    <w:p>
      <w:pPr>
        <w:spacing w:after="160"/>
      </w:pPr>
      <w:r>
        <w:rPr>
          <w:rFonts w:ascii="Arial" w:cs="Arial" w:eastAsia="Arial" w:hAnsi="Arial"/>
          <w:color w:val="1A1A1A"/>
          <w:sz w:val="22"/>
          <w:szCs w:val="22"/>
        </w:rPr>
        <w:t xml:space="preserve">The Google Places review count normalization uses hardcoded breakpoints (0=0, 50=40, 200=65, etc.). A continuous log function would be cleaner and more maintainable: Math.min(95, Math.floor(20 * Math.log10(reviewCount + 1))). This produces a smooth curve without arbitrary thresholds.</w:t>
      </w:r>
    </w:p>
    <w:p>
      <w:pPr>
        <w:pStyle w:val="Heading3"/>
        <w:spacing w:before="240" w:after="120"/>
      </w:pPr>
      <w:r>
        <w:rPr>
          <w:rFonts w:ascii="Arial" w:cs="Arial" w:eastAsia="Arial" w:hAnsi="Arial"/>
          <w:b/>
          <w:bCs/>
          <w:color w:val="1A3A5C"/>
          <w:sz w:val="22"/>
          <w:szCs w:val="22"/>
        </w:rPr>
        <w:t xml:space="preserve">8.3 Daily Visits Estimation</w:t>
      </w:r>
    </w:p>
    <w:p>
      <w:pPr>
        <w:spacing w:after="160"/>
      </w:pPr>
      <w:r>
        <w:rPr>
          <w:rFonts w:ascii="Arial" w:cs="Arial" w:eastAsia="Arial" w:hAnsi="Arial"/>
          <w:color w:val="1A1A1A"/>
          <w:sz w:val="22"/>
          <w:szCs w:val="22"/>
        </w:rPr>
        <w:t xml:space="preserve">The original spec’s calibration table is incomplete (“etc.” after a few categories). Before building, fully specify all 8 categories with research-backed ranges. The existing FOOT-TRAFFIC-STRATEGY.md has better-defined ranges per category — use those as the starting point.</w:t>
      </w:r>
    </w:p>
    <w:p>
      <w:pPr>
        <w:pStyle w:val="Heading3"/>
        <w:spacing w:before="240" w:after="120"/>
      </w:pPr>
      <w:r>
        <w:rPr>
          <w:rFonts w:ascii="Arial" w:cs="Arial" w:eastAsia="Arial" w:hAnsi="Arial"/>
          <w:b/>
          <w:bCs/>
          <w:color w:val="1A3A5C"/>
          <w:sz w:val="22"/>
          <w:szCs w:val="22"/>
        </w:rPr>
        <w:t xml:space="preserve">8.4 API Key Security</w:t>
      </w:r>
    </w:p>
    <w:p>
      <w:pPr>
        <w:spacing w:after="160"/>
      </w:pPr>
      <w:r>
        <w:rPr>
          <w:rFonts w:ascii="Arial" w:cs="Arial" w:eastAsia="Arial" w:hAnsi="Arial"/>
          <w:color w:val="1A1A1A"/>
          <w:sz w:val="22"/>
          <w:szCs w:val="22"/>
        </w:rPr>
        <w:t xml:space="preserve">The existing codebase uses NEXT_PUBLIC_GOOGLE_MAPS_API_KEY (browser-exposed) in both client and server code. The aggregator should use a server-only GOOGLE_MAPS_API_KEY (no NEXT_PUBLIC prefix) to prevent the key from being bundled into client JavaScript.</w:t>
      </w:r>
    </w:p>
    <w:p>
      <w:pPr>
        <w:pStyle w:val="Heading3"/>
        <w:spacing w:before="240" w:after="120"/>
      </w:pPr>
      <w:r>
        <w:rPr>
          <w:rFonts w:ascii="Arial" w:cs="Arial" w:eastAsia="Arial" w:hAnsi="Arial"/>
          <w:b/>
          <w:bCs/>
          <w:color w:val="1A3A5C"/>
          <w:sz w:val="22"/>
          <w:szCs w:val="22"/>
        </w:rPr>
        <w:t xml:space="preserve">8.5 Overpass Query Optimization</w:t>
      </w:r>
    </w:p>
    <w:p>
      <w:pPr>
        <w:spacing w:after="160"/>
      </w:pPr>
      <w:r>
        <w:rPr>
          <w:rFonts w:ascii="Arial" w:cs="Arial" w:eastAsia="Arial" w:hAnsi="Arial"/>
          <w:color w:val="1A1A1A"/>
          <w:sz w:val="22"/>
          <w:szCs w:val="22"/>
        </w:rPr>
        <w:t xml:space="preserve">For dense urban areas, use Overpass’s [maxsize:] parameter and [timeout:5] to prevent queries from hanging. Count POIs by type (amenity, shop, leisure, tourism) for richer signal quality rather than a raw count.</w:t>
      </w:r>
    </w:p>
    <w:p>
      <w:pPr>
        <w:pBdr>
          <w:bottom w:val="single" w:color="2E75B6" w:sz="6" w:space="1"/>
        </w:pBdr>
        <w:spacing w:before="200" w:after="200"/>
      </w:pPr>
    </w:p>
    <w:p>
      <w:pPr>
        <w:pStyle w:val="Heading1"/>
        <w:spacing w:before="360" w:after="120"/>
      </w:pPr>
      <w:r>
        <w:rPr>
          <w:rFonts w:ascii="Arial" w:cs="Arial" w:eastAsia="Arial" w:hAnsi="Arial"/>
          <w:b/>
          <w:bCs/>
          <w:color w:val="1A3A5C"/>
          <w:sz w:val="32"/>
          <w:szCs w:val="32"/>
        </w:rPr>
        <w:t xml:space="preserve">9. Updated File Structure</w:t>
      </w:r>
    </w:p>
    <w:p>
      <w:pPr>
        <w:spacing w:after="80"/>
      </w:pPr>
    </w:p>
    <w:p>
      <w:pPr>
        <w:spacing w:after="160"/>
      </w:pPr>
      <w:r>
        <w:rPr>
          <w:rFonts w:ascii="Arial" w:cs="Arial" w:eastAsia="Arial" w:hAnsi="Arial"/>
          <w:color w:val="2E75B6"/>
          <w:sz w:val="22"/>
          <w:szCs w:val="22"/>
        </w:rPr>
        <w:t xml:space="preserve">/src</w:t>
      </w:r>
    </w:p>
    <w:p>
      <w:pPr>
        <w:spacing w:after="160"/>
      </w:pPr>
      <w:r>
        <w:rPr>
          <w:rFonts w:ascii="Arial" w:cs="Arial" w:eastAsia="Arial" w:hAnsi="Arial"/>
          <w:color w:val="1A1A1A"/>
          <w:sz w:val="22"/>
          <w:szCs w:val="22"/>
        </w:rPr>
        <w:t xml:space="preserve">  /app</w:t>
      </w:r>
    </w:p>
    <w:p>
      <w:pPr>
        <w:spacing w:after="160"/>
      </w:pPr>
      <w:r>
        <w:rPr>
          <w:rFonts w:ascii="Arial" w:cs="Arial" w:eastAsia="Arial" w:hAnsi="Arial"/>
          <w:color w:val="1A1A1A"/>
          <w:sz w:val="22"/>
          <w:szCs w:val="22"/>
        </w:rPr>
        <w:t xml:space="preserve">    /api</w:t>
      </w:r>
    </w:p>
    <w:p>
      <w:pPr>
        <w:spacing w:after="160"/>
      </w:pPr>
      <w:r>
        <w:rPr>
          <w:rFonts w:ascii="Arial" w:cs="Arial" w:eastAsia="Arial" w:hAnsi="Arial"/>
          <w:color w:val="1A1A1A"/>
          <w:sz w:val="22"/>
          <w:szCs w:val="22"/>
        </w:rPr>
        <w:t xml:space="preserve">      /search/route.ts              ← existing, update to use aggregator</w:t>
      </w:r>
    </w:p>
    <w:p>
      <w:pPr>
        <w:spacing w:after="160"/>
      </w:pPr>
      <w:r>
        <w:rPr>
          <w:rFonts w:ascii="Arial" w:cs="Arial" w:eastAsia="Arial" w:hAnsi="Arial"/>
          <w:color w:val="1A1A1A"/>
          <w:sz w:val="22"/>
          <w:szCs w:val="22"/>
        </w:rPr>
        <w:t xml:space="preserve">  /lib</w:t>
      </w:r>
    </w:p>
    <w:p>
      <w:pPr>
        <w:spacing w:after="160"/>
      </w:pPr>
      <w:r>
        <w:rPr>
          <w:rFonts w:ascii="Arial" w:cs="Arial" w:eastAsia="Arial" w:hAnsi="Arial"/>
          <w:color w:val="1A1A1A"/>
          <w:sz w:val="22"/>
          <w:szCs w:val="22"/>
        </w:rPr>
        <w:t xml:space="preserve">    /types.ts                        ← existing, add new interfaces</w:t>
      </w:r>
    </w:p>
    <w:p>
      <w:pPr>
        <w:spacing w:after="160"/>
      </w:pPr>
      <w:r>
        <w:rPr>
          <w:rFonts w:ascii="Arial" w:cs="Arial" w:eastAsia="Arial" w:hAnsi="Arial"/>
          <w:color w:val="1A1A1A"/>
          <w:sz w:val="22"/>
          <w:szCs w:val="22"/>
        </w:rPr>
        <w:t xml:space="preserve">    /scoring.ts                      ← existing, update to accept AggregatedFootTraffic</w:t>
      </w:r>
    </w:p>
    <w:p>
      <w:pPr>
        <w:spacing w:after="160"/>
      </w:pPr>
      <w:r>
        <w:rPr>
          <w:rFonts w:ascii="Arial" w:cs="Arial" w:eastAsia="Arial" w:hAnsi="Arial"/>
          <w:color w:val="1A1A1A"/>
          <w:sz w:val="22"/>
          <w:szCs w:val="22"/>
        </w:rPr>
        <w:t xml:space="preserve">    /mock-data.ts                    ← existing</w:t>
      </w:r>
    </w:p>
    <w:p>
      <w:pPr>
        <w:spacing w:after="160"/>
      </w:pPr>
      <w:r>
        <w:rPr>
          <w:rFonts w:ascii="Arial" w:cs="Arial" w:eastAsia="Arial" w:hAnsi="Arial"/>
          <w:color w:val="1A1A1A"/>
          <w:sz w:val="22"/>
          <w:szCs w:val="22"/>
        </w:rPr>
        <w:t xml:space="preserve">    /data-provider.ts                ← existing</w:t>
      </w:r>
    </w:p>
    <w:p>
      <w:pPr>
        <w:spacing w:after="160"/>
      </w:pPr>
      <w:r>
        <w:rPr>
          <w:rFonts w:ascii="Arial" w:cs="Arial" w:eastAsia="Arial" w:hAnsi="Arial"/>
          <w:color w:val="1A1A1A"/>
          <w:sz w:val="22"/>
          <w:szCs w:val="22"/>
        </w:rPr>
        <w:t xml:space="preserve">    /foot-traffic-aggregator.ts      ← NEW (main deliverable)</w:t>
      </w:r>
    </w:p>
    <w:p>
      <w:pPr>
        <w:spacing w:after="160"/>
      </w:pPr>
      <w:r>
        <w:rPr>
          <w:rFonts w:ascii="Arial" w:cs="Arial" w:eastAsia="Arial" w:hAnsi="Arial"/>
          <w:color w:val="1A1A1A"/>
          <w:sz w:val="22"/>
          <w:szCs w:val="22"/>
        </w:rPr>
        <w:t xml:space="preserve">    /building-type-classifier.ts     ← NEW (replaces Census heuristic)</w:t>
      </w:r>
    </w:p>
    <w:p>
      <w:pPr>
        <w:spacing w:after="160"/>
      </w:pPr>
      <w:r>
        <w:rPr>
          <w:rFonts w:ascii="Arial" w:cs="Arial" w:eastAsia="Arial" w:hAnsi="Arial"/>
          <w:color w:val="1A1A1A"/>
          <w:sz w:val="22"/>
          <w:szCs w:val="22"/>
        </w:rPr>
        <w:t xml:space="preserve">    /lehd-data.ts                    ← NEW (workplace density signal)</w:t>
      </w:r>
    </w:p>
    <w:p>
      <w:pPr>
        <w:spacing w:after="160"/>
      </w:pPr>
      <w:r>
        <w:rPr>
          <w:rFonts w:ascii="Arial" w:cs="Arial" w:eastAsia="Arial" w:hAnsi="Arial"/>
          <w:color w:val="1A1A1A"/>
          <w:sz w:val="22"/>
          <w:szCs w:val="22"/>
        </w:rPr>
        <w:t xml:space="preserve">    /sources/                        ← NEW directory</w:t>
      </w:r>
    </w:p>
    <w:p>
      <w:pPr>
        <w:spacing w:after="160"/>
      </w:pPr>
      <w:r>
        <w:rPr>
          <w:rFonts w:ascii="Arial" w:cs="Arial" w:eastAsia="Arial" w:hAnsi="Arial"/>
          <w:color w:val="1A1A1A"/>
          <w:sz w:val="22"/>
          <w:szCs w:val="22"/>
        </w:rPr>
        <w:t xml:space="preserve">      /google-places.ts              ← enhanced Places fetcher</w:t>
      </w:r>
    </w:p>
    <w:p>
      <w:pPr>
        <w:spacing w:after="160"/>
      </w:pPr>
      <w:r>
        <w:rPr>
          <w:rFonts w:ascii="Arial" w:cs="Arial" w:eastAsia="Arial" w:hAnsi="Arial"/>
          <w:color w:val="1A1A1A"/>
          <w:sz w:val="22"/>
          <w:szCs w:val="22"/>
        </w:rPr>
        <w:t xml:space="preserve">      /openstreetmap.ts              ← Overpass API fetcher</w:t>
      </w:r>
    </w:p>
    <w:p>
      <w:pPr>
        <w:spacing w:after="160"/>
      </w:pPr>
      <w:r>
        <w:rPr>
          <w:rFonts w:ascii="Arial" w:cs="Arial" w:eastAsia="Arial" w:hAnsi="Arial"/>
          <w:color w:val="1A1A1A"/>
          <w:sz w:val="22"/>
          <w:szCs w:val="22"/>
        </w:rPr>
        <w:t xml:space="preserve">      /yelp.ts                       ← Business Match fetcher</w:t>
      </w:r>
    </w:p>
    <w:p>
      <w:pPr>
        <w:spacing w:after="160"/>
      </w:pPr>
      <w:r>
        <w:rPr>
          <w:rFonts w:ascii="Arial" w:cs="Arial" w:eastAsia="Arial" w:hAnsi="Arial"/>
          <w:color w:val="1A1A1A"/>
          <w:sz w:val="22"/>
          <w:szCs w:val="22"/>
        </w:rPr>
        <w:t xml:space="preserve">      /walk-score.ts                 ← Walk Score API fetcher</w:t>
      </w:r>
    </w:p>
    <w:p>
      <w:pPr>
        <w:spacing w:after="160"/>
      </w:pPr>
      <w:r>
        <w:rPr>
          <w:rFonts w:ascii="Arial" w:cs="Arial" w:eastAsia="Arial" w:hAnsi="Arial"/>
          <w:color w:val="1A1A1A"/>
          <w:sz w:val="22"/>
          <w:szCs w:val="22"/>
        </w:rPr>
        <w:t xml:space="preserve">      /besttime.ts                   ← BestTime.app API fetcher</w:t>
      </w:r>
    </w:p>
    <w:p>
      <w:pPr>
        <w:spacing w:after="160"/>
      </w:pPr>
      <w:r>
        <w:rPr>
          <w:rFonts w:ascii="Arial" w:cs="Arial" w:eastAsia="Arial" w:hAnsi="Arial"/>
          <w:color w:val="1A1A1A"/>
          <w:sz w:val="22"/>
          <w:szCs w:val="22"/>
        </w:rPr>
        <w:t xml:space="preserve">  /__tests__/</w:t>
      </w:r>
    </w:p>
    <w:p>
      <w:pPr>
        <w:spacing w:after="160"/>
      </w:pPr>
      <w:r>
        <w:rPr>
          <w:rFonts w:ascii="Arial" w:cs="Arial" w:eastAsia="Arial" w:hAnsi="Arial"/>
          <w:color w:val="1A1A1A"/>
          <w:sz w:val="22"/>
          <w:szCs w:val="22"/>
        </w:rPr>
        <w:t xml:space="preserve">    /normalization.test.ts            ← NEW</w:t>
      </w:r>
    </w:p>
    <w:p>
      <w:pPr>
        <w:spacing w:after="160"/>
      </w:pPr>
      <w:r>
        <w:rPr>
          <w:rFonts w:ascii="Arial" w:cs="Arial" w:eastAsia="Arial" w:hAnsi="Arial"/>
          <w:color w:val="1A1A1A"/>
          <w:sz w:val="22"/>
          <w:szCs w:val="22"/>
        </w:rPr>
        <w:t xml:space="preserve">    /aggregator.test.ts              ← NEW</w:t>
      </w:r>
    </w:p>
    <w:p>
      <w:pPr>
        <w:pBdr>
          <w:bottom w:val="single" w:color="2E75B6" w:sz="6" w:space="1"/>
        </w:pBdr>
        <w:spacing w:before="200" w:after="200"/>
      </w:pPr>
    </w:p>
    <w:p>
      <w:pPr>
        <w:pStyle w:val="Heading1"/>
        <w:spacing w:before="360" w:after="120"/>
      </w:pPr>
      <w:r>
        <w:rPr>
          <w:rFonts w:ascii="Arial" w:cs="Arial" w:eastAsia="Arial" w:hAnsi="Arial"/>
          <w:b/>
          <w:bCs/>
          <w:color w:val="1A3A5C"/>
          <w:sz w:val="32"/>
          <w:szCs w:val="32"/>
        </w:rPr>
        <w:t xml:space="preserve">10. Summary of Changes from Original Spec</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0BEC5" w:sz="1"/>
              <w:left w:val="single" w:color="B0BEC5" w:sz="1"/>
              <w:bottom w:val="single" w:color="B0BEC5" w:sz="1"/>
              <w:right w:val="single" w:color="B0BEC5" w:sz="1"/>
            </w:tcBorders>
            <w:shd w:fill="1A3A5C" w:val="clear"/>
            <w:tcMar>
              <w:top w:type="dxa" w:w="60"/>
              <w:left w:type="dxa" w:w="120"/>
              <w:bottom w:type="dxa" w:w="60"/>
              <w:right w:type="dxa" w:w="120"/>
            </w:tcMar>
            <w:vAlign w:val="center"/>
          </w:tcPr>
          <w:p>
            <w:r>
              <w:rPr>
                <w:rFonts w:ascii="Arial" w:cs="Arial" w:eastAsia="Arial" w:hAnsi="Arial"/>
                <w:b/>
                <w:bCs/>
                <w:color w:val="FFFFFF"/>
                <w:sz w:val="20"/>
                <w:szCs w:val="20"/>
              </w:rPr>
              <w:t xml:space="preserve">Original Spec</w:t>
            </w:r>
          </w:p>
        </w:tc>
        <w:tc>
          <w:tcPr>
            <w:tcW w:type="dxa" w:w="3120"/>
            <w:tcBorders>
              <w:top w:val="single" w:color="B0BEC5" w:sz="1"/>
              <w:left w:val="single" w:color="B0BEC5" w:sz="1"/>
              <w:bottom w:val="single" w:color="B0BEC5" w:sz="1"/>
              <w:right w:val="single" w:color="B0BEC5" w:sz="1"/>
            </w:tcBorders>
            <w:shd w:fill="1A3A5C" w:val="clear"/>
            <w:tcMar>
              <w:top w:type="dxa" w:w="60"/>
              <w:left w:type="dxa" w:w="120"/>
              <w:bottom w:type="dxa" w:w="60"/>
              <w:right w:type="dxa" w:w="120"/>
            </w:tcMar>
            <w:vAlign w:val="center"/>
          </w:tcPr>
          <w:p>
            <w:r>
              <w:rPr>
                <w:rFonts w:ascii="Arial" w:cs="Arial" w:eastAsia="Arial" w:hAnsi="Arial"/>
                <w:b/>
                <w:bCs/>
                <w:color w:val="FFFFFF"/>
                <w:sz w:val="20"/>
                <w:szCs w:val="20"/>
              </w:rPr>
              <w:t xml:space="preserve">This PRD</w:t>
            </w:r>
          </w:p>
        </w:tc>
        <w:tc>
          <w:tcPr>
            <w:tcW w:type="dxa" w:w="3120"/>
            <w:tcBorders>
              <w:top w:val="single" w:color="B0BEC5" w:sz="1"/>
              <w:left w:val="single" w:color="B0BEC5" w:sz="1"/>
              <w:bottom w:val="single" w:color="B0BEC5" w:sz="1"/>
              <w:right w:val="single" w:color="B0BEC5" w:sz="1"/>
            </w:tcBorders>
            <w:shd w:fill="1A3A5C" w:val="clear"/>
            <w:tcMar>
              <w:top w:type="dxa" w:w="60"/>
              <w:left w:type="dxa" w:w="120"/>
              <w:bottom w:type="dxa" w:w="60"/>
              <w:right w:type="dxa" w:w="120"/>
            </w:tcMar>
            <w:vAlign w:val="center"/>
          </w:tcPr>
          <w:p>
            <w:r>
              <w:rPr>
                <w:rFonts w:ascii="Arial" w:cs="Arial" w:eastAsia="Arial" w:hAnsi="Arial"/>
                <w:b/>
                <w:bCs/>
                <w:color w:val="FFFFFF"/>
                <w:sz w:val="20"/>
                <w:szCs w:val="20"/>
              </w:rPr>
              <w:t xml:space="preserve">Reason</w:t>
            </w:r>
          </w:p>
        </w:tc>
      </w:tr>
      <w:tr>
        <w:tc>
          <w:tcPr>
            <w:tcW w:type="dxa" w:w="3120"/>
            <w:tcBorders>
              <w:top w:val="single" w:color="B0BEC5" w:sz="1"/>
              <w:left w:val="single" w:color="B0BEC5" w:sz="1"/>
              <w:bottom w:val="single" w:color="B0BEC5" w:sz="1"/>
              <w:right w:val="single" w:color="B0BEC5" w:sz="1"/>
            </w:tcBorders>
            <w:tcMar>
              <w:top w:type="dxa" w:w="60"/>
              <w:left w:type="dxa" w:w="120"/>
              <w:bottom w:type="dxa" w:w="60"/>
              <w:right w:type="dxa" w:w="120"/>
            </w:tcMar>
          </w:tcPr>
          <w:p>
            <w:r>
              <w:rPr>
                <w:rFonts w:ascii="Arial" w:cs="Arial" w:eastAsia="Arial" w:hAnsi="Arial"/>
                <w:b w:val="false"/>
                <w:bCs w:val="false"/>
                <w:color w:val="1A1A1A"/>
                <w:sz w:val="20"/>
                <w:szCs w:val="20"/>
              </w:rPr>
              <w:t xml:space="preserve">Puppeteer Popular Times scraper</w:t>
            </w:r>
          </w:p>
        </w:tc>
        <w:tc>
          <w:tcPr>
            <w:tcW w:type="dxa" w:w="3120"/>
            <w:tcBorders>
              <w:top w:val="single" w:color="B0BEC5" w:sz="1"/>
              <w:left w:val="single" w:color="B0BEC5" w:sz="1"/>
              <w:bottom w:val="single" w:color="B0BEC5" w:sz="1"/>
              <w:right w:val="single" w:color="B0BEC5" w:sz="1"/>
            </w:tcBorders>
            <w:tcMar>
              <w:top w:type="dxa" w:w="60"/>
              <w:left w:type="dxa" w:w="120"/>
              <w:bottom w:type="dxa" w:w="60"/>
              <w:right w:type="dxa" w:w="120"/>
            </w:tcMar>
          </w:tcPr>
          <w:p>
            <w:r>
              <w:rPr>
                <w:rFonts w:ascii="Arial" w:cs="Arial" w:eastAsia="Arial" w:hAnsi="Arial"/>
                <w:b w:val="false"/>
                <w:bCs w:val="false"/>
                <w:color w:val="1A1A1A"/>
                <w:sz w:val="20"/>
                <w:szCs w:val="20"/>
              </w:rPr>
              <w:t xml:space="preserve">BestTime.app API ($9/mo)</w:t>
            </w:r>
          </w:p>
        </w:tc>
        <w:tc>
          <w:tcPr>
            <w:tcW w:type="dxa" w:w="3120"/>
            <w:tcBorders>
              <w:top w:val="single" w:color="B0BEC5" w:sz="1"/>
              <w:left w:val="single" w:color="B0BEC5" w:sz="1"/>
              <w:bottom w:val="single" w:color="B0BEC5" w:sz="1"/>
              <w:right w:val="single" w:color="B0BEC5" w:sz="1"/>
            </w:tcBorders>
            <w:tcMar>
              <w:top w:type="dxa" w:w="60"/>
              <w:left w:type="dxa" w:w="120"/>
              <w:bottom w:type="dxa" w:w="60"/>
              <w:right w:type="dxa" w:w="120"/>
            </w:tcMar>
          </w:tcPr>
          <w:p>
            <w:r>
              <w:rPr>
                <w:rFonts w:ascii="Arial" w:cs="Arial" w:eastAsia="Arial" w:hAnsi="Arial"/>
                <w:b w:val="false"/>
                <w:bCs w:val="false"/>
                <w:color w:val="1A1A1A"/>
                <w:sz w:val="20"/>
                <w:szCs w:val="20"/>
              </w:rPr>
              <w:t xml:space="preserve">Serverless-compatible, no IP risk</w:t>
            </w:r>
          </w:p>
        </w:tc>
      </w:tr>
      <w:tr>
        <w:tc>
          <w:tcPr>
            <w:tcW w:type="dxa" w:w="3120"/>
            <w:tcBorders>
              <w:top w:val="single" w:color="B0BEC5" w:sz="1"/>
              <w:left w:val="single" w:color="B0BEC5" w:sz="1"/>
              <w:bottom w:val="single" w:color="B0BEC5" w:sz="1"/>
              <w:right w:val="single" w:color="B0BEC5" w:sz="1"/>
            </w:tcBorders>
            <w:shd w:fill="F8FAFC" w:val="clear"/>
            <w:tcMar>
              <w:top w:type="dxa" w:w="60"/>
              <w:left w:type="dxa" w:w="120"/>
              <w:bottom w:type="dxa" w:w="60"/>
              <w:right w:type="dxa" w:w="120"/>
            </w:tcMar>
          </w:tcPr>
          <w:p>
            <w:r>
              <w:rPr>
                <w:rFonts w:ascii="Arial" w:cs="Arial" w:eastAsia="Arial" w:hAnsi="Arial"/>
                <w:b w:val="false"/>
                <w:bCs w:val="false"/>
                <w:color w:val="1A1A1A"/>
                <w:sz w:val="20"/>
                <w:szCs w:val="20"/>
              </w:rPr>
              <w:t xml:space="preserve">Foursquare (50 req/day)</w:t>
            </w:r>
          </w:p>
        </w:tc>
        <w:tc>
          <w:tcPr>
            <w:tcW w:type="dxa" w:w="3120"/>
            <w:tcBorders>
              <w:top w:val="single" w:color="B0BEC5" w:sz="1"/>
              <w:left w:val="single" w:color="B0BEC5" w:sz="1"/>
              <w:bottom w:val="single" w:color="B0BEC5" w:sz="1"/>
              <w:right w:val="single" w:color="B0BEC5" w:sz="1"/>
            </w:tcBorders>
            <w:shd w:fill="F8FAFC" w:val="clear"/>
            <w:tcMar>
              <w:top w:type="dxa" w:w="60"/>
              <w:left w:type="dxa" w:w="120"/>
              <w:bottom w:type="dxa" w:w="60"/>
              <w:right w:type="dxa" w:w="120"/>
            </w:tcMar>
          </w:tcPr>
          <w:p>
            <w:r>
              <w:rPr>
                <w:rFonts w:ascii="Arial" w:cs="Arial" w:eastAsia="Arial" w:hAnsi="Arial"/>
                <w:b w:val="false"/>
                <w:bCs w:val="false"/>
                <w:color w:val="1A1A1A"/>
                <w:sz w:val="20"/>
                <w:szCs w:val="20"/>
              </w:rPr>
              <w:t xml:space="preserve">Dropped</w:t>
            </w:r>
          </w:p>
        </w:tc>
        <w:tc>
          <w:tcPr>
            <w:tcW w:type="dxa" w:w="3120"/>
            <w:tcBorders>
              <w:top w:val="single" w:color="B0BEC5" w:sz="1"/>
              <w:left w:val="single" w:color="B0BEC5" w:sz="1"/>
              <w:bottom w:val="single" w:color="B0BEC5" w:sz="1"/>
              <w:right w:val="single" w:color="B0BEC5" w:sz="1"/>
            </w:tcBorders>
            <w:shd w:fill="F8FAFC" w:val="clear"/>
            <w:tcMar>
              <w:top w:type="dxa" w:w="60"/>
              <w:left w:type="dxa" w:w="120"/>
              <w:bottom w:type="dxa" w:w="60"/>
              <w:right w:type="dxa" w:w="120"/>
            </w:tcMar>
          </w:tcPr>
          <w:p>
            <w:r>
              <w:rPr>
                <w:rFonts w:ascii="Arial" w:cs="Arial" w:eastAsia="Arial" w:hAnsi="Arial"/>
                <w:b w:val="false"/>
                <w:bCs w:val="false"/>
                <w:color w:val="1A1A1A"/>
                <w:sz w:val="20"/>
                <w:szCs w:val="20"/>
              </w:rPr>
              <w:t xml:space="preserve">Rate limit too low for practical use</w:t>
            </w:r>
          </w:p>
        </w:tc>
      </w:tr>
      <w:tr>
        <w:tc>
          <w:tcPr>
            <w:tcW w:type="dxa" w:w="3120"/>
            <w:tcBorders>
              <w:top w:val="single" w:color="B0BEC5" w:sz="1"/>
              <w:left w:val="single" w:color="B0BEC5" w:sz="1"/>
              <w:bottom w:val="single" w:color="B0BEC5" w:sz="1"/>
              <w:right w:val="single" w:color="B0BEC5" w:sz="1"/>
            </w:tcBorders>
            <w:tcMar>
              <w:top w:type="dxa" w:w="60"/>
              <w:left w:type="dxa" w:w="120"/>
              <w:bottom w:type="dxa" w:w="60"/>
              <w:right w:type="dxa" w:w="120"/>
            </w:tcMar>
          </w:tcPr>
          <w:p>
            <w:r>
              <w:rPr>
                <w:rFonts w:ascii="Arial" w:cs="Arial" w:eastAsia="Arial" w:hAnsi="Arial"/>
                <w:b w:val="false"/>
                <w:bCs w:val="false"/>
                <w:color w:val="1A1A1A"/>
                <w:sz w:val="20"/>
                <w:szCs w:val="20"/>
              </w:rPr>
              <w:t xml:space="preserve">5 data sources</w:t>
            </w:r>
          </w:p>
        </w:tc>
        <w:tc>
          <w:tcPr>
            <w:tcW w:type="dxa" w:w="3120"/>
            <w:tcBorders>
              <w:top w:val="single" w:color="B0BEC5" w:sz="1"/>
              <w:left w:val="single" w:color="B0BEC5" w:sz="1"/>
              <w:bottom w:val="single" w:color="B0BEC5" w:sz="1"/>
              <w:right w:val="single" w:color="B0BEC5" w:sz="1"/>
            </w:tcBorders>
            <w:tcMar>
              <w:top w:type="dxa" w:w="60"/>
              <w:left w:type="dxa" w:w="120"/>
              <w:bottom w:type="dxa" w:w="60"/>
              <w:right w:type="dxa" w:w="120"/>
            </w:tcMar>
          </w:tcPr>
          <w:p>
            <w:r>
              <w:rPr>
                <w:rFonts w:ascii="Arial" w:cs="Arial" w:eastAsia="Arial" w:hAnsi="Arial"/>
                <w:b w:val="false"/>
                <w:bCs w:val="false"/>
                <w:color w:val="1A1A1A"/>
                <w:sz w:val="20"/>
                <w:szCs w:val="20"/>
              </w:rPr>
              <w:t xml:space="preserve">6 sources + 2 enrichments</w:t>
            </w:r>
          </w:p>
        </w:tc>
        <w:tc>
          <w:tcPr>
            <w:tcW w:type="dxa" w:w="3120"/>
            <w:tcBorders>
              <w:top w:val="single" w:color="B0BEC5" w:sz="1"/>
              <w:left w:val="single" w:color="B0BEC5" w:sz="1"/>
              <w:bottom w:val="single" w:color="B0BEC5" w:sz="1"/>
              <w:right w:val="single" w:color="B0BEC5" w:sz="1"/>
            </w:tcBorders>
            <w:tcMar>
              <w:top w:type="dxa" w:w="60"/>
              <w:left w:type="dxa" w:w="120"/>
              <w:bottom w:type="dxa" w:w="60"/>
              <w:right w:type="dxa" w:w="120"/>
            </w:tcMar>
          </w:tcPr>
          <w:p>
            <w:r>
              <w:rPr>
                <w:rFonts w:ascii="Arial" w:cs="Arial" w:eastAsia="Arial" w:hAnsi="Arial"/>
                <w:b w:val="false"/>
                <w:bCs w:val="false"/>
                <w:color w:val="1A1A1A"/>
                <w:sz w:val="20"/>
                <w:szCs w:val="20"/>
              </w:rPr>
              <w:t xml:space="preserve">Walk Score, LEHD, EPA added</w:t>
            </w:r>
          </w:p>
        </w:tc>
      </w:tr>
      <w:tr>
        <w:tc>
          <w:tcPr>
            <w:tcW w:type="dxa" w:w="3120"/>
            <w:tcBorders>
              <w:top w:val="single" w:color="B0BEC5" w:sz="1"/>
              <w:left w:val="single" w:color="B0BEC5" w:sz="1"/>
              <w:bottom w:val="single" w:color="B0BEC5" w:sz="1"/>
              <w:right w:val="single" w:color="B0BEC5" w:sz="1"/>
            </w:tcBorders>
            <w:shd w:fill="F8FAFC" w:val="clear"/>
            <w:tcMar>
              <w:top w:type="dxa" w:w="60"/>
              <w:left w:type="dxa" w:w="120"/>
              <w:bottom w:type="dxa" w:w="60"/>
              <w:right w:type="dxa" w:w="120"/>
            </w:tcMar>
          </w:tcPr>
          <w:p>
            <w:r>
              <w:rPr>
                <w:rFonts w:ascii="Arial" w:cs="Arial" w:eastAsia="Arial" w:hAnsi="Arial"/>
                <w:b w:val="false"/>
                <w:bCs w:val="false"/>
                <w:color w:val="1A1A1A"/>
                <w:sz w:val="20"/>
                <w:szCs w:val="20"/>
              </w:rPr>
              <w:t xml:space="preserve">node-cache in-memory</w:t>
            </w:r>
          </w:p>
        </w:tc>
        <w:tc>
          <w:tcPr>
            <w:tcW w:type="dxa" w:w="3120"/>
            <w:tcBorders>
              <w:top w:val="single" w:color="B0BEC5" w:sz="1"/>
              <w:left w:val="single" w:color="B0BEC5" w:sz="1"/>
              <w:bottom w:val="single" w:color="B0BEC5" w:sz="1"/>
              <w:right w:val="single" w:color="B0BEC5" w:sz="1"/>
            </w:tcBorders>
            <w:shd w:fill="F8FAFC" w:val="clear"/>
            <w:tcMar>
              <w:top w:type="dxa" w:w="60"/>
              <w:left w:type="dxa" w:w="120"/>
              <w:bottom w:type="dxa" w:w="60"/>
              <w:right w:type="dxa" w:w="120"/>
            </w:tcMar>
          </w:tcPr>
          <w:p>
            <w:r>
              <w:rPr>
                <w:rFonts w:ascii="Arial" w:cs="Arial" w:eastAsia="Arial" w:hAnsi="Arial"/>
                <w:b w:val="false"/>
                <w:bCs w:val="false"/>
                <w:color w:val="1A1A1A"/>
                <w:sz w:val="20"/>
                <w:szCs w:val="20"/>
              </w:rPr>
              <w:t xml:space="preserve">Vercel KV or fetch revalidate</w:t>
            </w:r>
          </w:p>
        </w:tc>
        <w:tc>
          <w:tcPr>
            <w:tcW w:type="dxa" w:w="3120"/>
            <w:tcBorders>
              <w:top w:val="single" w:color="B0BEC5" w:sz="1"/>
              <w:left w:val="single" w:color="B0BEC5" w:sz="1"/>
              <w:bottom w:val="single" w:color="B0BEC5" w:sz="1"/>
              <w:right w:val="single" w:color="B0BEC5" w:sz="1"/>
            </w:tcBorders>
            <w:shd w:fill="F8FAFC" w:val="clear"/>
            <w:tcMar>
              <w:top w:type="dxa" w:w="60"/>
              <w:left w:type="dxa" w:w="120"/>
              <w:bottom w:type="dxa" w:w="60"/>
              <w:right w:type="dxa" w:w="120"/>
            </w:tcMar>
          </w:tcPr>
          <w:p>
            <w:r>
              <w:rPr>
                <w:rFonts w:ascii="Arial" w:cs="Arial" w:eastAsia="Arial" w:hAnsi="Arial"/>
                <w:b w:val="false"/>
                <w:bCs w:val="false"/>
                <w:color w:val="1A1A1A"/>
                <w:sz w:val="20"/>
                <w:szCs w:val="20"/>
              </w:rPr>
              <w:t xml:space="preserve">Serverless-aware caching</w:t>
            </w:r>
          </w:p>
        </w:tc>
      </w:tr>
      <w:tr>
        <w:tc>
          <w:tcPr>
            <w:tcW w:type="dxa" w:w="3120"/>
            <w:tcBorders>
              <w:top w:val="single" w:color="B0BEC5" w:sz="1"/>
              <w:left w:val="single" w:color="B0BEC5" w:sz="1"/>
              <w:bottom w:val="single" w:color="B0BEC5" w:sz="1"/>
              <w:right w:val="single" w:color="B0BEC5" w:sz="1"/>
            </w:tcBorders>
            <w:tcMar>
              <w:top w:type="dxa" w:w="60"/>
              <w:left w:type="dxa" w:w="120"/>
              <w:bottom w:type="dxa" w:w="60"/>
              <w:right w:type="dxa" w:w="120"/>
            </w:tcMar>
          </w:tcPr>
          <w:p>
            <w:r>
              <w:rPr>
                <w:rFonts w:ascii="Arial" w:cs="Arial" w:eastAsia="Arial" w:hAnsi="Arial"/>
                <w:b w:val="false"/>
                <w:bCs w:val="false"/>
                <w:color w:val="1A1A1A"/>
                <w:sz w:val="20"/>
                <w:szCs w:val="20"/>
              </w:rPr>
              <w:t xml:space="preserve">No per-source timeouts</w:t>
            </w:r>
          </w:p>
        </w:tc>
        <w:tc>
          <w:tcPr>
            <w:tcW w:type="dxa" w:w="3120"/>
            <w:tcBorders>
              <w:top w:val="single" w:color="B0BEC5" w:sz="1"/>
              <w:left w:val="single" w:color="B0BEC5" w:sz="1"/>
              <w:bottom w:val="single" w:color="B0BEC5" w:sz="1"/>
              <w:right w:val="single" w:color="B0BEC5" w:sz="1"/>
            </w:tcBorders>
            <w:tcMar>
              <w:top w:type="dxa" w:w="60"/>
              <w:left w:type="dxa" w:w="120"/>
              <w:bottom w:type="dxa" w:w="60"/>
              <w:right w:type="dxa" w:w="120"/>
            </w:tcMar>
          </w:tcPr>
          <w:p>
            <w:r>
              <w:rPr>
                <w:rFonts w:ascii="Arial" w:cs="Arial" w:eastAsia="Arial" w:hAnsi="Arial"/>
                <w:b w:val="false"/>
                <w:bCs w:val="false"/>
                <w:color w:val="1A1A1A"/>
                <w:sz w:val="20"/>
                <w:szCs w:val="20"/>
              </w:rPr>
              <w:t xml:space="preserve">2s AbortController per source</w:t>
            </w:r>
          </w:p>
        </w:tc>
        <w:tc>
          <w:tcPr>
            <w:tcW w:type="dxa" w:w="3120"/>
            <w:tcBorders>
              <w:top w:val="single" w:color="B0BEC5" w:sz="1"/>
              <w:left w:val="single" w:color="B0BEC5" w:sz="1"/>
              <w:bottom w:val="single" w:color="B0BEC5" w:sz="1"/>
              <w:right w:val="single" w:color="B0BEC5" w:sz="1"/>
            </w:tcBorders>
            <w:tcMar>
              <w:top w:type="dxa" w:w="60"/>
              <w:left w:type="dxa" w:w="120"/>
              <w:bottom w:type="dxa" w:w="60"/>
              <w:right w:type="dxa" w:w="120"/>
            </w:tcMar>
          </w:tcPr>
          <w:p>
            <w:r>
              <w:rPr>
                <w:rFonts w:ascii="Arial" w:cs="Arial" w:eastAsia="Arial" w:hAnsi="Arial"/>
                <w:b w:val="false"/>
                <w:bCs w:val="false"/>
                <w:color w:val="1A1A1A"/>
                <w:sz w:val="20"/>
                <w:szCs w:val="20"/>
              </w:rPr>
              <w:t xml:space="preserve">Guarantees &lt;3s response</w:t>
            </w:r>
          </w:p>
        </w:tc>
      </w:tr>
      <w:tr>
        <w:tc>
          <w:tcPr>
            <w:tcW w:type="dxa" w:w="3120"/>
            <w:tcBorders>
              <w:top w:val="single" w:color="B0BEC5" w:sz="1"/>
              <w:left w:val="single" w:color="B0BEC5" w:sz="1"/>
              <w:bottom w:val="single" w:color="B0BEC5" w:sz="1"/>
              <w:right w:val="single" w:color="B0BEC5" w:sz="1"/>
            </w:tcBorders>
            <w:shd w:fill="F8FAFC" w:val="clear"/>
            <w:tcMar>
              <w:top w:type="dxa" w:w="60"/>
              <w:left w:type="dxa" w:w="120"/>
              <w:bottom w:type="dxa" w:w="60"/>
              <w:right w:type="dxa" w:w="120"/>
            </w:tcMar>
          </w:tcPr>
          <w:p>
            <w:r>
              <w:rPr>
                <w:rFonts w:ascii="Arial" w:cs="Arial" w:eastAsia="Arial" w:hAnsi="Arial"/>
                <w:b w:val="false"/>
                <w:bCs w:val="false"/>
                <w:color w:val="1A1A1A"/>
                <w:sz w:val="20"/>
                <w:szCs w:val="20"/>
              </w:rPr>
              <w:t xml:space="preserve">Census buildingType heuristic</w:t>
            </w:r>
          </w:p>
        </w:tc>
        <w:tc>
          <w:tcPr>
            <w:tcW w:type="dxa" w:w="3120"/>
            <w:tcBorders>
              <w:top w:val="single" w:color="B0BEC5" w:sz="1"/>
              <w:left w:val="single" w:color="B0BEC5" w:sz="1"/>
              <w:bottom w:val="single" w:color="B0BEC5" w:sz="1"/>
              <w:right w:val="single" w:color="B0BEC5" w:sz="1"/>
            </w:tcBorders>
            <w:shd w:fill="F8FAFC" w:val="clear"/>
            <w:tcMar>
              <w:top w:type="dxa" w:w="60"/>
              <w:left w:type="dxa" w:w="120"/>
              <w:bottom w:type="dxa" w:w="60"/>
              <w:right w:type="dxa" w:w="120"/>
            </w:tcMar>
          </w:tcPr>
          <w:p>
            <w:r>
              <w:rPr>
                <w:rFonts w:ascii="Arial" w:cs="Arial" w:eastAsia="Arial" w:hAnsi="Arial"/>
                <w:b w:val="false"/>
                <w:bCs w:val="false"/>
                <w:color w:val="1A1A1A"/>
                <w:sz w:val="20"/>
                <w:szCs w:val="20"/>
              </w:rPr>
              <w:t xml:space="preserve">Google Places + OSM classifier</w:t>
            </w:r>
          </w:p>
        </w:tc>
        <w:tc>
          <w:tcPr>
            <w:tcW w:type="dxa" w:w="3120"/>
            <w:tcBorders>
              <w:top w:val="single" w:color="B0BEC5" w:sz="1"/>
              <w:left w:val="single" w:color="B0BEC5" w:sz="1"/>
              <w:bottom w:val="single" w:color="B0BEC5" w:sz="1"/>
              <w:right w:val="single" w:color="B0BEC5" w:sz="1"/>
            </w:tcBorders>
            <w:shd w:fill="F8FAFC" w:val="clear"/>
            <w:tcMar>
              <w:top w:type="dxa" w:w="60"/>
              <w:left w:type="dxa" w:w="120"/>
              <w:bottom w:type="dxa" w:w="60"/>
              <w:right w:type="dxa" w:w="120"/>
            </w:tcMar>
          </w:tcPr>
          <w:p>
            <w:r>
              <w:rPr>
                <w:rFonts w:ascii="Arial" w:cs="Arial" w:eastAsia="Arial" w:hAnsi="Arial"/>
                <w:b w:val="false"/>
                <w:bCs w:val="false"/>
                <w:color w:val="1A1A1A"/>
                <w:sz w:val="20"/>
                <w:szCs w:val="20"/>
              </w:rPr>
              <w:t xml:space="preserve">Real building data vs guesswork</w:t>
            </w:r>
          </w:p>
        </w:tc>
      </w:tr>
      <w:tr>
        <w:tc>
          <w:tcPr>
            <w:tcW w:type="dxa" w:w="3120"/>
            <w:tcBorders>
              <w:top w:val="single" w:color="B0BEC5" w:sz="1"/>
              <w:left w:val="single" w:color="B0BEC5" w:sz="1"/>
              <w:bottom w:val="single" w:color="B0BEC5" w:sz="1"/>
              <w:right w:val="single" w:color="B0BEC5" w:sz="1"/>
            </w:tcBorders>
            <w:tcMar>
              <w:top w:type="dxa" w:w="60"/>
              <w:left w:type="dxa" w:w="120"/>
              <w:bottom w:type="dxa" w:w="60"/>
              <w:right w:type="dxa" w:w="120"/>
            </w:tcMar>
          </w:tcPr>
          <w:p>
            <w:r>
              <w:rPr>
                <w:rFonts w:ascii="Arial" w:cs="Arial" w:eastAsia="Arial" w:hAnsi="Arial"/>
                <w:b w:val="false"/>
                <w:bCs w:val="false"/>
                <w:color w:val="1A1A1A"/>
                <w:sz w:val="20"/>
                <w:szCs w:val="20"/>
              </w:rPr>
              <w:t xml:space="preserve">raw: any in SignalResult</w:t>
            </w:r>
          </w:p>
        </w:tc>
        <w:tc>
          <w:tcPr>
            <w:tcW w:type="dxa" w:w="3120"/>
            <w:tcBorders>
              <w:top w:val="single" w:color="B0BEC5" w:sz="1"/>
              <w:left w:val="single" w:color="B0BEC5" w:sz="1"/>
              <w:bottom w:val="single" w:color="B0BEC5" w:sz="1"/>
              <w:right w:val="single" w:color="B0BEC5" w:sz="1"/>
            </w:tcBorders>
            <w:tcMar>
              <w:top w:type="dxa" w:w="60"/>
              <w:left w:type="dxa" w:w="120"/>
              <w:bottom w:type="dxa" w:w="60"/>
              <w:right w:type="dxa" w:w="120"/>
            </w:tcMar>
          </w:tcPr>
          <w:p>
            <w:r>
              <w:rPr>
                <w:rFonts w:ascii="Arial" w:cs="Arial" w:eastAsia="Arial" w:hAnsi="Arial"/>
                <w:b w:val="false"/>
                <w:bCs w:val="false"/>
                <w:color w:val="1A1A1A"/>
                <w:sz w:val="20"/>
                <w:szCs w:val="20"/>
              </w:rPr>
              <w:t xml:space="preserve">Typed per-source interfaces</w:t>
            </w:r>
          </w:p>
        </w:tc>
        <w:tc>
          <w:tcPr>
            <w:tcW w:type="dxa" w:w="3120"/>
            <w:tcBorders>
              <w:top w:val="single" w:color="B0BEC5" w:sz="1"/>
              <w:left w:val="single" w:color="B0BEC5" w:sz="1"/>
              <w:bottom w:val="single" w:color="B0BEC5" w:sz="1"/>
              <w:right w:val="single" w:color="B0BEC5" w:sz="1"/>
            </w:tcBorders>
            <w:tcMar>
              <w:top w:type="dxa" w:w="60"/>
              <w:left w:type="dxa" w:w="120"/>
              <w:bottom w:type="dxa" w:w="60"/>
              <w:right w:type="dxa" w:w="120"/>
            </w:tcMar>
          </w:tcPr>
          <w:p>
            <w:r>
              <w:rPr>
                <w:rFonts w:ascii="Arial" w:cs="Arial" w:eastAsia="Arial" w:hAnsi="Arial"/>
                <w:b w:val="false"/>
                <w:bCs w:val="false"/>
                <w:color w:val="1A1A1A"/>
                <w:sz w:val="20"/>
                <w:szCs w:val="20"/>
              </w:rPr>
              <w:t xml:space="preserve">TypeScript strict compliance</w:t>
            </w:r>
          </w:p>
        </w:tc>
      </w:tr>
      <w:tr>
        <w:tc>
          <w:tcPr>
            <w:tcW w:type="dxa" w:w="3120"/>
            <w:tcBorders>
              <w:top w:val="single" w:color="B0BEC5" w:sz="1"/>
              <w:left w:val="single" w:color="B0BEC5" w:sz="1"/>
              <w:bottom w:val="single" w:color="B0BEC5" w:sz="1"/>
              <w:right w:val="single" w:color="B0BEC5" w:sz="1"/>
            </w:tcBorders>
            <w:shd w:fill="F8FAFC" w:val="clear"/>
            <w:tcMar>
              <w:top w:type="dxa" w:w="60"/>
              <w:left w:type="dxa" w:w="120"/>
              <w:bottom w:type="dxa" w:w="60"/>
              <w:right w:type="dxa" w:w="120"/>
            </w:tcMar>
          </w:tcPr>
          <w:p>
            <w:r>
              <w:rPr>
                <w:rFonts w:ascii="Arial" w:cs="Arial" w:eastAsia="Arial" w:hAnsi="Arial"/>
                <w:b w:val="false"/>
                <w:bCs w:val="false"/>
                <w:color w:val="1A1A1A"/>
                <w:sz w:val="20"/>
                <w:szCs w:val="20"/>
              </w:rPr>
              <w:t xml:space="preserve">/api/popular-times route</w:t>
            </w:r>
          </w:p>
        </w:tc>
        <w:tc>
          <w:tcPr>
            <w:tcW w:type="dxa" w:w="3120"/>
            <w:tcBorders>
              <w:top w:val="single" w:color="B0BEC5" w:sz="1"/>
              <w:left w:val="single" w:color="B0BEC5" w:sz="1"/>
              <w:bottom w:val="single" w:color="B0BEC5" w:sz="1"/>
              <w:right w:val="single" w:color="B0BEC5" w:sz="1"/>
            </w:tcBorders>
            <w:shd w:fill="F8FAFC" w:val="clear"/>
            <w:tcMar>
              <w:top w:type="dxa" w:w="60"/>
              <w:left w:type="dxa" w:w="120"/>
              <w:bottom w:type="dxa" w:w="60"/>
              <w:right w:type="dxa" w:w="120"/>
            </w:tcMar>
          </w:tcPr>
          <w:p>
            <w:r>
              <w:rPr>
                <w:rFonts w:ascii="Arial" w:cs="Arial" w:eastAsia="Arial" w:hAnsi="Arial"/>
                <w:b w:val="false"/>
                <w:bCs w:val="false"/>
                <w:color w:val="1A1A1A"/>
                <w:sz w:val="20"/>
                <w:szCs w:val="20"/>
              </w:rPr>
              <w:t xml:space="preserve">Removed</w:t>
            </w:r>
          </w:p>
        </w:tc>
        <w:tc>
          <w:tcPr>
            <w:tcW w:type="dxa" w:w="3120"/>
            <w:tcBorders>
              <w:top w:val="single" w:color="B0BEC5" w:sz="1"/>
              <w:left w:val="single" w:color="B0BEC5" w:sz="1"/>
              <w:bottom w:val="single" w:color="B0BEC5" w:sz="1"/>
              <w:right w:val="single" w:color="B0BEC5" w:sz="1"/>
            </w:tcBorders>
            <w:shd w:fill="F8FAFC" w:val="clear"/>
            <w:tcMar>
              <w:top w:type="dxa" w:w="60"/>
              <w:left w:type="dxa" w:w="120"/>
              <w:bottom w:type="dxa" w:w="60"/>
              <w:right w:type="dxa" w:w="120"/>
            </w:tcMar>
          </w:tcPr>
          <w:p>
            <w:r>
              <w:rPr>
                <w:rFonts w:ascii="Arial" w:cs="Arial" w:eastAsia="Arial" w:hAnsi="Arial"/>
                <w:b w:val="false"/>
                <w:bCs w:val="false"/>
                <w:color w:val="1A1A1A"/>
                <w:sz w:val="20"/>
                <w:szCs w:val="20"/>
              </w:rPr>
              <w:t xml:space="preserve">BestTime replaces scraping</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E7D32" w:sz="12"/>
              <w:bottom w:val="none" w:sz="0"/>
              <w:right w:val="none" w:sz="0"/>
            </w:tcBorders>
            <w:shd w:fill="F0F4F8" w:val="clear"/>
            <w:tcMar>
              <w:top w:type="dxa" w:w="120"/>
              <w:left w:type="dxa" w:w="200"/>
              <w:bottom w:type="dxa" w:w="120"/>
              <w:right w:type="dxa" w:w="200"/>
            </w:tcMar>
          </w:tcPr>
          <w:p>
            <w:pPr>
              <w:spacing w:after="80"/>
            </w:pPr>
            <w:r>
              <w:rPr>
                <w:rFonts w:ascii="Arial" w:cs="Arial" w:eastAsia="Arial" w:hAnsi="Arial"/>
                <w:b/>
                <w:bCs/>
                <w:color w:val="2E7D32"/>
                <w:sz w:val="22"/>
                <w:szCs w:val="22"/>
              </w:rPr>
              <w:t xml:space="preserve">BOTTOM LINE</w:t>
            </w:r>
          </w:p>
          <w:p>
            <w:pPr>
              <w:spacing w:after="160"/>
            </w:pPr>
            <w:r>
              <w:rPr>
                <w:rFonts w:ascii="Arial" w:cs="Arial" w:eastAsia="Arial" w:hAnsi="Arial"/>
                <w:color w:val="1A1A1A"/>
                <w:sz w:val="22"/>
                <w:szCs w:val="22"/>
              </w:rPr>
              <w:t xml:space="preserve">This revised architecture gets 80% of the value at 50% of the complexity. It avoids the Puppeteer-on-Vercel trap that would eat days of debugging, adds three high-value free data sources (Walk Score, LEHD, EPA), and replaces the riskiest part of the original spec (scraping) with a $9/month API that delivers the exact same data.</w:t>
            </w:r>
          </w:p>
          <w:p>
            <w:pPr>
              <w:spacing w:after="160"/>
            </w:pPr>
            <w:r>
              <w:rPr>
                <w:rFonts w:ascii="Arial" w:cs="Arial" w:eastAsia="Arial" w:hAnsi="Arial"/>
                <w:color w:val="1A1A1A"/>
                <w:sz w:val="22"/>
                <w:szCs w:val="22"/>
              </w:rPr>
              <w:t xml:space="preserve">Tell Pax to start with the aggregator module and the BestTime/Walk Score integrations — those are the highest-impact, lowest-risk pieces.</w:t>
            </w:r>
          </w:p>
        </w:tc>
      </w:tr>
    </w:tbl>
    <w:p>
      <w:pPr>
        <w:spacing w:after="200"/>
      </w:pPr>
    </w:p>
    <w:p>
      <w:pPr>
        <w:pBdr>
          <w:bottom w:val="single" w:color="2E75B6" w:sz="6" w:space="1"/>
        </w:pBdr>
        <w:spacing w:before="200" w:after="200"/>
      </w:pPr>
    </w:p>
    <w:p>
      <w:pPr>
        <w:spacing w:after="160"/>
      </w:pPr>
      <w:r>
        <w:rPr>
          <w:rFonts w:ascii="Arial" w:cs="Arial" w:eastAsia="Arial" w:hAnsi="Arial"/>
          <w:color w:val="718096"/>
          <w:sz w:val="22"/>
          <w:szCs w:val="22"/>
        </w:rPr>
        <w:t xml:space="preserve">Sources consulted: Placer.ai, BestTime.app, Walk Score API, EPA Smart Location Database, Census LEHD/LODES, SafeGraph/Dewey, Datarade marketplace.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8096"/>
        <w:sz w:val="18"/>
        <w:szCs w:val="18"/>
      </w:rPr>
      <w:t xml:space="preserve">Page </w:t>
    </w:r>
    <w:r>
      <w:rPr>
        <w:rFonts w:ascii="Arial" w:cs="Arial" w:eastAsia="Arial" w:hAnsi="Arial"/>
        <w:color w:val="71809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pPr>
    <w:r>
      <w:rPr>
        <w:rFonts w:ascii="Arial" w:cs="Arial" w:eastAsia="Arial" w:hAnsi="Arial"/>
        <w:color w:val="4A5568"/>
        <w:sz w:val="18"/>
        <w:szCs w:val="18"/>
      </w:rPr>
      <w:t xml:space="preserve">VendRadar PRD</w:t>
    </w:r>
    <w:r>
      <w:rPr>
        <w:rFonts w:ascii="Arial" w:cs="Arial" w:eastAsia="Arial" w:hAnsi="Arial"/>
        <w:color w:val="4A5568"/>
        <w:sz w:val="18"/>
        <w:szCs w:val="18"/>
      </w:rPr>
      <w:t xml:space="preserve">	Foot Traffic Aggregator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3A5C"/>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A3A5C"/>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1A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2026-02-19T19:51:45.078Z</dcterms:created>
  <dcterms:modified xsi:type="dcterms:W3CDTF">2026-02-19T19:51:45.078Z</dcterms:modified>
</cp:coreProperties>
</file>

<file path=docProps/custom.xml><?xml version="1.0" encoding="utf-8"?>
<Properties xmlns="http://schemas.openxmlformats.org/officeDocument/2006/custom-properties" xmlns:vt="http://schemas.openxmlformats.org/officeDocument/2006/docPropsVTypes"/>
</file>