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20" w:before="0" w:line="240" w:lineRule="auto"/>
        <w:jc w:val="center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COATL mmWave RADAR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20" w:before="0" w:line="240" w:lineRule="auto"/>
        <w:jc w:val="center"/>
        <w:rPr>
          <w:sz w:val="40"/>
          <w:szCs w:val="40"/>
        </w:rPr>
      </w:pPr>
      <w:bookmarkStart w:colFirst="0" w:colLast="0" w:name="_53kguzeebapm" w:id="1"/>
      <w:bookmarkEnd w:id="1"/>
      <w:r w:rsidDel="00000000" w:rsidR="00000000" w:rsidRPr="00000000">
        <w:rPr>
          <w:sz w:val="40"/>
          <w:szCs w:val="40"/>
          <w:rtl w:val="0"/>
        </w:rPr>
        <w:t xml:space="preserve">Design and Ethics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550"/>
        <w:tblGridChange w:id="0">
          <w:tblGrid>
            <w:gridCol w:w="1800"/>
            <w:gridCol w:w="855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Capstone Team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Capstone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COATL mmWave RADAR</w:t>
            </w:r>
          </w:p>
        </w:tc>
      </w:tr>
      <w:tr>
        <w:trPr>
          <w:cantSplit w:val="0"/>
          <w:trHeight w:val="219.72656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Henry Sanders, Wallace McKenzie, Chris Kane-Pardy, Kamal Smith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>
          <w:sz w:val="36"/>
          <w:szCs w:val="36"/>
        </w:rPr>
      </w:pPr>
      <w:bookmarkStart w:colFirst="0" w:colLast="0" w:name="_30j0zll" w:id="2"/>
      <w:bookmarkEnd w:id="2"/>
      <w:r w:rsidDel="00000000" w:rsidR="00000000" w:rsidRPr="00000000">
        <w:rPr>
          <w:sz w:val="36"/>
          <w:szCs w:val="36"/>
          <w:rtl w:val="0"/>
        </w:rPr>
        <w:t xml:space="preserve">Design Considerations</w:t>
      </w:r>
    </w:p>
    <w:tbl>
      <w:tblPr>
        <w:tblStyle w:val="Table2"/>
        <w:tblW w:w="10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1485"/>
        <w:gridCol w:w="6735"/>
        <w:tblGridChange w:id="0">
          <w:tblGrid>
            <w:gridCol w:w="2130"/>
            <w:gridCol w:w="148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Consideration: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Yes/No/ Possibly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Why?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0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Public health, safety, and welfare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Possibly</w:t>
            </w:r>
          </w:p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While there is no significant direct impact on public health, safety, or welfare, there remains a minor risk associated with potential radar leakage from the container used to measure the moisture content of coffee beans. However, the likelihood and impact are considered very low.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Global factors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 of the XM125 radar for measuring coffee bean moisture content is unlikely to have any global impact. The radar emits minimal energy and operates within non-ionizing radiation parameters, posing negligible risk.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Cultural factors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Possibly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There could be a positive cultural impact, as the introduction of a low-cost, accurate moisture detection method could benefit coffee producers, particularly small-scale and specialty roasters.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Environmental factors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Possibly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Similar to public health considerations, there is a minor potential for radar emissions to leak from the container. However, the environmental impact is expected to be very low and unlikely to affect people, animals, or ecosystems significantly.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Economic factors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device has the potential to significantly lower the cost of measuring moisture content in green coffee beans, creating a positive economic impact. This may lead to lower prices across the coffee production and roasting industries, benefiting consumers and small businesses.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>
          <w:sz w:val="36"/>
          <w:szCs w:val="36"/>
        </w:rPr>
      </w:pPr>
      <w:bookmarkStart w:colFirst="0" w:colLast="0" w:name="_1fob9te" w:id="3"/>
      <w:bookmarkEnd w:id="3"/>
      <w:r w:rsidDel="00000000" w:rsidR="00000000" w:rsidRPr="00000000">
        <w:rPr>
          <w:sz w:val="36"/>
          <w:szCs w:val="36"/>
          <w:rtl w:val="0"/>
        </w:rPr>
        <w:t xml:space="preserve">Ethics Considerations</w:t>
      </w:r>
    </w:p>
    <w:tbl>
      <w:tblPr>
        <w:tblStyle w:val="Table3"/>
        <w:tblW w:w="103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1470"/>
        <w:gridCol w:w="6780"/>
        <w:tblGridChange w:id="0">
          <w:tblGrid>
            <w:gridCol w:w="2130"/>
            <w:gridCol w:w="14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Consideration: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Yes/No/Possibly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Why?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Global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There are no expected global ethical concerns associated with this project. The radar device operates at low power and uses non-ionizing radiation, making it safe for widespread use.</w:t>
            </w:r>
          </w:p>
        </w:tc>
      </w:tr>
      <w:tr>
        <w:trPr>
          <w:cantSplit w:val="0"/>
          <w:trHeight w:val="334.4531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Economic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significant ethical issues are anticipated regarding the economic impact of the device.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Environmental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Possibly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an ethical standpoint, minor environmental concerns could arise if radar emissions were to leak and interfere with nearby devices or living beings. However, the risk is minimal and manageable.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Societal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Possibly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There is a slight ethical consideration regarding societal impacts. Smaller coffee roasters may initially experience slightly less accurate measurements compared to high-end devices like the RM-800 from Roastrite. However, future iterations and improvements to the system are expected to address any performance gaps over time.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54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spacing w:after="20" w:line="240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spacing w:after="20" w:line="240" w:lineRule="auto"/>
      <w:jc w:val="right"/>
      <w:rPr/>
    </w:pPr>
    <w:r w:rsidDel="00000000" w:rsidR="00000000" w:rsidRPr="00000000">
      <w:rPr>
        <w:rtl w:val="0"/>
      </w:rPr>
      <w:t xml:space="preserve">Kamal Smith</w:t>
    </w:r>
  </w:p>
  <w:p w:rsidR="00000000" w:rsidDel="00000000" w:rsidP="00000000" w:rsidRDefault="00000000" w:rsidRPr="00000000" w14:paraId="00000032">
    <w:pPr>
      <w:spacing w:after="20" w:line="240" w:lineRule="auto"/>
      <w:jc w:val="right"/>
      <w:rPr/>
    </w:pPr>
    <w:r w:rsidDel="00000000" w:rsidR="00000000" w:rsidRPr="00000000">
      <w:rPr>
        <w:rtl w:val="0"/>
      </w:rPr>
      <w:t xml:space="preserve">Henry Sanders</w:t>
    </w:r>
  </w:p>
  <w:p w:rsidR="00000000" w:rsidDel="00000000" w:rsidP="00000000" w:rsidRDefault="00000000" w:rsidRPr="00000000" w14:paraId="00000033">
    <w:pPr>
      <w:spacing w:after="20" w:line="240" w:lineRule="auto"/>
      <w:jc w:val="right"/>
      <w:rPr/>
    </w:pPr>
    <w:r w:rsidDel="00000000" w:rsidR="00000000" w:rsidRPr="00000000">
      <w:rPr>
        <w:rtl w:val="0"/>
      </w:rPr>
      <w:t xml:space="preserve">Chris Kane-Pardy</w:t>
    </w:r>
  </w:p>
  <w:p w:rsidR="00000000" w:rsidDel="00000000" w:rsidP="00000000" w:rsidRDefault="00000000" w:rsidRPr="00000000" w14:paraId="00000034">
    <w:pPr>
      <w:spacing w:after="20" w:line="240" w:lineRule="auto"/>
      <w:jc w:val="right"/>
      <w:rPr/>
    </w:pPr>
    <w:r w:rsidDel="00000000" w:rsidR="00000000" w:rsidRPr="00000000">
      <w:rPr>
        <w:rtl w:val="0"/>
      </w:rPr>
      <w:t xml:space="preserve">Wallace McKenzie</w:t>
    </w:r>
  </w:p>
  <w:p w:rsidR="00000000" w:rsidDel="00000000" w:rsidP="00000000" w:rsidRDefault="00000000" w:rsidRPr="00000000" w14:paraId="00000035">
    <w:pPr>
      <w:spacing w:after="20" w:line="240" w:lineRule="auto"/>
      <w:jc w:val="right"/>
      <w:rPr/>
    </w:pPr>
    <w:r w:rsidDel="00000000" w:rsidR="00000000" w:rsidRPr="00000000">
      <w:rPr>
        <w:rtl w:val="0"/>
      </w:rPr>
      <w:t xml:space="preserve">25 April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