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4"/>
            <w:szCs w:val="24"/>
            <w:u w:val="single"/>
            <w:rtl w:val="0"/>
          </w:rPr>
          <w:t xml:space="preserve">XE125 Evaluation Board Product Brief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Power: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XE125 is powered via the USB connector J1 and/or via the pin header J8. The USB 5V power domain supplies the USB-UART chip (U2). If the USB-UART interface is not used, a dedicated USB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charger can be used.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power pin header J8 provides the possibility to supply the XM125 module with power from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external power supplies. In Table 1, the pin assignment of J8 is shown:</w:t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438775" cy="1114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It seems like the best choice for use, due to both ease and modularity will be to power the device via the USB connector, either in parallel to the ESP-32 from our power supply, or the ESP-32.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Inter-Integrated Circuit (I2C) - ESP32-S3 - — ESP-IDF Programming Guide v5.4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Above is documentation regarding programming I2C on the ESP-32 S3, it’s pinouts are given in the datasheet from the adafruit: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Pinouts | Adafruit ESP32-S3 Feather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 this, it appears that SDA and SCL or the designated I2C connectors will be sufficient.</w:t>
      </w:r>
    </w:p>
    <w:p w:rsidR="00000000" w:rsidDel="00000000" w:rsidP="00000000" w:rsidRDefault="00000000" w:rsidRPr="00000000" w14:paraId="00000011">
      <w:pPr>
        <w:jc w:val="center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</w:rPr>
        <w:drawing>
          <wp:inline distB="114300" distT="114300" distL="114300" distR="114300">
            <wp:extent cx="270510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</w:rPr>
        <w:drawing>
          <wp:inline distB="114300" distT="114300" distL="114300" distR="114300">
            <wp:extent cx="2519363" cy="8671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86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783330" cy="1677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072" l="3028" r="2401" t="2536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67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773045" cy="53197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045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adafruit.com/adafruit-esp32-s3-feather/pinou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ser.com/datasheet/2/1126/XE125_Product_Brief-3133230.pdf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docs.espressif.com/projects/esp-idf/en/stable/esp32s3/api-reference/peripherals/i2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