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CONFIDENTIAL PRIVATE PLACEMENT MEMORANDUM</w:t>
      </w:r>
    </w:p>
    <w:p>
      <w:r>
        <w:t>Global Markets Consulting, LP</w:t>
        <w:br/>
        <w:t>A Delaware Limited Partnership</w:t>
        <w:br/>
        <w:br/>
        <w:t>Offering of Limited Partnership Interests</w:t>
        <w:br/>
        <w:t>Date: __________</w:t>
        <w:br/>
      </w:r>
    </w:p>
    <w:p>
      <w:pPr>
        <w:pStyle w:val="Heading1"/>
      </w:pPr>
      <w:r>
        <w:t>IMPORTANT NOTICE</w:t>
      </w:r>
    </w:p>
    <w:p>
      <w:r>
        <w:br/>
        <w:t xml:space="preserve">This Confidential Private Placement Memorandum (this “Memorandum”) contains confidential </w:t>
        <w:br/>
        <w:t xml:space="preserve">and proprietary information regarding Global Markets Consulting, LP (the “Fund”), a Delaware </w:t>
        <w:br/>
        <w:t xml:space="preserve">limited partnership. This Memorandum is being furnished solely to qualified investors for the </w:t>
        <w:br/>
        <w:t xml:space="preserve">purpose of evaluating a potential investment in the Fund and may not be reproduced or </w:t>
        <w:br/>
        <w:t>distributed without express written consent.</w:t>
        <w:br/>
        <w:br/>
        <w:t xml:space="preserve">THE SECURITIES OFFERED HEREBY HAVE NOT BEEN REGISTERED UNDER THE </w:t>
        <w:br/>
        <w:t xml:space="preserve">SECURITIES ACT OF 1933, AS AMENDED, OR THE SECURITIES LAWS OF ANY STATE </w:t>
        <w:br/>
        <w:t xml:space="preserve">AND ARE BEING OFFERED AND SOLD IN RELIANCE ON RULE 506(b) UNDER </w:t>
        <w:br/>
        <w:t>REGULATION D AND OTHER EXEMPTIONS FROM SUCH REGISTRATION REQUIREMENTS.</w:t>
        <w:br/>
      </w:r>
    </w:p>
    <w:p>
      <w:pPr>
        <w:pStyle w:val="Heading1"/>
      </w:pPr>
      <w:r>
        <w:t>TABLE OF CONTENTS</w:t>
      </w:r>
    </w:p>
    <w:p>
      <w:r>
        <w:t>1. Executive Summary</w:t>
      </w:r>
    </w:p>
    <w:p>
      <w:r>
        <w:t>2. Fund Overview &amp; Investment Objective</w:t>
      </w:r>
    </w:p>
    <w:p>
      <w:r>
        <w:t>3. Investment Strategy &amp; Methodology</w:t>
      </w:r>
    </w:p>
    <w:p>
      <w:r>
        <w:t>4. Terms of the Offering</w:t>
      </w:r>
    </w:p>
    <w:p>
      <w:r>
        <w:t>5. Fee Structure</w:t>
      </w:r>
    </w:p>
    <w:p>
      <w:r>
        <w:t>6. Risk Factors</w:t>
      </w:r>
    </w:p>
    <w:p>
      <w:r>
        <w:t>7. Management &amp; Governance</w:t>
      </w:r>
    </w:p>
    <w:p>
      <w:r>
        <w:t>8. Investor Rights &amp; Restrictions</w:t>
      </w:r>
    </w:p>
    <w:p>
      <w:r>
        <w:t>9. Tax Considerations</w:t>
      </w:r>
    </w:p>
    <w:p>
      <w:r>
        <w:t>10. Subscription Process</w:t>
      </w:r>
    </w:p>
    <w:p>
      <w:r>
        <w:t>11. Reporting &amp; Transparency</w:t>
      </w:r>
    </w:p>
    <w:p>
      <w:r>
        <w:t>12. General Partner Rights &amp; Protections</w:t>
      </w:r>
    </w:p>
    <w:p>
      <w:pPr>
        <w:pStyle w:val="Heading1"/>
      </w:pPr>
      <w:r>
        <w:t>1. EXECUTIVE SUMMARY</w:t>
      </w:r>
    </w:p>
    <w:p>
      <w:r>
        <w:br/>
        <w:t>Fund Name: Global Markets Consulting, LP</w:t>
        <w:br/>
        <w:t>Fund Type: Delaware Limited Partnership</w:t>
        <w:br/>
        <w:t>General Partner: Global Markets Consulting, LLC</w:t>
        <w:br/>
        <w:t>Managing Members: Christopher Guccio and Daniel Usmanov</w:t>
        <w:br/>
        <w:t>Investment Focus: AI-driven systematic trading across digital assets, equities, and commodities</w:t>
        <w:br/>
        <w:t>Target Investors: Accredited investors, qualified institutional buyers, and family offices</w:t>
        <w:br/>
        <w:t>Minimum Investment: $50,000 (GP discretion to accept less)</w:t>
        <w:br/>
        <w:t>Management Fee: 2% annually on net assets under management (including leverage and reserves)</w:t>
        <w:br/>
        <w:t>Performance Allocation: 20% to General Partner, 80% to Limited Partners, subject to 6% preferred return and high-water mark</w:t>
        <w:br/>
        <w:t>Lock-up Period: 12 months initial lock-up, followed by quarterly redemptions with 90-day notice</w:t>
        <w:br/>
        <w:t>Target Outcome: Attractive risk-adjusted returns above traditional benchmarks</w:t>
        <w:br/>
        <w:t>Leverage: Up to 3:1 leverage at General Partner’s discretion</w:t>
        <w:br/>
      </w:r>
    </w:p>
    <w:p>
      <w:pPr>
        <w:pStyle w:val="Heading1"/>
      </w:pPr>
      <w:r>
        <w:t>2. FUND OVERVIEW &amp; INVESTMENT OBJECTIVE</w:t>
      </w:r>
    </w:p>
    <w:p>
      <w:r>
        <w:br/>
        <w:t xml:space="preserve">Global Markets Consulting, LP seeks to generate superior risk-adjusted returns through </w:t>
        <w:br/>
        <w:t xml:space="preserve">quantitative, AI-driven systematic trading strategies across multiple asset classes. </w:t>
        <w:br/>
        <w:t>The Fund is managed by Global Markets Consulting, LLC. Jurisdiction: Delaware, with operations in Delaware and Florida.</w:t>
        <w:br/>
      </w:r>
    </w:p>
    <w:p>
      <w:pPr>
        <w:pStyle w:val="Heading1"/>
      </w:pPr>
      <w:r>
        <w:t>3. INVESTMENT STRATEGY &amp; METHODOLOGY</w:t>
      </w:r>
    </w:p>
    <w:p>
      <w:r>
        <w:br/>
        <w:t xml:space="preserve">Core strategy: proprietary machine learning models, statistical arbitrage, momentum/mean-reversion, </w:t>
        <w:br/>
        <w:t xml:space="preserve">high-frequency and medium-frequency strategies. </w:t>
        <w:br/>
        <w:t>Asset classes: Digital Assets (30–60%), Equities (20–40%), Commodities (10–30%), Cash (0–20%).</w:t>
        <w:br/>
        <w:t>Risk management includes real-time monitoring, dynamic rebalancing, drawdown controls, and stress testing.</w:t>
        <w:br/>
      </w:r>
    </w:p>
    <w:p>
      <w:pPr>
        <w:pStyle w:val="Heading1"/>
      </w:pPr>
      <w:r>
        <w:t>4. TERMS OF THE OFFERING</w:t>
      </w:r>
    </w:p>
    <w:p>
      <w:r>
        <w:br/>
        <w:t>Securities Offered: LP interests</w:t>
        <w:br/>
        <w:t>Minimum Investment: $50,000</w:t>
        <w:br/>
        <w:t>Maximum Fund Size: $100M</w:t>
        <w:br/>
        <w:t>Capital Calls: 100% initial funding</w:t>
        <w:br/>
        <w:t>Lock-up: 12 months</w:t>
        <w:br/>
        <w:t>Redemptions: Quarterly thereafter with 90-day notice</w:t>
        <w:br/>
        <w:t>Redemption Fees: 2% if within 24 months</w:t>
        <w:br/>
        <w:t>Redemption Gates: 25% NAV per quarter</w:t>
        <w:br/>
        <w:t>GP may suspend redemptions in extraordinary market conditions.</w:t>
        <w:br/>
      </w:r>
    </w:p>
    <w:p>
      <w:pPr>
        <w:pStyle w:val="Heading1"/>
      </w:pPr>
      <w:r>
        <w:t>5. FEE STRUCTURE</w:t>
      </w:r>
    </w:p>
    <w:p>
      <w:r>
        <w:br/>
        <w:t>Management Fee: 2% per annum on net assets (includes leverage/reserves)</w:t>
        <w:br/>
        <w:t>Performance Allocation: 20% of net profits after 6% preferred return, subject to high-water mark</w:t>
        <w:br/>
        <w:t>Other Fees: Operating expenses, legal, accounting, audit, technology, execution, compliance</w:t>
        <w:br/>
      </w:r>
    </w:p>
    <w:p>
      <w:pPr>
        <w:pStyle w:val="Heading1"/>
      </w:pPr>
      <w:r>
        <w:t>6. RISK FACTORS</w:t>
      </w:r>
    </w:p>
    <w:p>
      <w:r>
        <w:br/>
        <w:t xml:space="preserve">Includes: market volatility (crypto, equities, commodities), model risk, liquidity, counterparty, </w:t>
        <w:br/>
        <w:t xml:space="preserve">cybersecurity, regulatory changes, reliance on key personnel, limited operating history. </w:t>
        <w:br/>
        <w:t>LPs explicitly assume custody risk in digital assets.</w:t>
        <w:br/>
      </w:r>
    </w:p>
    <w:p>
      <w:pPr>
        <w:pStyle w:val="Heading1"/>
      </w:pPr>
      <w:r>
        <w:t>7. MANAGEMENT &amp; GOVERNANCE</w:t>
      </w:r>
    </w:p>
    <w:p>
      <w:r>
        <w:br/>
        <w:t xml:space="preserve">General Partner retains full discretion over investment/trading decisions. </w:t>
        <w:br/>
        <w:t xml:space="preserve">Advisory Board (non-binding, GP-selected) provides investor optics. </w:t>
        <w:br/>
        <w:t xml:space="preserve">Key person provisions tied to principals. </w:t>
        <w:br/>
        <w:t xml:space="preserve">Indemnification: GP not liable except in cases of willful misconduct or bad faith. </w:t>
        <w:br/>
      </w:r>
    </w:p>
    <w:p>
      <w:pPr>
        <w:pStyle w:val="Heading1"/>
      </w:pPr>
      <w:r>
        <w:t>8. INVESTOR RIGHTS &amp; RESTRICTIONS</w:t>
      </w:r>
    </w:p>
    <w:p>
      <w:r>
        <w:br/>
        <w:t xml:space="preserve">Quarterly reports, annual audited financials, monthly NAV by independent administrator. </w:t>
        <w:br/>
        <w:t xml:space="preserve">Annual investor call. </w:t>
        <w:br/>
        <w:t xml:space="preserve">Transfer restrictions: No public market, GP consent required, subject to securities law. </w:t>
        <w:br/>
      </w:r>
    </w:p>
    <w:p>
      <w:pPr>
        <w:pStyle w:val="Heading1"/>
      </w:pPr>
      <w:r>
        <w:t>9. TAX CONSIDERATIONS</w:t>
      </w:r>
    </w:p>
    <w:p>
      <w:r>
        <w:br/>
        <w:t xml:space="preserve">Partnership tax treatment; investors receive K-1 forms. </w:t>
        <w:br/>
        <w:t xml:space="preserve">Income allocated whether or not distributed. </w:t>
        <w:br/>
        <w:t xml:space="preserve">Investors should consult their tax advisors. </w:t>
        <w:br/>
      </w:r>
    </w:p>
    <w:p>
      <w:pPr>
        <w:pStyle w:val="Heading1"/>
      </w:pPr>
      <w:r>
        <w:t>10. SUBSCRIPTION PROCESS</w:t>
      </w:r>
    </w:p>
    <w:p>
      <w:r>
        <w:br/>
        <w:t xml:space="preserve">Accredited investors only. Subscription documents include Subscription Agreement, </w:t>
        <w:br/>
        <w:t xml:space="preserve">LPA, AML/KYC compliance, tax forms. </w:t>
        <w:br/>
        <w:t xml:space="preserve">Funds wired upon acceptance. </w:t>
        <w:br/>
      </w:r>
    </w:p>
    <w:p>
      <w:pPr>
        <w:pStyle w:val="Heading1"/>
      </w:pPr>
      <w:r>
        <w:t>11. REPORTING &amp; TRANSPARENCY</w:t>
      </w:r>
    </w:p>
    <w:p>
      <w:r>
        <w:br/>
        <w:t xml:space="preserve">Monthly NAV statements (via administrator), quarterly reports, annual audited financials. </w:t>
        <w:br/>
        <w:t xml:space="preserve">Investors may contact GP for additional inquiries. </w:t>
        <w:br/>
      </w:r>
    </w:p>
    <w:p>
      <w:pPr>
        <w:pStyle w:val="Heading1"/>
      </w:pPr>
      <w:r>
        <w:t>12. GENERAL PARTNER RIGHTS &amp; PROTECTIONS</w:t>
      </w:r>
    </w:p>
    <w:p>
      <w:r>
        <w:br/>
        <w:t xml:space="preserve">GP may modify strategies, impose capacity limits, or suspend redemptions in stress periods. </w:t>
        <w:br/>
        <w:t xml:space="preserve">Broad indemnification provided to GP. </w:t>
        <w:br/>
        <w:t>Business judgment rule protects GP decisions absent bad faith/willful misconduct.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