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 Export Behavior</w:t>
      </w:r>
    </w:p>
    <w:p>
      <w:r>
        <w:t>LibreOffice headless mode runs without its user interface. [C03]</w:t>
      </w:r>
    </w:p>
    <w:p>
      <w:pPr>
        <w:pStyle w:val="Heading2"/>
      </w:pPr>
      <w:r>
        <w:t>Conversion options</w:t>
      </w:r>
    </w:p>
    <w:p>
      <w:r>
        <w:t>LibreOffice accepts PDF as an output format and lets the operator choose the output folder. [C04]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</w:trPr>
        <w:tc>
          <w:tcPr>
            <w:tcW w:type="dxa" w:w="4968"/>
            <w:shd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>Option</w:t>
            </w:r>
          </w:p>
        </w:tc>
        <w:tc>
          <w:tcPr>
            <w:tcW w:type="dxa" w:w="4968"/>
            <w:shd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96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--headless</w:t>
            </w:r>
          </w:p>
        </w:tc>
        <w:tc>
          <w:tcPr>
            <w:tcW w:type="dxa" w:w="496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Starts without the application interface. [C03]</w:t>
            </w:r>
          </w:p>
        </w:tc>
      </w:tr>
      <w:tr>
        <w:tc>
          <w:tcPr>
            <w:tcW w:type="dxa" w:w="496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--convert-to pdf</w:t>
            </w:r>
          </w:p>
        </w:tc>
        <w:tc>
          <w:tcPr>
            <w:tcW w:type="dxa" w:w="496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Selects PDF output. [C04]</w:t>
            </w:r>
          </w:p>
        </w:tc>
      </w:tr>
      <w:tr>
        <w:tc>
          <w:tcPr>
            <w:tcW w:type="dxa" w:w="496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--outdir</w:t>
            </w:r>
          </w:p>
        </w:tc>
        <w:tc>
          <w:tcPr>
            <w:tcW w:type="dxa" w:w="496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Selects the output directory. [C04]</w:t>
            </w:r>
          </w:p>
        </w:tc>
      </w:tr>
    </w:tbl>
    <w:p>
      <w:r>
        <w:br w:type="page"/>
      </w:r>
    </w:p>
    <w:p>
      <w:pPr>
        <w:pStyle w:val="Heading2"/>
      </w:pPr>
      <w:r>
        <w:t>Documented command shape</w:t>
      </w:r>
    </w:p>
    <w:p>
      <w:r>
        <w:t>The official guide shows PDF conversion with an output folder. [C04]</w:t>
      </w:r>
    </w:p>
    <w:p>
      <w:r>
        <w:rPr>
          <w:rFonts w:ascii="Courier New" w:hAnsi="Courier New"/>
          <w:sz w:val="18"/>
        </w:rPr>
        <w:t>soffice --headless --convert-to pdf --outdir reviewed report.doc</w:t>
        <w:br/>
        <w:t># Command options reference [C04]</w:t>
      </w:r>
    </w:p>
    <w:p>
      <w:pPr>
        <w:pStyle w:val="Heading2"/>
      </w:pPr>
      <w:r>
        <w:t>References</w:t>
      </w:r>
    </w:p>
    <w:p>
      <w:pPr>
        <w:pStyle w:val="ListBullet"/>
      </w:pPr>
      <w:r>
        <w:t>[C03] LibreOffice command options; libreoffice-start-parameters.md; lines 76</w:t>
      </w:r>
    </w:p>
    <w:p>
      <w:pPr>
        <w:pStyle w:val="ListBullet"/>
      </w:pPr>
      <w:r>
        <w:t>[C04] LibreOffice command options; libreoffice-start-parameters.md; lines 132</w:t>
      </w:r>
    </w:p>
    <w:sectPr w:rsidR="00FC693F" w:rsidRPr="0006063C" w:rsidSect="00034616">
      <w:footerReference w:type="default" r:id="rId9"/>
      <w:pgSz w:w="12240" w:h="15840"/>
      <w:pgMar w:top="1152" w:right="1152" w:bottom="129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1371600" cy="33762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egion-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37625"/>
                  </a:xfrm>
                  <a:prstGeom prst="rect"/>
                </pic:spPr>
              </pic:pic>
            </a:graphicData>
          </a:graphic>
        </wp:inline>
      </w:drawing>
    </w:r>
    <w:r>
      <w:rPr>
        <w:sz w:val="16"/>
      </w:rPr>
      <w:br/>
      <w:t xml:space="preserve">Prepared by Legion Code Inc.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6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Export Behavior</dc:title>
  <dc:subject/>
  <dc:creator>Legion Code Inc.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