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project-milestone-3-cost-of-capital-memo"/>
    <w:p>
      <w:pPr>
        <w:pStyle w:val="Heading1"/>
      </w:pPr>
      <w:r>
        <w:rPr>
          <w:color w:val="000000"/>
        </w:rPr>
        <w:t xml:space="preserve">Project Milestone 3: Cost of Capital Memo</w:t>
      </w:r>
    </w:p>
    <w:p>
      <w:pPr>
        <w:pStyle w:val="FirstParagraph"/>
      </w:pPr>
      <w:r>
        <w:rPr>
          <w:b/>
          <w:bCs/>
          <w:color w:val="000000"/>
        </w:rPr>
        <w:t xml:space="preserve">Company:</w:t>
      </w:r>
      <w:r>
        <w:rPr>
          <w:color w:val="000000"/>
        </w:rPr>
        <w:t xml:space="preserve"> </w:t>
      </w:r>
      <w:r>
        <w:rPr>
          <w:color w:val="000000"/>
        </w:rPr>
        <w:t xml:space="preserve">The Hershey Company (NYSE: HSY)</w:t>
      </w:r>
      <w:r>
        <w:rPr>
          <w:color w:val="000000"/>
        </w:rPr>
        <w:t xml:space="preserve"> </w:t>
      </w:r>
      <w:r>
        <w:rPr>
          <w:b/>
          <w:bCs/>
          <w:color w:val="000000"/>
        </w:rPr>
        <w:t xml:space="preserve">Team:</w:t>
      </w:r>
      <w:r>
        <w:rPr>
          <w:color w:val="000000"/>
        </w:rPr>
        <w:t xml:space="preserve"> </w:t>
      </w:r>
      <w:r>
        <w:rPr>
          <w:color w:val="000000"/>
        </w:rPr>
        <w:t xml:space="preserve">Chris Lester</w:t>
      </w:r>
      <w:r>
        <w:rPr>
          <w:color w:val="000000"/>
        </w:rPr>
        <w:t xml:space="preserve"> </w:t>
      </w:r>
      <w:r>
        <w:rPr>
          <w:b/>
          <w:bCs/>
          <w:color w:val="000000"/>
        </w:rPr>
        <w:t xml:space="preserve">Date:</w:t>
      </w:r>
      <w:r>
        <w:rPr>
          <w:color w:val="000000"/>
        </w:rPr>
        <w:t xml:space="preserve"> </w:t>
      </w:r>
      <w:r>
        <w:rPr>
          <w:color w:val="000000"/>
        </w:rPr>
        <w:t xml:space="preserve">2026-10-05</w:t>
      </w:r>
      <w:r>
        <w:rPr>
          <w:color w:val="000000"/>
        </w:rPr>
        <w:t xml:space="preserve"> </w:t>
      </w:r>
      <w:r>
        <w:rPr>
          <w:b/>
          <w:bCs/>
          <w:color w:val="000000"/>
        </w:rPr>
        <w:t xml:space="preserve">Conclusion:</w:t>
      </w:r>
      <w:r>
        <w:rPr>
          <w:color w:val="000000"/>
        </w:rPr>
        <w:t xml:space="preserve"> </w:t>
      </w:r>
      <w:r>
        <w:rPr>
          <w:color w:val="000000"/>
        </w:rPr>
        <w:t xml:space="preserve">Hershey’s weighted average cost of capital is 6.78 percent: a 7.11 percent cost of equity on 87.4 percent of the capital and a 4.49 percent after-tax cost of debt on 12.6 percent. No size, private-firm, or country risk adjustment applies. The inputs are on the WACC calculation tab of our Q&amp;D workbook [S9], and each one below is tagged Reported (R), Derived (D), or Estimate (E).</w:t>
      </w:r>
    </w:p>
    <w:bookmarkStart w:id="9" w:name="cost-of-equity-7.11-percent"/>
    <w:p>
      <w:pPr>
        <w:pStyle w:val="Heading2"/>
      </w:pPr>
      <w:r>
        <w:rPr>
          <w:color w:val="000000"/>
        </w:rPr>
        <w:t xml:space="preserve">1. Cost of equity: 7.11 percent</w:t>
      </w:r>
    </w:p>
    <w:p>
      <w:pPr>
        <w:pStyle w:val="FirstParagraph"/>
      </w:pPr>
      <w:r>
        <w:rPr>
          <w:color w:val="000000"/>
        </w:rPr>
        <w:t xml:space="preserve">Cost of equity = risk-free rate + beta x equity risk premium = 5.28% + 0.4102 x 4.46% = 7.11%.</w:t>
      </w:r>
    </w:p>
    <w:p>
      <w:pPr>
        <w:pStyle w:val="BodyText"/>
      </w:pPr>
      <w:r>
        <w:rPr>
          <w:b/>
          <w:bCs/>
          <w:color w:val="000000"/>
        </w:rPr>
        <w:t xml:space="preserve">Risk-free rate, 5.28 percent (R).</w:t>
      </w:r>
      <w:r>
        <w:rPr>
          <w:color w:val="000000"/>
        </w:rPr>
        <w:t xml:space="preserve"> </w:t>
      </w:r>
      <w:r>
        <w:rPr>
          <w:color w:val="000000"/>
        </w:rPr>
        <w:t xml:space="preserve">The 10-year US Treasury par yield on October 2, 2026 [S13]. Our cash flows are in US dollars, so a US Treasury rate is the default-free rate that matches them.</w:t>
      </w:r>
    </w:p>
    <w:p>
      <w:pPr>
        <w:pStyle w:val="BodyText"/>
      </w:pPr>
      <w:r>
        <w:rPr>
          <w:b/>
          <w:bCs/>
          <w:color w:val="000000"/>
        </w:rPr>
        <w:t xml:space="preserve">Equity risk premium, 4.46 percent (R).</w:t>
      </w:r>
      <w:r>
        <w:rPr>
          <w:color w:val="000000"/>
        </w:rPr>
        <w:t xml:space="preserve"> </w:t>
      </w:r>
      <w:r>
        <w:rPr>
          <w:color w:val="000000"/>
        </w:rPr>
        <w:t xml:space="preserve">Damodaran’s total equity risk premium for the United States, January 2026 [S12]. It is his implied premium for the S&amp;P 500 and already includes the US country default spread of 0.23 percent.</w:t>
      </w:r>
    </w:p>
    <w:p>
      <w:pPr>
        <w:pStyle w:val="BodyText"/>
      </w:pPr>
      <w:r>
        <w:rPr>
          <w:b/>
          <w:bCs/>
          <w:color w:val="000000"/>
        </w:rPr>
        <w:t xml:space="preserve">Beta, 0.4102 (E).</w:t>
      </w:r>
      <w:r>
        <w:rPr>
          <w:color w:val="000000"/>
        </w:rPr>
        <w:t xml:space="preserve"> </w:t>
      </w:r>
      <w:r>
        <w:rPr>
          <w:color w:val="000000"/>
        </w:rPr>
        <w:t xml:space="preserve">We ran a regression of Hershey’s monthly excess returns on the S&amp;P 500’s (SPY), with BIL as the risk-free return, over the 60 months from September 2021 to August 2026 [S14]. The raw beta is 0.1153 (D). Its standard error is 0.195 and the R-squared is 0.006, so the raw figure cannot be told apart from zero. We therefore use the adjusted beta, (2/3) x 0.1153 + (1/3) x 1 = 0.4102, which pulls a noisy estimate toward the market average of 1. This is our judgment (Chris Lester). A defensive consumer staple should have a low beta, but not one near zero.</w:t>
      </w:r>
    </w:p>
    <w:p>
      <w:pPr>
        <w:pStyle w:val="BodyText"/>
      </w:pPr>
      <w:r>
        <w:rPr>
          <w:b/>
          <w:bCs/>
          <w:color w:val="000000"/>
        </w:rPr>
        <w:t xml:space="preserve">Cross-check: bottom-up beta, 0.49 (D).</w:t>
      </w:r>
      <w:r>
        <w:rPr>
          <w:color w:val="000000"/>
        </w:rPr>
        <w:t xml:space="preserve"> </w:t>
      </w:r>
      <w:r>
        <w:rPr>
          <w:color w:val="000000"/>
        </w:rPr>
        <w:t xml:space="preserve">Damodaran’s 78 US food processing firms have an average beta of 0.61, a debt-to-equity ratio of 43.73 percent, and a tax rate of 10.37 percent [S10]. Unlevered: 0.61 / (1 + (1 - 0.1037) x 0.4373) = 0.44. Relevered at Hershey’s debt-to-equity of 14.37 percent (4,681 / 32,582.6) and our 22.96 percent tax rate: 0.44 x (1 + (1 - 0.2296) x 0.1437) = 0.49. On that beta the cost of equity would be 7.45 percent and the WACC 7.08 percent. Both methods put Hershey well below the market’s beta of 1. We keep the adjusted regression beta because it is the workbook’s input; Module 4’s sensitivity table will show what the 0.30-point difference in WACC does to value.</w:t>
      </w:r>
    </w:p>
    <w:bookmarkEnd w:id="9"/>
    <w:bookmarkStart w:id="10" w:name="Xdfc1b1226ed596c7d135583ca7520308a390ebe"/>
    <w:p>
      <w:pPr>
        <w:pStyle w:val="Heading2"/>
      </w:pPr>
      <w:r>
        <w:rPr>
          <w:color w:val="000000"/>
        </w:rPr>
        <w:t xml:space="preserve">2. Cost of debt: 5.83 percent before tax, 4.49 percent after tax</w:t>
      </w:r>
    </w:p>
    <w:p>
      <w:pPr>
        <w:pStyle w:val="FirstParagraph"/>
      </w:pPr>
      <w:r>
        <w:rPr>
          <w:b/>
          <w:bCs/>
          <w:color w:val="000000"/>
        </w:rPr>
        <w:t xml:space="preserve">Interest coverage, 7.58 (D).</w:t>
      </w:r>
      <w:r>
        <w:rPr>
          <w:color w:val="000000"/>
        </w:rPr>
        <w:t xml:space="preserve"> </w:t>
      </w:r>
      <w:r>
        <w:rPr>
          <w:color w:val="000000"/>
        </w:rPr>
        <w:t xml:space="preserve">FY2025 operating income of 1,441.5 divided by net interest expense of 190.2 [S1, pages 27 and 53].</w:t>
      </w:r>
    </w:p>
    <w:p>
      <w:pPr>
        <w:pStyle w:val="BodyText"/>
      </w:pPr>
      <w:r>
        <w:rPr>
          <w:b/>
          <w:bCs/>
          <w:color w:val="000000"/>
        </w:rPr>
        <w:t xml:space="preserve">Synthetic rating and spread, Aa2/AA and 0.55 percent (R).</w:t>
      </w:r>
      <w:r>
        <w:rPr>
          <w:color w:val="000000"/>
        </w:rPr>
        <w:t xml:space="preserve"> </w:t>
      </w:r>
      <w:r>
        <w:rPr>
          <w:color w:val="000000"/>
        </w:rPr>
        <w:t xml:space="preserve">For large non-financial firms, Damodaran’s table maps coverage between 6.5 and 8.5 to Aa2/AA with a 0.55 percent default spread (January 2026) [S11].</w:t>
      </w:r>
    </w:p>
    <w:p>
      <w:pPr>
        <w:pStyle w:val="BodyText"/>
      </w:pPr>
      <w:r>
        <w:rPr>
          <w:b/>
          <w:bCs/>
          <w:color w:val="000000"/>
        </w:rPr>
        <w:t xml:space="preserve">Pre-tax cost of debt, 5.83 percent (D).</w:t>
      </w:r>
      <w:r>
        <w:rPr>
          <w:color w:val="000000"/>
        </w:rPr>
        <w:t xml:space="preserve"> </w:t>
      </w:r>
      <w:r>
        <w:rPr>
          <w:color w:val="000000"/>
        </w:rPr>
        <w:t xml:space="preserve">5.28% + 0.55%. Hershey’s notes due 2028 to 2035, sold in February 2025, carry coupons of 4.55 to 5.10 percent, so the estimate is in line with what the company actually pays [S1].</w:t>
      </w:r>
    </w:p>
    <w:p>
      <w:pPr>
        <w:pStyle w:val="BodyText"/>
      </w:pPr>
      <w:r>
        <w:rPr>
          <w:b/>
          <w:bCs/>
          <w:color w:val="000000"/>
        </w:rPr>
        <w:t xml:space="preserve">Tax rate, 22.96 percent (D).</w:t>
      </w:r>
      <w:r>
        <w:rPr>
          <w:color w:val="000000"/>
        </w:rPr>
        <w:t xml:space="preserve"> </w:t>
      </w:r>
      <w:r>
        <w:rPr>
          <w:color w:val="000000"/>
        </w:rPr>
        <w:t xml:space="preserve">FY2025 income taxes of 330.9 divided by operating income of 1,441.5 [S1].</w:t>
      </w:r>
      <w:r>
        <w:rPr>
          <w:color w:val="000000"/>
        </w:rPr>
        <w:t xml:space="preserve"> </w:t>
      </w:r>
      <w:r>
        <w:rPr>
          <w:b/>
          <w:bCs/>
          <w:color w:val="000000"/>
        </w:rPr>
        <w:t xml:space="preserve">After-tax cost of debt: 5.83% x (1 - 0.2296) = 4.49 percent (D).</w:t>
      </w:r>
    </w:p>
    <w:bookmarkEnd w:id="10"/>
    <w:bookmarkStart w:id="11" w:name="wacc-6.78-percent"/>
    <w:p>
      <w:pPr>
        <w:pStyle w:val="Heading2"/>
      </w:pPr>
      <w:r>
        <w:rPr>
          <w:color w:val="000000"/>
        </w:rPr>
        <w:t xml:space="preserve">3. WACC: 6.78 percent</w:t>
      </w:r>
    </w:p>
    <w:tbl>
      <w:tblPr>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sz w:val="19"/>
              </w:rPr>
              <w:t xml:space="preserve">Value</w:t>
            </w:r>
          </w:p>
        </w:tc>
        <w:tc>
          <w:tcPr/>
          <w:p>
            <w:pPr>
              <w:pStyle w:val="Compact"/>
            </w:pPr>
            <w:r>
              <w:rPr>
                <w:sz w:val="19"/>
              </w:rPr>
              <w:t xml:space="preserve">Weight</w:t>
            </w:r>
          </w:p>
        </w:tc>
        <w:tc>
          <w:tcPr/>
          <w:p>
            <w:pPr>
              <w:pStyle w:val="Compact"/>
            </w:pPr>
            <w:r>
              <w:rPr>
                <w:sz w:val="19"/>
              </w:rPr>
              <w:t xml:space="preserve">Tier</w:t>
            </w:r>
          </w:p>
        </w:tc>
      </w:tr>
      <w:tr>
        <w:tc>
          <w:tcPr/>
          <w:p>
            <w:pPr>
              <w:pStyle w:val="Compact"/>
            </w:pPr>
            <w:r>
              <w:rPr>
                <w:sz w:val="19"/>
              </w:rPr>
              <w:t xml:space="preserve">Market value of equity</w:t>
            </w:r>
          </w:p>
        </w:tc>
        <w:tc>
          <w:tcPr/>
          <w:p>
            <w:pPr>
              <w:pStyle w:val="Compact"/>
            </w:pPr>
            <w:r>
              <w:rPr>
                <w:sz w:val="19"/>
              </w:rPr>
              <w:t xml:space="preserve">32,582.6 (203.4 million diluted shares x $160.19, close on October 2, 2026)</w:t>
            </w:r>
          </w:p>
        </w:tc>
        <w:tc>
          <w:tcPr/>
          <w:p>
            <w:pPr>
              <w:pStyle w:val="Compact"/>
            </w:pPr>
            <w:r>
              <w:rPr>
                <w:sz w:val="19"/>
              </w:rPr>
              <w:t xml:space="preserve">87.4%</w:t>
            </w:r>
          </w:p>
        </w:tc>
        <w:tc>
          <w:tcPr/>
          <w:p>
            <w:pPr>
              <w:pStyle w:val="Compact"/>
            </w:pPr>
            <w:r>
              <w:rPr>
                <w:sz w:val="19"/>
              </w:rPr>
              <w:t xml:space="preserve">D</w:t>
            </w:r>
          </w:p>
        </w:tc>
      </w:tr>
      <w:tr>
        <w:tc>
          <w:tcPr/>
          <w:p>
            <w:pPr>
              <w:pStyle w:val="Compact"/>
            </w:pPr>
            <w:r>
              <w:rPr>
                <w:sz w:val="19"/>
              </w:rPr>
              <w:t xml:space="preserve">Debt</w:t>
            </w:r>
          </w:p>
        </w:tc>
        <w:tc>
          <w:tcPr/>
          <w:p>
            <w:pPr>
              <w:pStyle w:val="Compact"/>
            </w:pPr>
            <w:r>
              <w:rPr>
                <w:sz w:val="19"/>
              </w:rPr>
              <w:t xml:space="preserve">4,681 (long-term debt, December 31, 2025)</w:t>
            </w:r>
          </w:p>
        </w:tc>
        <w:tc>
          <w:tcPr/>
          <w:p>
            <w:pPr>
              <w:pStyle w:val="Compact"/>
            </w:pPr>
            <w:r>
              <w:rPr>
                <w:sz w:val="19"/>
              </w:rPr>
              <w:t xml:space="preserve">12.6%</w:t>
            </w:r>
          </w:p>
        </w:tc>
        <w:tc>
          <w:tcPr/>
          <w:p>
            <w:pPr>
              <w:pStyle w:val="Compact"/>
            </w:pPr>
            <w:r>
              <w:rPr>
                <w:sz w:val="19"/>
              </w:rPr>
              <w:t xml:space="preserve">R</w:t>
            </w:r>
          </w:p>
        </w:tc>
      </w:tr>
      <w:tr>
        <w:tc>
          <w:tcPr/>
          <w:p>
            <w:pPr>
              <w:pStyle w:val="Compact"/>
            </w:pPr>
            <w:r>
              <w:rPr>
                <w:sz w:val="19"/>
              </w:rPr>
              <w:t xml:space="preserve">Total capital</w:t>
            </w:r>
          </w:p>
        </w:tc>
        <w:tc>
          <w:tcPr/>
          <w:p>
            <w:pPr>
              <w:pStyle w:val="Compact"/>
            </w:pPr>
            <w:r>
              <w:rPr>
                <w:sz w:val="19"/>
              </w:rPr>
              <w:t xml:space="preserve">37,263.6</w:t>
            </w:r>
          </w:p>
        </w:tc>
        <w:tc>
          <w:tcPr/>
          <w:p>
            <w:pPr>
              <w:pStyle w:val="Compact"/>
            </w:pPr>
            <w:r>
              <w:rPr>
                <w:sz w:val="19"/>
              </w:rPr>
              <w:t xml:space="preserve">100%</w:t>
            </w:r>
          </w:p>
        </w:tc>
        <w:tc>
          <w:tcPr/>
          <w:p>
            <w:pPr>
              <w:pStyle w:val="Compact"/>
            </w:pPr>
            <w:r>
              <w:rPr>
                <w:sz w:val="19"/>
              </w:rPr>
              <w:t xml:space="preserve">D</w:t>
            </w:r>
          </w:p>
        </w:tc>
      </w:tr>
    </w:tbl>
    <w:p>
      <w:pPr>
        <w:pStyle w:val="BodyText"/>
      </w:pPr>
      <w:r>
        <w:rPr>
          <w:color w:val="000000"/>
        </w:rPr>
        <w:t xml:space="preserve">WACC = 87.4% x 7.11% + 12.6% x 4.49% = 6.78 percent (D). Dollars are in millions [S9, S1].</w:t>
      </w:r>
    </w:p>
    <w:p>
      <w:pPr>
        <w:pStyle w:val="BodyText"/>
      </w:pPr>
      <w:r>
        <w:rPr>
          <w:b/>
          <w:bCs/>
          <w:color w:val="000000"/>
        </w:rPr>
        <w:t xml:space="preserve">Debt weight (E).</w:t>
      </w:r>
      <w:r>
        <w:rPr>
          <w:color w:val="000000"/>
        </w:rPr>
        <w:t xml:space="preserve"> </w:t>
      </w:r>
      <w:r>
        <w:rPr>
          <w:color w:val="000000"/>
        </w:rPr>
        <w:t xml:space="preserve">The workbook carries debt at its book value. The 10-K gives the market value: long-term debt including the current portion had a fair value of 4,872.6 at December 31, 2025, against a carrying value of 5,184.5, plus 218.5 of short-term debt [S1, pages 55 and 72]. At that market value of 5,091.1, debt is 13.5 percent of capital and the WACC is 6.76 percent, 0.02 points lower. We keep the workbook’s figure because the difference does not change any decision, and we name it here so a reader can see it.</w:t>
      </w:r>
    </w:p>
    <w:bookmarkEnd w:id="11"/>
    <w:bookmarkStart w:id="12" w:name="risk-adjustments-none"/>
    <w:p>
      <w:pPr>
        <w:pStyle w:val="Heading2"/>
      </w:pPr>
      <w:r>
        <w:rPr>
          <w:color w:val="000000"/>
        </w:rPr>
        <w:t xml:space="preserve">4. Risk adjustments: none</w:t>
      </w:r>
    </w:p>
    <w:p>
      <w:pPr>
        <w:pStyle w:val="Compact"/>
        <w:numPr>
          <w:ilvl w:val="0"/>
          <w:numId w:val="1001"/>
        </w:numPr>
      </w:pPr>
      <w:r>
        <w:rPr>
          <w:b/>
          <w:bCs/>
          <w:color w:val="000000"/>
        </w:rPr>
        <w:t xml:space="preserve">Size.</w:t>
      </w:r>
      <w:r>
        <w:rPr>
          <w:color w:val="000000"/>
        </w:rPr>
        <w:t xml:space="preserve"> </w:t>
      </w:r>
      <w:r>
        <w:rPr>
          <w:color w:val="000000"/>
        </w:rPr>
        <w:t xml:space="preserve">At a 32.6 billion dollar market capitalization, Hershey is a large-cap company. A small-cap premium does not apply.</w:t>
      </w:r>
    </w:p>
    <w:p>
      <w:pPr>
        <w:pStyle w:val="Compact"/>
        <w:numPr>
          <w:ilvl w:val="0"/>
          <w:numId w:val="1001"/>
        </w:numPr>
      </w:pPr>
      <w:r>
        <w:rPr>
          <w:b/>
          <w:bCs/>
          <w:color w:val="000000"/>
        </w:rPr>
        <w:t xml:space="preserve">Private firm.</w:t>
      </w:r>
      <w:r>
        <w:rPr>
          <w:color w:val="000000"/>
        </w:rPr>
        <w:t xml:space="preserve"> </w:t>
      </w:r>
      <w:r>
        <w:rPr>
          <w:color w:val="000000"/>
        </w:rPr>
        <w:t xml:space="preserve">Hershey trades on the NYSE, so no illiquidity or marketability discount applies.</w:t>
      </w:r>
    </w:p>
    <w:p>
      <w:pPr>
        <w:pStyle w:val="Compact"/>
        <w:numPr>
          <w:ilvl w:val="0"/>
          <w:numId w:val="1001"/>
        </w:numPr>
      </w:pPr>
      <w:r>
        <w:rPr>
          <w:b/>
          <w:bCs/>
          <w:color w:val="000000"/>
        </w:rPr>
        <w:t xml:space="preserve">Country.</w:t>
      </w:r>
      <w:r>
        <w:rPr>
          <w:color w:val="000000"/>
        </w:rPr>
        <w:t xml:space="preserve"> </w:t>
      </w:r>
      <w:r>
        <w:rPr>
          <w:color w:val="000000"/>
        </w:rPr>
        <w:t xml:space="preserve">United States net sales were 10,251.6 of 11,692.6 in FY2025, or 87.7 percent [S1, page 93]. The International segment was 941.6, or 8.1 percent [S1, page 29]. The US equity risk premium we use already contains the US country spread [S12]. Only the remaining 12.3 percent of sales could carry a higher country premium, and we judge that too small to change the WACC (E, Chris Lester), so we do not adjust. We take the same position, a single US premium, in this module’s discussion of blended country risk.</w:t>
      </w:r>
    </w:p>
    <w:bookmarkEnd w:id="12"/>
    <w:bookmarkStart w:id="13" w:name="how-we-verified-each-input"/>
    <w:p>
      <w:pPr>
        <w:pStyle w:val="Heading2"/>
      </w:pPr>
      <w:r>
        <w:rPr>
          <w:color w:val="000000"/>
        </w:rPr>
        <w:t xml:space="preserve">5. How we verified each input</w:t>
      </w:r>
    </w:p>
    <w:p>
      <w:pPr>
        <w:pStyle w:val="FirstParagraph"/>
      </w:pPr>
      <w:r>
        <w:rPr>
          <w:color w:val="000000"/>
        </w:rPr>
        <w:t xml:space="preserve">We used Claude (Code tab, 2026-10-05) to check every input on the WACC tab against a primary source. It retrieved each figure itself rather than proposing one from memory.</w:t>
      </w:r>
    </w:p>
    <w:tbl>
      <w:tblPr>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sz w:val="19"/>
              </w:rPr>
              <w:t xml:space="preserve">Input</w:t>
            </w:r>
          </w:p>
        </w:tc>
        <w:tc>
          <w:tcPr/>
          <w:p>
            <w:pPr>
              <w:pStyle w:val="Compact"/>
            </w:pPr>
            <w:r>
              <w:rPr>
                <w:sz w:val="19"/>
              </w:rPr>
              <w:t xml:space="preserve">Check</w:t>
            </w:r>
          </w:p>
        </w:tc>
        <w:tc>
          <w:tcPr/>
          <w:p>
            <w:pPr>
              <w:pStyle w:val="Compact"/>
            </w:pPr>
            <w:r>
              <w:rPr>
                <w:sz w:val="19"/>
              </w:rPr>
              <w:t xml:space="preserve">Result</w:t>
            </w:r>
          </w:p>
        </w:tc>
      </w:tr>
      <w:tr>
        <w:tc>
          <w:tcPr/>
          <w:p>
            <w:pPr>
              <w:pStyle w:val="Compact"/>
            </w:pPr>
            <w:r>
              <w:rPr>
                <w:sz w:val="19"/>
              </w:rPr>
              <w:t xml:space="preserve">Regression beta 0.1153</w:t>
            </w:r>
          </w:p>
        </w:tc>
        <w:tc>
          <w:tcPr/>
          <w:p>
            <w:pPr>
              <w:pStyle w:val="Compact"/>
            </w:pPr>
            <w:r>
              <w:rPr>
                <w:sz w:val="19"/>
              </w:rPr>
              <w:t xml:space="preserve">Reran the 60-month regression with the same method (yfinance, statsmodels)</w:t>
            </w:r>
          </w:p>
        </w:tc>
        <w:tc>
          <w:tcPr/>
          <w:p>
            <w:pPr>
              <w:pStyle w:val="Compact"/>
            </w:pPr>
            <w:r>
              <w:rPr>
                <w:sz w:val="19"/>
              </w:rPr>
              <w:t xml:space="preserve">Matches exactly for September 2021 to August 2026; the window one month later gives 0.1091</w:t>
            </w:r>
          </w:p>
        </w:tc>
      </w:tr>
      <w:tr>
        <w:tc>
          <w:tcPr/>
          <w:p>
            <w:pPr>
              <w:pStyle w:val="Compact"/>
            </w:pPr>
            <w:r>
              <w:rPr>
                <w:sz w:val="19"/>
              </w:rPr>
              <w:t xml:space="preserve">Equity risk premium 4.46%</w:t>
            </w:r>
          </w:p>
        </w:tc>
        <w:tc>
          <w:tcPr/>
          <w:p>
            <w:pPr>
              <w:pStyle w:val="Compact"/>
            </w:pPr>
            <w:r>
              <w:rPr>
                <w:sz w:val="19"/>
              </w:rPr>
              <w:t xml:space="preserve">Damodaran country premium table, US row [S12]</w:t>
            </w:r>
          </w:p>
        </w:tc>
        <w:tc>
          <w:tcPr/>
          <w:p>
            <w:pPr>
              <w:pStyle w:val="Compact"/>
            </w:pPr>
            <w:r>
              <w:rPr>
                <w:sz w:val="19"/>
              </w:rPr>
              <w:t xml:space="preserve">Matches</w:t>
            </w:r>
          </w:p>
        </w:tc>
      </w:tr>
      <w:tr>
        <w:tc>
          <w:tcPr/>
          <w:p>
            <w:pPr>
              <w:pStyle w:val="Compact"/>
            </w:pPr>
            <w:r>
              <w:rPr>
                <w:sz w:val="19"/>
              </w:rPr>
              <w:t xml:space="preserve">Industry beta, D/E, tax rate</w:t>
            </w:r>
          </w:p>
        </w:tc>
        <w:tc>
          <w:tcPr/>
          <w:p>
            <w:pPr>
              <w:pStyle w:val="Compact"/>
            </w:pPr>
            <w:r>
              <w:rPr>
                <w:sz w:val="19"/>
              </w:rPr>
              <w:t xml:space="preserve">Damodaran betas by sector, Food Processing row [S10]</w:t>
            </w:r>
          </w:p>
        </w:tc>
        <w:tc>
          <w:tcPr/>
          <w:p>
            <w:pPr>
              <w:pStyle w:val="Compact"/>
            </w:pPr>
            <w:r>
              <w:rPr>
                <w:sz w:val="19"/>
              </w:rPr>
              <w:t xml:space="preserve">0.61, 43.73%, 10.37% match</w:t>
            </w:r>
          </w:p>
        </w:tc>
      </w:tr>
      <w:tr>
        <w:tc>
          <w:tcPr/>
          <w:p>
            <w:pPr>
              <w:pStyle w:val="Compact"/>
            </w:pPr>
            <w:r>
              <w:rPr>
                <w:sz w:val="19"/>
              </w:rPr>
              <w:t xml:space="preserve">Default spread 0.55%</w:t>
            </w:r>
          </w:p>
        </w:tc>
        <w:tc>
          <w:tcPr/>
          <w:p>
            <w:pPr>
              <w:pStyle w:val="Compact"/>
            </w:pPr>
            <w:r>
              <w:rPr>
                <w:sz w:val="19"/>
              </w:rPr>
              <w:t xml:space="preserve">Damodaran ratings table, coverage 6.5 to 8.5 [S11]</w:t>
            </w:r>
          </w:p>
        </w:tc>
        <w:tc>
          <w:tcPr/>
          <w:p>
            <w:pPr>
              <w:pStyle w:val="Compact"/>
            </w:pPr>
            <w:r>
              <w:rPr>
                <w:sz w:val="19"/>
              </w:rPr>
              <w:t xml:space="preserve">Matches</w:t>
            </w:r>
          </w:p>
        </w:tc>
      </w:tr>
      <w:tr>
        <w:tc>
          <w:tcPr/>
          <w:p>
            <w:pPr>
              <w:pStyle w:val="Compact"/>
            </w:pPr>
            <w:r>
              <w:rPr>
                <w:sz w:val="19"/>
              </w:rPr>
              <w:t xml:space="preserve">Risk-free rate 5.28%</w:t>
            </w:r>
          </w:p>
        </w:tc>
        <w:tc>
          <w:tcPr/>
          <w:p>
            <w:pPr>
              <w:pStyle w:val="Compact"/>
            </w:pPr>
            <w:r>
              <w:rPr>
                <w:sz w:val="19"/>
              </w:rPr>
              <w:t xml:space="preserve">Treasury daily rates, October 2, 2026 [S13]</w:t>
            </w:r>
          </w:p>
        </w:tc>
        <w:tc>
          <w:tcPr/>
          <w:p>
            <w:pPr>
              <w:pStyle w:val="Compact"/>
            </w:pPr>
            <w:r>
              <w:rPr>
                <w:sz w:val="19"/>
              </w:rPr>
              <w:t xml:space="preserve">Matches the 10-year par yield. The link on the WACC tab opens the long-term composite rate, which was 5.63% that day; we cite the 10-year</w:t>
            </w:r>
          </w:p>
        </w:tc>
      </w:tr>
      <w:tr>
        <w:tc>
          <w:tcPr/>
          <w:p>
            <w:pPr>
              <w:pStyle w:val="Compact"/>
            </w:pPr>
            <w:r>
              <w:rPr>
                <w:sz w:val="19"/>
              </w:rPr>
              <w:t xml:space="preserve">Unlevered beta on the WACC tab (0.31)</w:t>
            </w:r>
          </w:p>
        </w:tc>
        <w:tc>
          <w:tcPr/>
          <w:p>
            <w:pPr>
              <w:pStyle w:val="Compact"/>
            </w:pPr>
            <w:r>
              <w:rPr>
                <w:sz w:val="19"/>
              </w:rPr>
              <w:t xml:space="preserve">Recomputed with Hamada’s formula from the same three inputs</w:t>
            </w:r>
          </w:p>
        </w:tc>
        <w:tc>
          <w:tcPr/>
          <w:p>
            <w:pPr>
              <w:pStyle w:val="Compact"/>
            </w:pPr>
            <w:r>
              <w:rPr>
                <w:sz w:val="19"/>
              </w:rPr>
              <w:t xml:space="preserve">Does not match. The cell gives 0.31 where the formula gives 0.44, because (1 - tax rate) is not multiplied by D/E as a group. Corrected, the bottom-up beta is 0.49 (Section 1). The WACC does not use this cell</w:t>
            </w:r>
          </w:p>
        </w:tc>
      </w:tr>
      <w:tr>
        <w:tc>
          <w:tcPr/>
          <w:p>
            <w:pPr>
              <w:pStyle w:val="Compact"/>
            </w:pPr>
            <w:r>
              <w:rPr>
                <w:sz w:val="19"/>
              </w:rPr>
              <w:t xml:space="preserve">Interest coverage 7.58</w:t>
            </w:r>
          </w:p>
        </w:tc>
        <w:tc>
          <w:tcPr/>
          <w:p>
            <w:pPr>
              <w:pStyle w:val="Compact"/>
            </w:pPr>
            <w:r>
              <w:rPr>
                <w:sz w:val="19"/>
              </w:rPr>
              <w:t xml:space="preserve">10-K income statement and interest note [S1]</w:t>
            </w:r>
          </w:p>
        </w:tc>
        <w:tc>
          <w:tcPr/>
          <w:p>
            <w:pPr>
              <w:pStyle w:val="Compact"/>
            </w:pPr>
            <w:r>
              <w:rPr>
                <w:sz w:val="19"/>
              </w:rPr>
              <w:t xml:space="preserve">Uses net interest (190.2). On gross interest expense on debt (236.8, XBRL tag InterestExpenseDebt) coverage is 6.09, which maps to A1/A+ and 0.70 percent; the WACC rises by 0.01 points, so we keep 7.58</w:t>
            </w:r>
          </w:p>
        </w:tc>
      </w:tr>
      <w:tr>
        <w:tc>
          <w:tcPr/>
          <w:p>
            <w:pPr>
              <w:pStyle w:val="Compact"/>
            </w:pPr>
            <w:r>
              <w:rPr>
                <w:sz w:val="19"/>
              </w:rPr>
              <w:t xml:space="preserve">Debt 4,681</w:t>
            </w:r>
          </w:p>
        </w:tc>
        <w:tc>
          <w:tcPr/>
          <w:p>
            <w:pPr>
              <w:pStyle w:val="Compact"/>
            </w:pPr>
            <w:r>
              <w:rPr>
                <w:sz w:val="19"/>
              </w:rPr>
              <w:t xml:space="preserve">10-K balance sheet and fair value note [S1]</w:t>
            </w:r>
          </w:p>
        </w:tc>
        <w:tc>
          <w:tcPr/>
          <w:p>
            <w:pPr>
              <w:pStyle w:val="Compact"/>
            </w:pPr>
            <w:r>
              <w:rPr>
                <w:sz w:val="19"/>
              </w:rPr>
              <w:t xml:space="preserve">Matches the long-term debt line; market value discussed in Section 3</w:t>
            </w:r>
          </w:p>
        </w:tc>
      </w:tr>
    </w:tbl>
    <w:bookmarkEnd w:id="13"/>
    <w:bookmarkStart w:id="14" w:name="inputs-for-the-knowledge-bank"/>
    <w:p>
      <w:pPr>
        <w:pStyle w:val="Heading2"/>
      </w:pPr>
      <w:r>
        <w:rPr>
          <w:color w:val="000000"/>
        </w:rPr>
        <w:t xml:space="preserve">Inputs for the Knowledge Bank</w:t>
      </w:r>
    </w:p>
    <w:tbl>
      <w:tblPr>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sz w:val="19"/>
              </w:rPr>
              <w:t xml:space="preserve">Input</w:t>
            </w:r>
          </w:p>
        </w:tc>
        <w:tc>
          <w:tcPr/>
          <w:p>
            <w:pPr>
              <w:pStyle w:val="Compact"/>
            </w:pPr>
            <w:r>
              <w:rPr>
                <w:sz w:val="19"/>
              </w:rPr>
              <w:t xml:space="preserve">Value</w:t>
            </w:r>
          </w:p>
        </w:tc>
        <w:tc>
          <w:tcPr/>
          <w:p>
            <w:pPr>
              <w:pStyle w:val="Compact"/>
            </w:pPr>
            <w:r>
              <w:rPr>
                <w:sz w:val="19"/>
              </w:rPr>
              <w:t xml:space="preserve">Tier</w:t>
            </w:r>
          </w:p>
        </w:tc>
        <w:tc>
          <w:tcPr/>
          <w:p>
            <w:pPr>
              <w:pStyle w:val="Compact"/>
            </w:pPr>
            <w:r>
              <w:rPr>
                <w:sz w:val="19"/>
              </w:rPr>
              <w:t xml:space="preserve">Source</w:t>
            </w:r>
          </w:p>
        </w:tc>
      </w:tr>
      <w:tr>
        <w:tc>
          <w:tcPr/>
          <w:p>
            <w:pPr>
              <w:pStyle w:val="Compact"/>
            </w:pPr>
            <w:r>
              <w:rPr>
                <w:sz w:val="19"/>
              </w:rPr>
              <w:t xml:space="preserve">Risk-free rate (10-year Treasury, 2026-10-02)</w:t>
            </w:r>
          </w:p>
        </w:tc>
        <w:tc>
          <w:tcPr/>
          <w:p>
            <w:pPr>
              <w:pStyle w:val="Compact"/>
            </w:pPr>
            <w:r>
              <w:rPr>
                <w:sz w:val="19"/>
              </w:rPr>
              <w:t xml:space="preserve">5.28%</w:t>
            </w:r>
          </w:p>
        </w:tc>
        <w:tc>
          <w:tcPr/>
          <w:p>
            <w:pPr>
              <w:pStyle w:val="Compact"/>
            </w:pPr>
            <w:r>
              <w:rPr>
                <w:sz w:val="19"/>
              </w:rPr>
              <w:t xml:space="preserve">R</w:t>
            </w:r>
          </w:p>
        </w:tc>
        <w:tc>
          <w:tcPr/>
          <w:p>
            <w:pPr>
              <w:pStyle w:val="Compact"/>
            </w:pPr>
            <w:r>
              <w:rPr>
                <w:sz w:val="19"/>
              </w:rPr>
              <w:t xml:space="preserve">S13</w:t>
            </w:r>
          </w:p>
        </w:tc>
      </w:tr>
      <w:tr>
        <w:tc>
          <w:tcPr/>
          <w:p>
            <w:pPr>
              <w:pStyle w:val="Compact"/>
            </w:pPr>
            <w:r>
              <w:rPr>
                <w:sz w:val="19"/>
              </w:rPr>
              <w:t xml:space="preserve">Equity risk premium (US, January 2026)</w:t>
            </w:r>
          </w:p>
        </w:tc>
        <w:tc>
          <w:tcPr/>
          <w:p>
            <w:pPr>
              <w:pStyle w:val="Compact"/>
            </w:pPr>
            <w:r>
              <w:rPr>
                <w:sz w:val="19"/>
              </w:rPr>
              <w:t xml:space="preserve">4.46%</w:t>
            </w:r>
          </w:p>
        </w:tc>
        <w:tc>
          <w:tcPr/>
          <w:p>
            <w:pPr>
              <w:pStyle w:val="Compact"/>
            </w:pPr>
            <w:r>
              <w:rPr>
                <w:sz w:val="19"/>
              </w:rPr>
              <w:t xml:space="preserve">R</w:t>
            </w:r>
          </w:p>
        </w:tc>
        <w:tc>
          <w:tcPr/>
          <w:p>
            <w:pPr>
              <w:pStyle w:val="Compact"/>
            </w:pPr>
            <w:r>
              <w:rPr>
                <w:sz w:val="19"/>
              </w:rPr>
              <w:t xml:space="preserve">S12</w:t>
            </w:r>
          </w:p>
        </w:tc>
      </w:tr>
      <w:tr>
        <w:tc>
          <w:tcPr/>
          <w:p>
            <w:pPr>
              <w:pStyle w:val="Compact"/>
            </w:pPr>
            <w:r>
              <w:rPr>
                <w:sz w:val="19"/>
              </w:rPr>
              <w:t xml:space="preserve">Raw regression beta (60 months)</w:t>
            </w:r>
          </w:p>
        </w:tc>
        <w:tc>
          <w:tcPr/>
          <w:p>
            <w:pPr>
              <w:pStyle w:val="Compact"/>
            </w:pPr>
            <w:r>
              <w:rPr>
                <w:sz w:val="19"/>
              </w:rPr>
              <w:t xml:space="preserve">0.1153</w:t>
            </w:r>
          </w:p>
        </w:tc>
        <w:tc>
          <w:tcPr/>
          <w:p>
            <w:pPr>
              <w:pStyle w:val="Compact"/>
            </w:pPr>
            <w:r>
              <w:rPr>
                <w:sz w:val="19"/>
              </w:rPr>
              <w:t xml:space="preserve">D</w:t>
            </w:r>
          </w:p>
        </w:tc>
        <w:tc>
          <w:tcPr/>
          <w:p>
            <w:pPr>
              <w:pStyle w:val="Compact"/>
            </w:pPr>
            <w:r>
              <w:rPr>
                <w:sz w:val="19"/>
              </w:rPr>
              <w:t xml:space="preserve">S14</w:t>
            </w:r>
          </w:p>
        </w:tc>
      </w:tr>
      <w:tr>
        <w:tc>
          <w:tcPr/>
          <w:p>
            <w:pPr>
              <w:pStyle w:val="Compact"/>
            </w:pPr>
            <w:r>
              <w:rPr>
                <w:sz w:val="19"/>
              </w:rPr>
              <w:t xml:space="preserve">Adjusted beta</w:t>
            </w:r>
          </w:p>
        </w:tc>
        <w:tc>
          <w:tcPr/>
          <w:p>
            <w:pPr>
              <w:pStyle w:val="Compact"/>
            </w:pPr>
            <w:r>
              <w:rPr>
                <w:sz w:val="19"/>
              </w:rPr>
              <w:t xml:space="preserve">0.4102</w:t>
            </w:r>
          </w:p>
        </w:tc>
        <w:tc>
          <w:tcPr/>
          <w:p>
            <w:pPr>
              <w:pStyle w:val="Compact"/>
            </w:pPr>
            <w:r>
              <w:rPr>
                <w:sz w:val="19"/>
              </w:rPr>
              <w:t xml:space="preserve">E (Chris Lester)</w:t>
            </w:r>
          </w:p>
        </w:tc>
        <w:tc>
          <w:tcPr/>
          <w:p>
            <w:pPr>
              <w:pStyle w:val="Compact"/>
            </w:pPr>
            <w:r>
              <w:rPr>
                <w:sz w:val="19"/>
              </w:rPr>
              <w:t xml:space="preserve">S14</w:t>
            </w:r>
          </w:p>
        </w:tc>
      </w:tr>
      <w:tr>
        <w:tc>
          <w:tcPr/>
          <w:p>
            <w:pPr>
              <w:pStyle w:val="Compact"/>
            </w:pPr>
            <w:r>
              <w:rPr>
                <w:sz w:val="19"/>
              </w:rPr>
              <w:t xml:space="preserve">Bottom-up beta, cross-check</w:t>
            </w:r>
          </w:p>
        </w:tc>
        <w:tc>
          <w:tcPr/>
          <w:p>
            <w:pPr>
              <w:pStyle w:val="Compact"/>
            </w:pPr>
            <w:r>
              <w:rPr>
                <w:sz w:val="19"/>
              </w:rPr>
              <w:t xml:space="preserve">0.49</w:t>
            </w:r>
          </w:p>
        </w:tc>
        <w:tc>
          <w:tcPr/>
          <w:p>
            <w:pPr>
              <w:pStyle w:val="Compact"/>
            </w:pPr>
            <w:r>
              <w:rPr>
                <w:sz w:val="19"/>
              </w:rPr>
              <w:t xml:space="preserve">D</w:t>
            </w:r>
          </w:p>
        </w:tc>
        <w:tc>
          <w:tcPr/>
          <w:p>
            <w:pPr>
              <w:pStyle w:val="Compact"/>
            </w:pPr>
            <w:r>
              <w:rPr>
                <w:sz w:val="19"/>
              </w:rPr>
              <w:t xml:space="preserve">S10</w:t>
            </w:r>
          </w:p>
        </w:tc>
      </w:tr>
      <w:tr>
        <w:tc>
          <w:tcPr/>
          <w:p>
            <w:pPr>
              <w:pStyle w:val="Compact"/>
            </w:pPr>
            <w:r>
              <w:rPr>
                <w:sz w:val="19"/>
              </w:rPr>
              <w:t xml:space="preserve">Cost of equity</w:t>
            </w:r>
          </w:p>
        </w:tc>
        <w:tc>
          <w:tcPr/>
          <w:p>
            <w:pPr>
              <w:pStyle w:val="Compact"/>
            </w:pPr>
            <w:r>
              <w:rPr>
                <w:sz w:val="19"/>
              </w:rPr>
              <w:t xml:space="preserve">7.11%</w:t>
            </w:r>
          </w:p>
        </w:tc>
        <w:tc>
          <w:tcPr/>
          <w:p>
            <w:pPr>
              <w:pStyle w:val="Compact"/>
            </w:pPr>
            <w:r>
              <w:rPr>
                <w:sz w:val="19"/>
              </w:rPr>
              <w:t xml:space="preserve">D</w:t>
            </w:r>
          </w:p>
        </w:tc>
        <w:tc>
          <w:tcPr/>
          <w:p>
            <w:pPr>
              <w:pStyle w:val="Compact"/>
            </w:pPr>
          </w:p>
        </w:tc>
      </w:tr>
      <w:tr>
        <w:tc>
          <w:tcPr/>
          <w:p>
            <w:pPr>
              <w:pStyle w:val="Compact"/>
            </w:pPr>
            <w:r>
              <w:rPr>
                <w:sz w:val="19"/>
              </w:rPr>
              <w:t xml:space="preserve">Interest coverage, FY2025</w:t>
            </w:r>
          </w:p>
        </w:tc>
        <w:tc>
          <w:tcPr/>
          <w:p>
            <w:pPr>
              <w:pStyle w:val="Compact"/>
            </w:pPr>
            <w:r>
              <w:rPr>
                <w:sz w:val="19"/>
              </w:rPr>
              <w:t xml:space="preserve">7.58</w:t>
            </w:r>
          </w:p>
        </w:tc>
        <w:tc>
          <w:tcPr/>
          <w:p>
            <w:pPr>
              <w:pStyle w:val="Compact"/>
            </w:pPr>
            <w:r>
              <w:rPr>
                <w:sz w:val="19"/>
              </w:rPr>
              <w:t xml:space="preserve">D</w:t>
            </w:r>
          </w:p>
        </w:tc>
        <w:tc>
          <w:tcPr/>
          <w:p>
            <w:pPr>
              <w:pStyle w:val="Compact"/>
            </w:pPr>
            <w:r>
              <w:rPr>
                <w:sz w:val="19"/>
              </w:rPr>
              <w:t xml:space="preserve">S1</w:t>
            </w:r>
          </w:p>
        </w:tc>
      </w:tr>
      <w:tr>
        <w:tc>
          <w:tcPr/>
          <w:p>
            <w:pPr>
              <w:pStyle w:val="Compact"/>
            </w:pPr>
            <w:r>
              <w:rPr>
                <w:sz w:val="19"/>
              </w:rPr>
              <w:t xml:space="preserve">Synthetic rating and default spread</w:t>
            </w:r>
          </w:p>
        </w:tc>
        <w:tc>
          <w:tcPr/>
          <w:p>
            <w:pPr>
              <w:pStyle w:val="Compact"/>
            </w:pPr>
            <w:r>
              <w:rPr>
                <w:sz w:val="19"/>
              </w:rPr>
              <w:t xml:space="preserve">Aa2/AA, 0.55%</w:t>
            </w:r>
          </w:p>
        </w:tc>
        <w:tc>
          <w:tcPr/>
          <w:p>
            <w:pPr>
              <w:pStyle w:val="Compact"/>
            </w:pPr>
            <w:r>
              <w:rPr>
                <w:sz w:val="19"/>
              </w:rPr>
              <w:t xml:space="preserve">R</w:t>
            </w:r>
          </w:p>
        </w:tc>
        <w:tc>
          <w:tcPr/>
          <w:p>
            <w:pPr>
              <w:pStyle w:val="Compact"/>
            </w:pPr>
            <w:r>
              <w:rPr>
                <w:sz w:val="19"/>
              </w:rPr>
              <w:t xml:space="preserve">S11</w:t>
            </w:r>
          </w:p>
        </w:tc>
      </w:tr>
      <w:tr>
        <w:tc>
          <w:tcPr/>
          <w:p>
            <w:pPr>
              <w:pStyle w:val="Compact"/>
            </w:pPr>
            <w:r>
              <w:rPr>
                <w:sz w:val="19"/>
              </w:rPr>
              <w:t xml:space="preserve">Pre-tax cost of debt</w:t>
            </w:r>
          </w:p>
        </w:tc>
        <w:tc>
          <w:tcPr/>
          <w:p>
            <w:pPr>
              <w:pStyle w:val="Compact"/>
            </w:pPr>
            <w:r>
              <w:rPr>
                <w:sz w:val="19"/>
              </w:rPr>
              <w:t xml:space="preserve">5.83%</w:t>
            </w:r>
          </w:p>
        </w:tc>
        <w:tc>
          <w:tcPr/>
          <w:p>
            <w:pPr>
              <w:pStyle w:val="Compact"/>
            </w:pPr>
            <w:r>
              <w:rPr>
                <w:sz w:val="19"/>
              </w:rPr>
              <w:t xml:space="preserve">D</w:t>
            </w:r>
          </w:p>
        </w:tc>
        <w:tc>
          <w:tcPr/>
          <w:p>
            <w:pPr>
              <w:pStyle w:val="Compact"/>
            </w:pPr>
          </w:p>
        </w:tc>
      </w:tr>
      <w:tr>
        <w:tc>
          <w:tcPr/>
          <w:p>
            <w:pPr>
              <w:pStyle w:val="Compact"/>
            </w:pPr>
            <w:r>
              <w:rPr>
                <w:sz w:val="19"/>
              </w:rPr>
              <w:t xml:space="preserve">Tax rate</w:t>
            </w:r>
          </w:p>
        </w:tc>
        <w:tc>
          <w:tcPr/>
          <w:p>
            <w:pPr>
              <w:pStyle w:val="Compact"/>
            </w:pPr>
            <w:r>
              <w:rPr>
                <w:sz w:val="19"/>
              </w:rPr>
              <w:t xml:space="preserve">22.96%</w:t>
            </w:r>
          </w:p>
        </w:tc>
        <w:tc>
          <w:tcPr/>
          <w:p>
            <w:pPr>
              <w:pStyle w:val="Compact"/>
            </w:pPr>
            <w:r>
              <w:rPr>
                <w:sz w:val="19"/>
              </w:rPr>
              <w:t xml:space="preserve">D</w:t>
            </w:r>
          </w:p>
        </w:tc>
        <w:tc>
          <w:tcPr/>
          <w:p>
            <w:pPr>
              <w:pStyle w:val="Compact"/>
            </w:pPr>
            <w:r>
              <w:rPr>
                <w:sz w:val="19"/>
              </w:rPr>
              <w:t xml:space="preserve">S1</w:t>
            </w:r>
          </w:p>
        </w:tc>
      </w:tr>
      <w:tr>
        <w:tc>
          <w:tcPr/>
          <w:p>
            <w:pPr>
              <w:pStyle w:val="Compact"/>
            </w:pPr>
            <w:r>
              <w:rPr>
                <w:sz w:val="19"/>
              </w:rPr>
              <w:t xml:space="preserve">After-tax cost of debt</w:t>
            </w:r>
          </w:p>
        </w:tc>
        <w:tc>
          <w:tcPr/>
          <w:p>
            <w:pPr>
              <w:pStyle w:val="Compact"/>
            </w:pPr>
            <w:r>
              <w:rPr>
                <w:sz w:val="19"/>
              </w:rPr>
              <w:t xml:space="preserve">4.49%</w:t>
            </w:r>
          </w:p>
        </w:tc>
        <w:tc>
          <w:tcPr/>
          <w:p>
            <w:pPr>
              <w:pStyle w:val="Compact"/>
            </w:pPr>
            <w:r>
              <w:rPr>
                <w:sz w:val="19"/>
              </w:rPr>
              <w:t xml:space="preserve">D</w:t>
            </w:r>
          </w:p>
        </w:tc>
        <w:tc>
          <w:tcPr/>
          <w:p>
            <w:pPr>
              <w:pStyle w:val="Compact"/>
            </w:pPr>
          </w:p>
        </w:tc>
      </w:tr>
      <w:tr>
        <w:tc>
          <w:tcPr/>
          <w:p>
            <w:pPr>
              <w:pStyle w:val="Compact"/>
            </w:pPr>
            <w:r>
              <w:rPr>
                <w:sz w:val="19"/>
              </w:rPr>
              <w:t xml:space="preserve">Equity weight</w:t>
            </w:r>
          </w:p>
        </w:tc>
        <w:tc>
          <w:tcPr/>
          <w:p>
            <w:pPr>
              <w:pStyle w:val="Compact"/>
            </w:pPr>
            <w:r>
              <w:rPr>
                <w:sz w:val="19"/>
              </w:rPr>
              <w:t xml:space="preserve">87.4%</w:t>
            </w:r>
          </w:p>
        </w:tc>
        <w:tc>
          <w:tcPr/>
          <w:p>
            <w:pPr>
              <w:pStyle w:val="Compact"/>
            </w:pPr>
            <w:r>
              <w:rPr>
                <w:sz w:val="19"/>
              </w:rPr>
              <w:t xml:space="preserve">D</w:t>
            </w:r>
          </w:p>
        </w:tc>
        <w:tc>
          <w:tcPr/>
          <w:p>
            <w:pPr>
              <w:pStyle w:val="Compact"/>
            </w:pPr>
            <w:r>
              <w:rPr>
                <w:sz w:val="19"/>
              </w:rPr>
              <w:t xml:space="preserve">S9</w:t>
            </w:r>
          </w:p>
        </w:tc>
      </w:tr>
      <w:tr>
        <w:tc>
          <w:tcPr/>
          <w:p>
            <w:pPr>
              <w:pStyle w:val="Compact"/>
            </w:pPr>
            <w:r>
              <w:rPr>
                <w:sz w:val="19"/>
              </w:rPr>
              <w:t xml:space="preserve">Debt weight</w:t>
            </w:r>
          </w:p>
        </w:tc>
        <w:tc>
          <w:tcPr/>
          <w:p>
            <w:pPr>
              <w:pStyle w:val="Compact"/>
            </w:pPr>
            <w:r>
              <w:rPr>
                <w:sz w:val="19"/>
              </w:rPr>
              <w:t xml:space="preserve">12.6%</w:t>
            </w:r>
          </w:p>
        </w:tc>
        <w:tc>
          <w:tcPr/>
          <w:p>
            <w:pPr>
              <w:pStyle w:val="Compact"/>
            </w:pPr>
            <w:r>
              <w:rPr>
                <w:sz w:val="19"/>
              </w:rPr>
              <w:t xml:space="preserve">D</w:t>
            </w:r>
          </w:p>
        </w:tc>
        <w:tc>
          <w:tcPr/>
          <w:p>
            <w:pPr>
              <w:pStyle w:val="Compact"/>
            </w:pPr>
            <w:r>
              <w:rPr>
                <w:sz w:val="19"/>
              </w:rPr>
              <w:t xml:space="preserve">S1, S9</w:t>
            </w:r>
          </w:p>
        </w:tc>
      </w:tr>
      <w:tr>
        <w:tc>
          <w:tcPr/>
          <w:p>
            <w:pPr>
              <w:pStyle w:val="Compact"/>
            </w:pPr>
            <w:r>
              <w:rPr>
                <w:sz w:val="19"/>
              </w:rPr>
              <w:t xml:space="preserve">WACC</w:t>
            </w:r>
          </w:p>
        </w:tc>
        <w:tc>
          <w:tcPr/>
          <w:p>
            <w:pPr>
              <w:pStyle w:val="Compact"/>
            </w:pPr>
            <w:r>
              <w:rPr>
                <w:sz w:val="19"/>
              </w:rPr>
              <w:t xml:space="preserve">6.78%</w:t>
            </w:r>
          </w:p>
        </w:tc>
        <w:tc>
          <w:tcPr/>
          <w:p>
            <w:pPr>
              <w:pStyle w:val="Compact"/>
            </w:pPr>
            <w:r>
              <w:rPr>
                <w:sz w:val="19"/>
              </w:rPr>
              <w:t xml:space="preserve">D</w:t>
            </w:r>
          </w:p>
        </w:tc>
        <w:tc>
          <w:tcPr/>
          <w:p>
            <w:pPr>
              <w:pStyle w:val="Compact"/>
            </w:pPr>
            <w:r>
              <w:rPr>
                <w:sz w:val="19"/>
              </w:rPr>
              <w:t xml:space="preserve">S9</w:t>
            </w:r>
          </w:p>
        </w:tc>
      </w:tr>
      <w:tr>
        <w:tc>
          <w:tcPr/>
          <w:p>
            <w:pPr>
              <w:pStyle w:val="Compact"/>
            </w:pPr>
            <w:r>
              <w:rPr>
                <w:sz w:val="19"/>
              </w:rPr>
              <w:t xml:space="preserve">US share of net sales, FY2025</w:t>
            </w:r>
          </w:p>
        </w:tc>
        <w:tc>
          <w:tcPr/>
          <w:p>
            <w:pPr>
              <w:pStyle w:val="Compact"/>
            </w:pPr>
            <w:r>
              <w:rPr>
                <w:sz w:val="19"/>
              </w:rPr>
              <w:t xml:space="preserve">87.7%</w:t>
            </w:r>
          </w:p>
        </w:tc>
        <w:tc>
          <w:tcPr/>
          <w:p>
            <w:pPr>
              <w:pStyle w:val="Compact"/>
            </w:pPr>
            <w:r>
              <w:rPr>
                <w:sz w:val="19"/>
              </w:rPr>
              <w:t xml:space="preserve">D</w:t>
            </w:r>
          </w:p>
        </w:tc>
        <w:tc>
          <w:tcPr/>
          <w:p>
            <w:pPr>
              <w:pStyle w:val="Compact"/>
            </w:pPr>
            <w:r>
              <w:rPr>
                <w:sz w:val="19"/>
              </w:rPr>
              <w:t xml:space="preserve">S1</w:t>
            </w:r>
          </w:p>
        </w:tc>
      </w:tr>
    </w:tbl>
    <w:bookmarkEnd w:id="14"/>
    <w:bookmarkStart w:id="15" w:name="sources"/>
    <w:p>
      <w:pPr>
        <w:pStyle w:val="Heading2"/>
      </w:pPr>
      <w:r>
        <w:rPr>
          <w:color w:val="000000"/>
        </w:rPr>
        <w:t xml:space="preserve">Sources</w:t>
      </w:r>
    </w:p>
    <w:tbl>
      <w:tblPr>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sz w:val="19"/>
              </w:rPr>
              <w:t xml:space="preserve">id</w:t>
            </w:r>
          </w:p>
        </w:tc>
        <w:tc>
          <w:tcPr/>
          <w:p>
            <w:pPr>
              <w:pStyle w:val="Compact"/>
            </w:pPr>
            <w:r>
              <w:rPr>
                <w:sz w:val="19"/>
              </w:rPr>
              <w:t xml:space="preserve">Source</w:t>
            </w:r>
          </w:p>
        </w:tc>
        <w:tc>
          <w:tcPr/>
          <w:p>
            <w:pPr>
              <w:pStyle w:val="Compact"/>
            </w:pPr>
            <w:r>
              <w:rPr>
                <w:sz w:val="19"/>
              </w:rPr>
              <w:t xml:space="preserve">Publisher</w:t>
            </w:r>
          </w:p>
        </w:tc>
        <w:tc>
          <w:tcPr/>
          <w:p>
            <w:pPr>
              <w:pStyle w:val="Compact"/>
            </w:pPr>
            <w:r>
              <w:rPr>
                <w:sz w:val="19"/>
              </w:rPr>
              <w:t xml:space="preserve">Date</w:t>
            </w:r>
          </w:p>
        </w:tc>
        <w:tc>
          <w:tcPr/>
          <w:p>
            <w:pPr>
              <w:pStyle w:val="Compact"/>
            </w:pPr>
            <w:r>
              <w:rPr>
                <w:sz w:val="19"/>
              </w:rPr>
              <w:t xml:space="preserve">Link</w:t>
            </w:r>
          </w:p>
        </w:tc>
      </w:tr>
      <w:tr>
        <w:tc>
          <w:tcPr/>
          <w:p>
            <w:pPr>
              <w:pStyle w:val="Compact"/>
            </w:pPr>
            <w:r>
              <w:rPr>
                <w:sz w:val="19"/>
              </w:rPr>
              <w:t xml:space="preserve">S1</w:t>
            </w:r>
          </w:p>
        </w:tc>
        <w:tc>
          <w:tcPr/>
          <w:p>
            <w:pPr>
              <w:pStyle w:val="Compact"/>
            </w:pPr>
            <w:r>
              <w:rPr>
                <w:sz w:val="19"/>
              </w:rPr>
              <w:t xml:space="preserve">The Hershey Company Form 10-K for fiscal 2025, accession 0001628280-26-008586</w:t>
            </w:r>
          </w:p>
        </w:tc>
        <w:tc>
          <w:tcPr/>
          <w:p>
            <w:pPr>
              <w:pStyle w:val="Compact"/>
            </w:pPr>
            <w:r>
              <w:rPr>
                <w:sz w:val="19"/>
              </w:rPr>
              <w:t xml:space="preserve">SEC EDGAR</w:t>
            </w:r>
          </w:p>
        </w:tc>
        <w:tc>
          <w:tcPr/>
          <w:p>
            <w:pPr>
              <w:pStyle w:val="Compact"/>
            </w:pPr>
            <w:r>
              <w:rPr>
                <w:sz w:val="19"/>
              </w:rPr>
              <w:t xml:space="preserve">2026-02-17</w:t>
            </w:r>
          </w:p>
        </w:tc>
        <w:tc>
          <w:tcPr/>
          <w:p>
            <w:pPr>
              <w:pStyle w:val="Compact"/>
            </w:pPr>
            <w:r>
              <w:rPr>
                <w:sz w:val="19"/>
              </w:rPr>
              <w:t xml:space="preserve">https://www.sec.gov/Archives/edgar/data/47111/000162828026008586/hsy-20251231.htm</w:t>
            </w:r>
          </w:p>
        </w:tc>
      </w:tr>
      <w:tr>
        <w:tc>
          <w:tcPr/>
          <w:p>
            <w:pPr>
              <w:pStyle w:val="Compact"/>
            </w:pPr>
            <w:r>
              <w:rPr>
                <w:sz w:val="19"/>
              </w:rPr>
              <w:t xml:space="preserve">S9</w:t>
            </w:r>
          </w:p>
        </w:tc>
        <w:tc>
          <w:tcPr/>
          <w:p>
            <w:pPr>
              <w:pStyle w:val="Compact"/>
            </w:pPr>
            <w:r>
              <w:rPr>
                <w:sz w:val="19"/>
              </w:rPr>
              <w:t xml:space="preserve">Team Q&amp;D workbook for Hershey, WACC calculation tab</w:t>
            </w:r>
          </w:p>
        </w:tc>
        <w:tc>
          <w:tcPr/>
          <w:p>
            <w:pPr>
              <w:pStyle w:val="Compact"/>
            </w:pPr>
            <w:r>
              <w:rPr>
                <w:sz w:val="19"/>
              </w:rPr>
              <w:t xml:space="preserve">FIN 5370 HSY team</w:t>
            </w:r>
          </w:p>
        </w:tc>
        <w:tc>
          <w:tcPr/>
          <w:p>
            <w:pPr>
              <w:pStyle w:val="Compact"/>
            </w:pPr>
            <w:r>
              <w:rPr>
                <w:sz w:val="19"/>
              </w:rPr>
              <w:t xml:space="preserve">2026-10-05</w:t>
            </w:r>
          </w:p>
        </w:tc>
        <w:tc>
          <w:tcPr/>
          <w:p>
            <w:pPr>
              <w:pStyle w:val="Compact"/>
            </w:pPr>
            <w:r>
              <w:rPr>
                <w:sz w:val="19"/>
              </w:rPr>
              <w:t xml:space="preserve">workbook/QD-HSY.xlsx</w:t>
            </w:r>
          </w:p>
        </w:tc>
      </w:tr>
      <w:tr>
        <w:tc>
          <w:tcPr/>
          <w:p>
            <w:pPr>
              <w:pStyle w:val="Compact"/>
            </w:pPr>
            <w:r>
              <w:rPr>
                <w:sz w:val="19"/>
              </w:rPr>
              <w:t xml:space="preserve">S10</w:t>
            </w:r>
          </w:p>
        </w:tc>
        <w:tc>
          <w:tcPr/>
          <w:p>
            <w:pPr>
              <w:pStyle w:val="Compact"/>
            </w:pPr>
            <w:r>
              <w:rPr>
                <w:sz w:val="19"/>
              </w:rPr>
              <w:t xml:space="preserve">Betas by Sector (US)</w:t>
            </w:r>
          </w:p>
        </w:tc>
        <w:tc>
          <w:tcPr/>
          <w:p>
            <w:pPr>
              <w:pStyle w:val="Compact"/>
            </w:pPr>
            <w:r>
              <w:rPr>
                <w:sz w:val="19"/>
              </w:rPr>
              <w:t xml:space="preserve">Aswath Damodaran, NYU Stern</w:t>
            </w:r>
          </w:p>
        </w:tc>
        <w:tc>
          <w:tcPr/>
          <w:p>
            <w:pPr>
              <w:pStyle w:val="Compact"/>
            </w:pPr>
            <w:r>
              <w:rPr>
                <w:sz w:val="19"/>
              </w:rPr>
              <w:t xml:space="preserve">January 2026</w:t>
            </w:r>
          </w:p>
        </w:tc>
        <w:tc>
          <w:tcPr/>
          <w:p>
            <w:pPr>
              <w:pStyle w:val="Compact"/>
            </w:pPr>
            <w:r>
              <w:rPr>
                <w:sz w:val="19"/>
              </w:rPr>
              <w:t xml:space="preserve">https://pages.stern.nyu.edu/~adamodar/New_Home_Page/datafile/Betas.html</w:t>
            </w:r>
          </w:p>
        </w:tc>
      </w:tr>
      <w:tr>
        <w:tc>
          <w:tcPr/>
          <w:p>
            <w:pPr>
              <w:pStyle w:val="Compact"/>
            </w:pPr>
            <w:r>
              <w:rPr>
                <w:sz w:val="19"/>
              </w:rPr>
              <w:t xml:space="preserve">S11</w:t>
            </w:r>
          </w:p>
        </w:tc>
        <w:tc>
          <w:tcPr/>
          <w:p>
            <w:pPr>
              <w:pStyle w:val="Compact"/>
            </w:pPr>
            <w:r>
              <w:rPr>
                <w:sz w:val="19"/>
              </w:rPr>
              <w:t xml:space="preserve">Ratings, Interest Coverage Ratios and Default Spread</w:t>
            </w:r>
          </w:p>
        </w:tc>
        <w:tc>
          <w:tcPr/>
          <w:p>
            <w:pPr>
              <w:pStyle w:val="Compact"/>
            </w:pPr>
            <w:r>
              <w:rPr>
                <w:sz w:val="19"/>
              </w:rPr>
              <w:t xml:space="preserve">Aswath Damodaran, NYU Stern</w:t>
            </w:r>
          </w:p>
        </w:tc>
        <w:tc>
          <w:tcPr/>
          <w:p>
            <w:pPr>
              <w:pStyle w:val="Compact"/>
            </w:pPr>
            <w:r>
              <w:rPr>
                <w:sz w:val="19"/>
              </w:rPr>
              <w:t xml:space="preserve">January 2026</w:t>
            </w:r>
          </w:p>
        </w:tc>
        <w:tc>
          <w:tcPr/>
          <w:p>
            <w:pPr>
              <w:pStyle w:val="Compact"/>
            </w:pPr>
            <w:r>
              <w:rPr>
                <w:sz w:val="19"/>
              </w:rPr>
              <w:t xml:space="preserve">https://pages.stern.nyu.edu/~adamodar/New_Home_Page/datafile/ratings.html</w:t>
            </w:r>
          </w:p>
        </w:tc>
      </w:tr>
      <w:tr>
        <w:tc>
          <w:tcPr/>
          <w:p>
            <w:pPr>
              <w:pStyle w:val="Compact"/>
            </w:pPr>
            <w:r>
              <w:rPr>
                <w:sz w:val="19"/>
              </w:rPr>
              <w:t xml:space="preserve">S12</w:t>
            </w:r>
          </w:p>
        </w:tc>
        <w:tc>
          <w:tcPr/>
          <w:p>
            <w:pPr>
              <w:pStyle w:val="Compact"/>
            </w:pPr>
            <w:r>
              <w:rPr>
                <w:sz w:val="19"/>
              </w:rPr>
              <w:t xml:space="preserve">Country Default Spreads and Risk Premiums</w:t>
            </w:r>
          </w:p>
        </w:tc>
        <w:tc>
          <w:tcPr/>
          <w:p>
            <w:pPr>
              <w:pStyle w:val="Compact"/>
            </w:pPr>
            <w:r>
              <w:rPr>
                <w:sz w:val="19"/>
              </w:rPr>
              <w:t xml:space="preserve">Aswath Damodaran, NYU Stern</w:t>
            </w:r>
          </w:p>
        </w:tc>
        <w:tc>
          <w:tcPr/>
          <w:p>
            <w:pPr>
              <w:pStyle w:val="Compact"/>
            </w:pPr>
            <w:r>
              <w:rPr>
                <w:sz w:val="19"/>
              </w:rPr>
              <w:t xml:space="preserve">2026-01-05</w:t>
            </w:r>
          </w:p>
        </w:tc>
        <w:tc>
          <w:tcPr/>
          <w:p>
            <w:pPr>
              <w:pStyle w:val="Compact"/>
            </w:pPr>
            <w:r>
              <w:rPr>
                <w:sz w:val="19"/>
              </w:rPr>
              <w:t xml:space="preserve">https://pages.stern.nyu.edu/~adamodar/New_Home_Page/datafile/ctryprem.html</w:t>
            </w:r>
          </w:p>
        </w:tc>
      </w:tr>
      <w:tr>
        <w:tc>
          <w:tcPr/>
          <w:p>
            <w:pPr>
              <w:pStyle w:val="Compact"/>
            </w:pPr>
            <w:r>
              <w:rPr>
                <w:sz w:val="19"/>
              </w:rPr>
              <w:t xml:space="preserve">S13</w:t>
            </w:r>
          </w:p>
        </w:tc>
        <w:tc>
          <w:tcPr/>
          <w:p>
            <w:pPr>
              <w:pStyle w:val="Compact"/>
            </w:pPr>
            <w:r>
              <w:rPr>
                <w:sz w:val="19"/>
              </w:rPr>
              <w:t xml:space="preserve">Daily Treasury Par Yield Curve Rates, 2026</w:t>
            </w:r>
          </w:p>
        </w:tc>
        <w:tc>
          <w:tcPr/>
          <w:p>
            <w:pPr>
              <w:pStyle w:val="Compact"/>
            </w:pPr>
            <w:r>
              <w:rPr>
                <w:sz w:val="19"/>
              </w:rPr>
              <w:t xml:space="preserve">US Department of the Treasury</w:t>
            </w:r>
          </w:p>
        </w:tc>
        <w:tc>
          <w:tcPr/>
          <w:p>
            <w:pPr>
              <w:pStyle w:val="Compact"/>
            </w:pPr>
            <w:r>
              <w:rPr>
                <w:sz w:val="19"/>
              </w:rPr>
              <w:t xml:space="preserve">2026-10-02</w:t>
            </w:r>
          </w:p>
        </w:tc>
        <w:tc>
          <w:tcPr/>
          <w:p>
            <w:pPr>
              <w:pStyle w:val="Compact"/>
            </w:pPr>
            <w:r>
              <w:rPr>
                <w:sz w:val="19"/>
              </w:rPr>
              <w:t xml:space="preserve">https://home.treasury.gov/resource-center/data-chart-center/interest-rates/TextView?type=daily_treasury_yield_curve&amp;field_tdr_date_value=2026</w:t>
            </w:r>
          </w:p>
        </w:tc>
      </w:tr>
      <w:tr>
        <w:tc>
          <w:tcPr/>
          <w:p>
            <w:pPr>
              <w:pStyle w:val="Compact"/>
            </w:pPr>
            <w:r>
              <w:rPr>
                <w:sz w:val="19"/>
              </w:rPr>
              <w:t xml:space="preserve">S14</w:t>
            </w:r>
          </w:p>
        </w:tc>
        <w:tc>
          <w:tcPr/>
          <w:p>
            <w:pPr>
              <w:pStyle w:val="Compact"/>
            </w:pPr>
            <w:r>
              <w:rPr>
                <w:sz w:val="19"/>
              </w:rPr>
              <w:t xml:space="preserve">Monthly adjusted prices for HSY, SPY, and BIL, September 2021 to August 2026, pulled with yfinance</w:t>
            </w:r>
          </w:p>
        </w:tc>
        <w:tc>
          <w:tcPr/>
          <w:p>
            <w:pPr>
              <w:pStyle w:val="Compact"/>
            </w:pPr>
            <w:r>
              <w:rPr>
                <w:sz w:val="19"/>
              </w:rPr>
              <w:t xml:space="preserve">Yahoo Finance</w:t>
            </w:r>
          </w:p>
        </w:tc>
        <w:tc>
          <w:tcPr/>
          <w:p>
            <w:pPr>
              <w:pStyle w:val="Compact"/>
            </w:pPr>
            <w:r>
              <w:rPr>
                <w:sz w:val="19"/>
              </w:rPr>
              <w:t xml:space="preserve">accessed 2026-10-05</w:t>
            </w:r>
          </w:p>
        </w:tc>
        <w:tc>
          <w:tcPr/>
          <w:p>
            <w:pPr>
              <w:pStyle w:val="Compact"/>
            </w:pPr>
            <w:r>
              <w:rPr>
                <w:sz w:val="19"/>
              </w:rPr>
              <w:t xml:space="preserve">https://finance.yahoo.com/quote/HSY/history</w:t>
            </w:r>
          </w:p>
        </w:tc>
      </w:tr>
    </w:tbl>
    <w:bookmarkEnd w:id="15"/>
    <w:bookmarkStart w:id="16" w:name="numbers-we-still-need"/>
    <w:p>
      <w:pPr>
        <w:pStyle w:val="Heading2"/>
      </w:pPr>
      <w:r>
        <w:rPr>
          <w:color w:val="000000"/>
        </w:rPr>
        <w:t xml:space="preserve">Numbers we still need</w:t>
      </w:r>
    </w:p>
    <w:p>
      <w:pPr>
        <w:pStyle w:val="Compact"/>
        <w:numPr>
          <w:ilvl w:val="0"/>
          <w:numId w:val="1002"/>
        </w:numPr>
      </w:pPr>
      <w:r>
        <w:rPr>
          <w:color w:val="000000"/>
        </w:rPr>
        <w:t xml:space="preserve">FactSet’s beta for Hershey (0.34 on the WACC tab, cell F10): the screen and the date. Until we have them, it is not used or cited.</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Aptos"/>
      <w:color w:val="000000"/>
      <w:sz w:val="22"/>
    </w:rPr>
  </w:style>
  <w:style w:styleId="BodyText" w:type="paragraph">
    <w:name w:val="Body Text"/>
    <w:basedOn w:val="Normal"/>
    <w:link w:val="BodyTextChar"/>
    <w:qFormat/>
    <w:pPr>
      <w:spacing w:after="180" w:before="180"/>
    </w:pPr>
    <w:rPr>
      <w:rFonts w:ascii="Aptos" w:hAnsi="Aptos" w:eastAsia="Aptos"/>
      <w:color w:val="000000"/>
    </w:rPr>
  </w:style>
  <w:style w:customStyle="1" w:styleId="FirstParagraph" w:type="paragraph">
    <w:name w:val="First Paragraph"/>
    <w:basedOn w:val="BodyText"/>
    <w:next w:val="BodyText"/>
    <w:qFormat/>
    <w:rPr>
      <w:rFonts w:ascii="Aptos" w:hAnsi="Aptos" w:eastAsia="Aptos"/>
      <w:color w:val="000000"/>
    </w:rPr>
  </w:style>
  <w:style w:customStyle="1" w:styleId="Compact" w:type="paragraph">
    <w:name w:val="Compact"/>
    <w:basedOn w:val="BodyText"/>
    <w:qFormat/>
    <w:pPr>
      <w:spacing w:after="36" w:before="36"/>
    </w:pPr>
    <w:rPr>
      <w:rFonts w:ascii="Aptos" w:hAnsi="Aptos" w:eastAsia="Aptos"/>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Aptos" w:hAnsi="Aptos" w:eastAsia="Aptos"/>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Aptos" w:hAnsi="Aptos" w:eastAsia="Aptos"/>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Aptos" w:hAnsi="Aptos" w:eastAsia="Aptos"/>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Aptos" w:hAnsi="Aptos" w:eastAsia="Aptos"/>
      <w:color w:val="000000"/>
      <w:spacing w:val="15"/>
      <w:sz w:val="28"/>
      <w:szCs w:val="28"/>
    </w:rPr>
  </w:style>
  <w:style w:customStyle="1" w:styleId="Author" w:type="paragraph">
    <w:name w:val="Author"/>
    <w:basedOn w:val="Title"/>
    <w:next w:val="BodyText"/>
    <w:qFormat/>
    <w:pPr>
      <w:keepNext/>
      <w:keepLines/>
    </w:pPr>
    <w:rPr>
      <w:rFonts w:ascii="Aptos" w:hAnsi="Aptos" w:eastAsia="Aptos"/>
      <w:color w:val="000000"/>
      <w:sz w:val="24"/>
      <w:szCs w:val="24"/>
    </w:rPr>
  </w:style>
  <w:style w:styleId="Date" w:type="paragraph">
    <w:name w:val="Date"/>
    <w:basedOn w:val="Title"/>
    <w:next w:val="BodyText"/>
    <w:qFormat/>
    <w:pPr>
      <w:keepNext/>
      <w:keepLines/>
    </w:pPr>
    <w:rPr>
      <w:rFonts w:ascii="Aptos" w:hAnsi="Aptos" w:eastAsia="Aptos"/>
      <w:color w:val="000000"/>
      <w:sz w:val="24"/>
      <w:szCs w:val="24"/>
    </w:rPr>
  </w:style>
  <w:style w:customStyle="1" w:styleId="AbstractTitle" w:type="paragraph">
    <w:name w:val="Abstract Title"/>
    <w:basedOn w:val="Normal"/>
    <w:next w:val="Abstract"/>
    <w:qFormat/>
    <w:pPr>
      <w:keepNext/>
      <w:keepLines/>
      <w:spacing w:after="0" w:before="300"/>
      <w:jc w:val="center"/>
    </w:pPr>
    <w:rPr>
      <w:rFonts w:ascii="Aptos" w:hAnsi="Aptos" w:eastAsia="Aptos"/>
      <w:b/>
      <w:color w:val="000000"/>
      <w:sz w:val="20"/>
      <w:szCs w:val="20"/>
    </w:rPr>
  </w:style>
  <w:style w:customStyle="1" w:styleId="Abstract" w:type="paragraph">
    <w:name w:val="Abstract"/>
    <w:basedOn w:val="Normal"/>
    <w:next w:val="BodyText"/>
    <w:qFormat/>
    <w:pPr>
      <w:keepNext/>
      <w:keepLines/>
      <w:spacing w:after="300" w:before="100"/>
    </w:pPr>
    <w:rPr>
      <w:rFonts w:ascii="Aptos" w:hAnsi="Aptos" w:eastAsia="Aptos"/>
      <w:color w:val="000000"/>
      <w:sz w:val="20"/>
      <w:szCs w:val="20"/>
    </w:rPr>
  </w:style>
  <w:style w:styleId="Bibliography" w:type="paragraph">
    <w:name w:val="Bibliography"/>
    <w:basedOn w:val="Normal"/>
    <w:next w:val="Bibliography"/>
    <w:qFormat/>
    <w:pPr/>
    <w:rPr>
      <w:rFonts w:ascii="Aptos" w:hAnsi="Aptos" w:eastAsia="Aptos"/>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ptos" w:hAnsi="Aptos" w:eastAsia="Aptos"/>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ptos" w:hAnsi="Aptos" w:eastAsia="Aptos"/>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ptos" w:hAnsi="Aptos" w:eastAsia="Aptos"/>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Aptos" w:hAnsi="Aptos" w:eastAsia="Aptos"/>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Aptos" w:hAnsi="Aptos" w:eastAsia="Aptos"/>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Aptos" w:hAnsi="Aptos" w:eastAsia="Aptos"/>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Aptos" w:hAnsi="Aptos" w:eastAsia="Aptos"/>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Aptos" w:hAnsi="Aptos" w:eastAsia="Aptos"/>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Aptos" w:hAnsi="Aptos" w:eastAsia="Aptos"/>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Aptos" w:hAnsi="Aptos" w:eastAsia="Aptos"/>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Aptos" w:hAnsi="Aptos" w:eastAsia="Aptos"/>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Aptos" w:hAnsi="Aptos" w:eastAsia="Aptos"/>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Aptos" w:hAnsi="Aptos" w:eastAsia="Aptos"/>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ascii="Aptos" w:hAnsi="Aptos" w:eastAsia="Aptos"/>
      <w:color w:val="000000"/>
    </w:rPr>
  </w:style>
  <w:style w:customStyle="1" w:styleId="Heading6Char" w:type="character">
    <w:name w:val="Heading 6 Char"/>
    <w:basedOn w:val="DefaultParagraphFont"/>
    <w:link w:val="Heading6"/>
    <w:uiPriority w:val="9"/>
    <w:semiHidden/>
    <w:rsid w:val="00A10FD9"/>
    <w:rPr>
      <w:rFonts w:cstheme="majorBidi" w:eastAsiaTheme="majorEastAsia" w:ascii="Aptos" w:hAnsi="Aptos" w:eastAsia="Aptos"/>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ascii="Aptos" w:hAnsi="Aptos" w:eastAsia="Aptos"/>
      <w:color w:val="000000"/>
    </w:rPr>
  </w:style>
  <w:style w:customStyle="1" w:styleId="Heading8Char" w:type="character">
    <w:name w:val="Heading 8 Char"/>
    <w:basedOn w:val="DefaultParagraphFont"/>
    <w:link w:val="Heading8"/>
    <w:uiPriority w:val="9"/>
    <w:semiHidden/>
    <w:rsid w:val="00A10FD9"/>
    <w:rPr>
      <w:rFonts w:cstheme="majorBidi" w:eastAsiaTheme="majorEastAsia" w:ascii="Aptos" w:hAnsi="Aptos" w:eastAsia="Aptos"/>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ascii="Aptos" w:hAnsi="Aptos" w:eastAsia="Aptos"/>
      <w:color w:val="000000"/>
    </w:rPr>
  </w:style>
  <w:style w:styleId="BlockText" w:type="paragraph">
    <w:name w:val="Block Text"/>
    <w:basedOn w:val="BodyText"/>
    <w:next w:val="BodyText"/>
    <w:uiPriority w:val="9"/>
    <w:unhideWhenUsed/>
    <w:qFormat/>
    <w:pPr>
      <w:spacing w:after="100" w:before="100"/>
      <w:ind w:firstLine="0" w:left="480" w:right="480"/>
    </w:pPr>
    <w:rPr>
      <w:rFonts w:ascii="Aptos" w:hAnsi="Aptos" w:eastAsia="Aptos"/>
      <w:color w:val="000000"/>
    </w:rPr>
  </w:style>
  <w:style w:styleId="FootnoteText" w:type="paragraph">
    <w:name w:val="Footnote Text"/>
    <w:basedOn w:val="Normal"/>
    <w:next w:val="FootnoteText"/>
    <w:uiPriority w:val="9"/>
    <w:unhideWhenUsed/>
    <w:qFormat/>
    <w:rPr>
      <w:rFonts w:ascii="Aptos" w:hAnsi="Aptos" w:eastAsia="Aptos"/>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Aptos" w:hAnsi="Aptos" w:eastAsia="Aptos"/>
      <w:color w:val="000000"/>
    </w:rPr>
  </w:style>
  <w:style w:default="1" w:styleId="DefaultParagraphFont" w:type="character">
    <w:name w:val="Default Paragraph Font"/>
    <w:semiHidden/>
    <w:unhideWhenUsed/>
    <w:rPr>
      <w:rFonts w:ascii="Aptos" w:hAnsi="Aptos" w:eastAsia="Aptos"/>
      <w:color w:val="000000"/>
    </w:rPr>
  </w:style>
  <w:style w:default="1" w:styleId="Table" w:type="table">
    <w:name w:val="Table"/>
    <w:basedOn w:val="TableNormal"/>
    <w:semiHidden/>
    <w:unhideWhenUsed/>
    <w:qFormat/>
    <w:rPr>
      <w:rFonts w:ascii="Aptos" w:hAnsi="Aptos" w:eastAsia="Aptos"/>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ptos" w:hAnsi="Aptos" w:eastAsia="Aptos"/>
      <w:b/>
      <w:color w:val="000000"/>
    </w:rPr>
  </w:style>
  <w:style w:customStyle="1" w:styleId="Definition" w:type="paragraph">
    <w:name w:val="Definition"/>
    <w:basedOn w:val="Normal"/>
    <w:rPr>
      <w:rFonts w:ascii="Aptos" w:hAnsi="Aptos" w:eastAsia="Aptos"/>
      <w:color w:val="000000"/>
    </w:rPr>
  </w:style>
  <w:style w:styleId="Caption" w:type="paragraph">
    <w:name w:val="Caption"/>
    <w:basedOn w:val="Normal"/>
    <w:link w:val="BodyTextChar"/>
    <w:pPr>
      <w:spacing w:after="120" w:before="0"/>
    </w:pPr>
    <w:rPr>
      <w:rFonts w:ascii="Aptos" w:hAnsi="Aptos" w:eastAsia="Aptos"/>
      <w:i/>
      <w:color w:val="000000"/>
    </w:rPr>
  </w:style>
  <w:style w:customStyle="1" w:styleId="TableCaption" w:type="paragraph">
    <w:name w:val="Table Caption"/>
    <w:basedOn w:val="Caption"/>
    <w:pPr>
      <w:keepNext/>
    </w:pPr>
    <w:rPr>
      <w:rFonts w:ascii="Aptos" w:hAnsi="Aptos" w:eastAsia="Aptos"/>
      <w:color w:val="000000"/>
    </w:rPr>
  </w:style>
  <w:style w:customStyle="1" w:styleId="ImageCaption" w:type="paragraph">
    <w:name w:val="Image Caption"/>
    <w:basedOn w:val="Caption"/>
    <w:rPr>
      <w:rFonts w:ascii="Aptos" w:hAnsi="Aptos" w:eastAsia="Aptos"/>
      <w:color w:val="000000"/>
    </w:rPr>
  </w:style>
  <w:style w:customStyle="1" w:styleId="Figure" w:type="paragraph">
    <w:name w:val="Figure"/>
    <w:basedOn w:val="Normal"/>
    <w:rPr>
      <w:rFonts w:ascii="Aptos" w:hAnsi="Aptos" w:eastAsia="Aptos"/>
      <w:color w:val="000000"/>
    </w:rPr>
  </w:style>
  <w:style w:customStyle="1" w:styleId="CaptionedFigure" w:type="paragraph">
    <w:name w:val="Captioned Figure"/>
    <w:basedOn w:val="Figure"/>
    <w:pPr>
      <w:keepNext/>
    </w:pPr>
    <w:rPr>
      <w:rFonts w:ascii="Aptos" w:hAnsi="Aptos" w:eastAsia="Aptos"/>
      <w:color w:val="000000"/>
    </w:rPr>
  </w:style>
  <w:style w:customStyle="1" w:styleId="BodyTextChar" w:type="character">
    <w:name w:val="Body Text Char"/>
    <w:basedOn w:val="DefaultParagraphFont"/>
    <w:link w:val="BodyText"/>
    <w:rPr>
      <w:rFonts w:ascii="Aptos" w:hAnsi="Aptos" w:eastAsia="Aptos"/>
      <w:color w:val="000000"/>
    </w:rPr>
  </w:style>
  <w:style w:customStyle="1" w:styleId="VerbatimChar" w:type="character">
    <w:name w:val="Verbatim Char"/>
    <w:basedOn w:val="BodyTextChar"/>
    <w:rPr>
      <w:rFonts w:ascii="Aptos" w:hAnsi="Aptos" w:eastAsia="Aptos"/>
      <w:color w:val="000000"/>
      <w:sz w:val="22"/>
    </w:rPr>
  </w:style>
  <w:style w:customStyle="1" w:styleId="SectionNumber" w:type="character">
    <w:name w:val="Section Number"/>
    <w:basedOn w:val="BodyTextChar"/>
    <w:rPr>
      <w:rFonts w:ascii="Aptos" w:hAnsi="Aptos" w:eastAsia="Aptos"/>
      <w:color w:val="000000"/>
    </w:rPr>
  </w:style>
  <w:style w:styleId="FootnoteReference" w:type="character">
    <w:name w:val="Footnote Reference"/>
    <w:basedOn w:val="BodyTextChar"/>
    <w:rPr>
      <w:rFonts w:ascii="Aptos" w:hAnsi="Aptos" w:eastAsia="Aptos"/>
      <w:color w:val="000000"/>
      <w:vertAlign w:val="superscript"/>
    </w:rPr>
  </w:style>
  <w:style w:styleId="Hyperlink" w:type="character">
    <w:name w:val="Hyperlink"/>
    <w:basedOn w:val="BodyTextChar"/>
    <w:rPr>
      <w:rFonts w:ascii="Aptos" w:hAnsi="Aptos" w:eastAsia="Aptos"/>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ptos" w:hAnsi="Aptos" w:eastAsia="Aptos"/>
      <w:b w:val="0"/>
      <w:bCs w:val="0"/>
      <w:color w:val="000000"/>
    </w:rPr>
  </w:style>
  <w:style w:type="paragraph" w:customStyle="1" w:styleId="SourceCode">
    <w:name w:val="Source Code"/>
    <w:basedOn w:val="Normal"/>
    <w:link w:val="VerbatimChar"/>
    <w:pPr>
      <w:wordWrap w:val="off"/>
    </w:pPr>
    <w:rPr>
      <w:rFonts w:ascii="Aptos" w:hAnsi="Aptos" w:eastAsia="Aptos"/>
      <w:color w:val="000000"/>
    </w:rPr>
  </w:style>
  <w:style w:type="character" w:customStyle="1" w:styleId="KeywordTok">
    <w:name w:val="KeywordTok"/>
    <w:basedOn w:val="VerbatimChar"/>
    <w:rPr>
      <w:rFonts w:ascii="Aptos" w:hAnsi="Aptos" w:eastAsia="Aptos"/>
      <w:b/>
      <w:color w:val="000000"/>
    </w:rPr>
  </w:style>
  <w:style w:type="character" w:customStyle="1" w:styleId="DataTypeTok">
    <w:name w:val="DataTypeTok"/>
    <w:basedOn w:val="VerbatimChar"/>
    <w:rPr>
      <w:rFonts w:ascii="Aptos" w:hAnsi="Aptos" w:eastAsia="Aptos"/>
      <w:color w:val="000000"/>
    </w:rPr>
  </w:style>
  <w:style w:type="character" w:customStyle="1" w:styleId="DecValTok">
    <w:name w:val="DecValTok"/>
    <w:basedOn w:val="VerbatimChar"/>
    <w:rPr>
      <w:rFonts w:ascii="Aptos" w:hAnsi="Aptos" w:eastAsia="Aptos"/>
      <w:color w:val="000000"/>
    </w:rPr>
  </w:style>
  <w:style w:type="character" w:customStyle="1" w:styleId="BaseNTok">
    <w:name w:val="BaseNTok"/>
    <w:basedOn w:val="VerbatimChar"/>
    <w:rPr>
      <w:rFonts w:ascii="Aptos" w:hAnsi="Aptos" w:eastAsia="Aptos"/>
      <w:color w:val="000000"/>
    </w:rPr>
  </w:style>
  <w:style w:type="character" w:customStyle="1" w:styleId="FloatTok">
    <w:name w:val="FloatTok"/>
    <w:basedOn w:val="VerbatimChar"/>
    <w:rPr>
      <w:rFonts w:ascii="Aptos" w:hAnsi="Aptos" w:eastAsia="Aptos"/>
      <w:color w:val="000000"/>
    </w:rPr>
  </w:style>
  <w:style w:type="character" w:customStyle="1" w:styleId="ConstantTok">
    <w:name w:val="ConstantTok"/>
    <w:basedOn w:val="VerbatimChar"/>
    <w:rPr>
      <w:rFonts w:ascii="Aptos" w:hAnsi="Aptos" w:eastAsia="Aptos"/>
      <w:color w:val="000000"/>
    </w:rPr>
  </w:style>
  <w:style w:type="character" w:customStyle="1" w:styleId="CharTok">
    <w:name w:val="CharTok"/>
    <w:basedOn w:val="VerbatimChar"/>
    <w:rPr>
      <w:rFonts w:ascii="Aptos" w:hAnsi="Aptos" w:eastAsia="Aptos"/>
      <w:color w:val="000000"/>
    </w:rPr>
  </w:style>
  <w:style w:type="character" w:customStyle="1" w:styleId="SpecialCharTok">
    <w:name w:val="SpecialCharTok"/>
    <w:basedOn w:val="VerbatimChar"/>
    <w:rPr>
      <w:rFonts w:ascii="Aptos" w:hAnsi="Aptos" w:eastAsia="Aptos"/>
      <w:color w:val="000000"/>
    </w:rPr>
  </w:style>
  <w:style w:type="character" w:customStyle="1" w:styleId="StringTok">
    <w:name w:val="StringTok"/>
    <w:basedOn w:val="VerbatimChar"/>
    <w:rPr>
      <w:rFonts w:ascii="Aptos" w:hAnsi="Aptos" w:eastAsia="Aptos"/>
      <w:color w:val="000000"/>
    </w:rPr>
  </w:style>
  <w:style w:type="character" w:customStyle="1" w:styleId="VerbatimStringTok">
    <w:name w:val="VerbatimStringTok"/>
    <w:basedOn w:val="VerbatimChar"/>
    <w:rPr>
      <w:rFonts w:ascii="Aptos" w:hAnsi="Aptos" w:eastAsia="Aptos"/>
      <w:color w:val="000000"/>
    </w:rPr>
  </w:style>
  <w:style w:type="character" w:customStyle="1" w:styleId="SpecialStringTok">
    <w:name w:val="SpecialStringTok"/>
    <w:basedOn w:val="VerbatimChar"/>
    <w:rPr>
      <w:rFonts w:ascii="Aptos" w:hAnsi="Aptos" w:eastAsia="Aptos"/>
      <w:color w:val="000000"/>
    </w:rPr>
  </w:style>
  <w:style w:type="character" w:customStyle="1" w:styleId="ImportTok">
    <w:name w:val="ImportTok"/>
    <w:basedOn w:val="VerbatimChar"/>
    <w:rPr>
      <w:rFonts w:ascii="Aptos" w:hAnsi="Aptos" w:eastAsia="Aptos"/>
      <w:b/>
      <w:color w:val="000000"/>
    </w:rPr>
  </w:style>
  <w:style w:type="character" w:customStyle="1" w:styleId="CommentTok">
    <w:name w:val="CommentTok"/>
    <w:basedOn w:val="VerbatimChar"/>
    <w:rPr>
      <w:rFonts w:ascii="Aptos" w:hAnsi="Aptos" w:eastAsia="Aptos"/>
      <w:i/>
      <w:color w:val="000000"/>
    </w:rPr>
  </w:style>
  <w:style w:type="character" w:customStyle="1" w:styleId="DocumentationTok">
    <w:name w:val="DocumentationTok"/>
    <w:basedOn w:val="VerbatimChar"/>
    <w:rPr>
      <w:rFonts w:ascii="Aptos" w:hAnsi="Aptos" w:eastAsia="Aptos"/>
      <w:i/>
      <w:color w:val="000000"/>
    </w:rPr>
  </w:style>
  <w:style w:type="character" w:customStyle="1" w:styleId="AnnotationTok">
    <w:name w:val="AnnotationTok"/>
    <w:basedOn w:val="VerbatimChar"/>
    <w:rPr>
      <w:rFonts w:ascii="Aptos" w:hAnsi="Aptos" w:eastAsia="Aptos"/>
      <w:b/>
      <w:i/>
      <w:color w:val="000000"/>
    </w:rPr>
  </w:style>
  <w:style w:type="character" w:customStyle="1" w:styleId="CommentVarTok">
    <w:name w:val="CommentVarTok"/>
    <w:basedOn w:val="VerbatimChar"/>
    <w:rPr>
      <w:rFonts w:ascii="Aptos" w:hAnsi="Aptos" w:eastAsia="Aptos"/>
      <w:b/>
      <w:i/>
      <w:color w:val="000000"/>
    </w:rPr>
  </w:style>
  <w:style w:type="character" w:customStyle="1" w:styleId="OtherTok">
    <w:name w:val="OtherTok"/>
    <w:basedOn w:val="VerbatimChar"/>
    <w:rPr>
      <w:rFonts w:ascii="Aptos" w:hAnsi="Aptos" w:eastAsia="Aptos"/>
      <w:color w:val="000000"/>
    </w:rPr>
  </w:style>
  <w:style w:type="character" w:customStyle="1" w:styleId="FunctionTok">
    <w:name w:val="FunctionTok"/>
    <w:basedOn w:val="VerbatimChar"/>
    <w:rPr>
      <w:rFonts w:ascii="Aptos" w:hAnsi="Aptos" w:eastAsia="Aptos"/>
      <w:color w:val="000000"/>
    </w:rPr>
  </w:style>
  <w:style w:type="character" w:customStyle="1" w:styleId="VariableTok">
    <w:name w:val="VariableTok"/>
    <w:basedOn w:val="VerbatimChar"/>
    <w:rPr>
      <w:rFonts w:ascii="Aptos" w:hAnsi="Aptos" w:eastAsia="Aptos"/>
      <w:color w:val="000000"/>
    </w:rPr>
  </w:style>
  <w:style w:type="character" w:customStyle="1" w:styleId="ControlFlowTok">
    <w:name w:val="ControlFlowTok"/>
    <w:basedOn w:val="VerbatimChar"/>
    <w:rPr>
      <w:rFonts w:ascii="Aptos" w:hAnsi="Aptos" w:eastAsia="Aptos"/>
      <w:b/>
      <w:color w:val="000000"/>
    </w:rPr>
  </w:style>
  <w:style w:type="character" w:customStyle="1" w:styleId="OperatorTok">
    <w:name w:val="OperatorTok"/>
    <w:basedOn w:val="VerbatimChar"/>
    <w:rPr>
      <w:rFonts w:ascii="Aptos" w:hAnsi="Aptos" w:eastAsia="Aptos"/>
      <w:color w:val="000000"/>
    </w:rPr>
  </w:style>
  <w:style w:type="character" w:customStyle="1" w:styleId="BuiltInTok">
    <w:name w:val="BuiltInTok"/>
    <w:basedOn w:val="VerbatimChar"/>
    <w:rPr>
      <w:rFonts w:ascii="Aptos" w:hAnsi="Aptos" w:eastAsia="Aptos"/>
      <w:color w:val="000000"/>
    </w:rPr>
  </w:style>
  <w:style w:type="character" w:customStyle="1" w:styleId="ExtensionTok">
    <w:name w:val="ExtensionTok"/>
    <w:basedOn w:val="VerbatimChar"/>
    <w:rPr>
      <w:rFonts w:ascii="Aptos" w:hAnsi="Aptos" w:eastAsia="Aptos"/>
      <w:color w:val="000000"/>
    </w:rPr>
  </w:style>
  <w:style w:type="character" w:customStyle="1" w:styleId="PreprocessorTok">
    <w:name w:val="PreprocessorTok"/>
    <w:basedOn w:val="VerbatimChar"/>
    <w:rPr>
      <w:rFonts w:ascii="Aptos" w:hAnsi="Aptos" w:eastAsia="Aptos"/>
      <w:color w:val="000000"/>
    </w:rPr>
  </w:style>
  <w:style w:type="character" w:customStyle="1" w:styleId="AttributeTok">
    <w:name w:val="AttributeTok"/>
    <w:basedOn w:val="VerbatimChar"/>
    <w:rPr>
      <w:rFonts w:ascii="Aptos" w:hAnsi="Aptos" w:eastAsia="Aptos"/>
      <w:color w:val="000000"/>
    </w:rPr>
  </w:style>
  <w:style w:type="character" w:customStyle="1" w:styleId="RegionMarkerTok">
    <w:name w:val="RegionMarkerTok"/>
    <w:basedOn w:val="VerbatimChar"/>
    <w:rPr>
      <w:rFonts w:ascii="Aptos" w:hAnsi="Aptos" w:eastAsia="Aptos"/>
      <w:color w:val="000000"/>
    </w:rPr>
  </w:style>
  <w:style w:type="character" w:customStyle="1" w:styleId="InformationTok">
    <w:name w:val="InformationTok"/>
    <w:basedOn w:val="VerbatimChar"/>
    <w:rPr>
      <w:rFonts w:ascii="Aptos" w:hAnsi="Aptos" w:eastAsia="Aptos"/>
      <w:b/>
      <w:i/>
      <w:color w:val="000000"/>
    </w:rPr>
  </w:style>
  <w:style w:type="character" w:customStyle="1" w:styleId="WarningTok">
    <w:name w:val="WarningTok"/>
    <w:basedOn w:val="VerbatimChar"/>
    <w:rPr>
      <w:rFonts w:ascii="Aptos" w:hAnsi="Aptos" w:eastAsia="Aptos"/>
      <w:b/>
      <w:i/>
      <w:color w:val="000000"/>
    </w:rPr>
  </w:style>
  <w:style w:type="character" w:customStyle="1" w:styleId="AlertTok">
    <w:name w:val="AlertTok"/>
    <w:basedOn w:val="VerbatimChar"/>
    <w:rPr>
      <w:rFonts w:ascii="Aptos" w:hAnsi="Aptos" w:eastAsia="Aptos"/>
      <w:b/>
      <w:color w:val="000000"/>
    </w:rPr>
  </w:style>
  <w:style w:type="character" w:customStyle="1" w:styleId="ErrorTok">
    <w:name w:val="ErrorTok"/>
    <w:basedOn w:val="VerbatimChar"/>
    <w:rPr>
      <w:rFonts w:ascii="Aptos" w:hAnsi="Aptos" w:eastAsia="Aptos"/>
      <w:b/>
      <w:color w:val="000000"/>
    </w:rPr>
  </w:style>
  <w:style w:type="character" w:customStyle="1" w:styleId="NormalTok">
    <w:name w:val="NormalTok"/>
    <w:basedOn w:val="VerbatimChar"/>
    <w:rPr>
      <w:rFonts w:ascii="Aptos" w:hAnsi="Aptos" w:eastAsia="Aptos"/>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2026-10-05T16:46:44Z</dcterms:created>
  <dcterms:modified xsi:type="dcterms:W3CDTF">2026-10-05T16:46:44Z</dcterms:modified>
</cp:coreProperties>
</file>

<file path=docProps/custom.xml><?xml version="1.0" encoding="utf-8"?>
<Properties xmlns="http://schemas.openxmlformats.org/officeDocument/2006/custom-properties" xmlns:vt="http://schemas.openxmlformats.org/officeDocument/2006/docPropsVTypes"/>
</file>