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roject-milestone-3-cost-of-capital-memo"/>
    <w:p>
      <w:pPr>
        <w:pStyle w:val="Heading1"/>
      </w:pPr>
      <w:r>
        <w:rPr>
          <w:rFonts w:ascii="Aptos" w:hAnsi="Aptos"/>
          <w:color w:val="000000"/>
        </w:rPr>
        <w:t xml:space="preserve">Project Milestone 3: Cost of Capital Memo</w:t>
      </w:r>
    </w:p>
    <w:p>
      <w:pPr>
        <w:pStyle w:val="FirstParagraph"/>
      </w:pPr>
      <w:r>
        <w:rPr>
          <w:rFonts w:ascii="Aptos" w:hAnsi="Aptos"/>
          <w:b/>
          <w:bCs/>
          <w:color w:val="000000"/>
        </w:rPr>
        <w:t xml:space="preserve">Company: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The Hershey Company (NYSE: HSY)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b/>
          <w:bCs/>
          <w:color w:val="000000"/>
        </w:rPr>
        <w:t xml:space="preserve">Team: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Chris Lester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b/>
          <w:bCs/>
          <w:color w:val="000000"/>
        </w:rPr>
        <w:t xml:space="preserve">Date: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2026-10-05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b/>
          <w:bCs/>
          <w:color w:val="000000"/>
        </w:rPr>
        <w:t xml:space="preserve">Conclusion: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Hershey’s weighted average cost of capital is 6.78 percent: a 7.11 percent cost of equity on 87.4 percent of the capital and a 4.49 percent after-tax cost of debt on 12.6 percent. No size, private-firm, or country risk adjustment applies. The inputs are on the WACC calculation tab of our Q&amp;D workbook [S9], and each one below is tagged Reported (R), Derived (D), or Estimate (E).</w:t>
      </w:r>
    </w:p>
    <w:bookmarkStart w:id="9" w:name="cost-of-equity-7.11-percent"/>
    <w:p>
      <w:pPr>
        <w:pStyle w:val="Heading2"/>
      </w:pPr>
      <w:r>
        <w:rPr>
          <w:rFonts w:ascii="Aptos" w:hAnsi="Aptos"/>
          <w:color w:val="000000"/>
        </w:rPr>
        <w:t xml:space="preserve">1. Cost of equity: 7.11 percent</w:t>
      </w:r>
    </w:p>
    <w:p>
      <w:pPr>
        <w:pStyle w:val="FirstParagraph"/>
      </w:pPr>
      <w:r>
        <w:rPr>
          <w:rFonts w:ascii="Aptos" w:hAnsi="Aptos"/>
          <w:color w:val="000000"/>
        </w:rPr>
        <w:t xml:space="preserve">Cost of equity = risk-free rate + beta x equity risk premium = 5.28% + 0.4102 x 4.46% = 7.11%.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Risk-free rate, 5.28 percent (R).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The 10-year US Treasury par yield on October 2, 2026 [S13]. Our cash flows are in US dollars, so a US Treasury rate is the default-free rate that matches them.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Equity risk premium, 4.46 percent (R).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Damodaran’s total equity risk premium for the United States, January 2026 [S12]. It is his implied premium for the S&amp;P 500 and already includes the US country default spread of 0.23 percent.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Beta, 0.4102 (E).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We ran a regression of Hershey’s monthly excess returns on the S&amp;P 500’s (SPY), with BIL as the risk-free return, over the 60 months from September 2021 to August 2026 [S14]. The raw beta is 0.1153 (D). Its standard error is 0.195 and the R-squared is 0.006, so the raw figure cannot be told apart from zero. We therefore use the adjusted beta, (2/3) x 0.1153 + (1/3) x 1 = 0.4102, which pulls a noisy estimate toward the market average of 1. This is our judgment (Chris Lester). A defensive consumer staple should have a low beta, but not one near zero.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Cross-checks on the WACC tab.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Hamada’s method gives 0.35 (D): Damodaran’s food processing average beta of 0.61, at a 43.73 percent debt-to-equity ratio and a 10.37 percent tax rate [S10], unlevered and then relevered at Hershey’s debt-to-equity of 14.37 percent and our 22.96 percent tax rate. FactSet’s beta is 0.34 (R) [S8]. All three methods put Hershey far below the market’s beta of 1, as a defensive consumer staple should be. We use the adjusted regression beta, the highest of the three, which keeps the cost of equity conservative.</w:t>
      </w:r>
    </w:p>
    <w:bookmarkEnd w:id="9"/>
    <w:bookmarkStart w:id="10" w:name="Xdfc1b1226ed596c7d135583ca7520308a390ebe"/>
    <w:p>
      <w:pPr>
        <w:pStyle w:val="Heading2"/>
      </w:pPr>
      <w:r>
        <w:rPr>
          <w:rFonts w:ascii="Aptos" w:hAnsi="Aptos"/>
          <w:color w:val="000000"/>
        </w:rPr>
        <w:t xml:space="preserve">2. Cost of debt: 5.83 percent before tax, 4.49 percent after tax</w:t>
      </w:r>
    </w:p>
    <w:p>
      <w:pPr>
        <w:pStyle w:val="FirstParagraph"/>
      </w:pPr>
      <w:r>
        <w:rPr>
          <w:rFonts w:ascii="Aptos" w:hAnsi="Aptos"/>
          <w:b/>
          <w:bCs/>
          <w:color w:val="000000"/>
        </w:rPr>
        <w:t xml:space="preserve">Interest coverage, 7.58 (D).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FY2025 operating income of 1,441.5 divided by net interest expense of 190.2 [S1, pages 27 and 53].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Synthetic rating and spread, Aa2/AA and 0.55 percent (R).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For large non-financial firms, Damodaran’s table maps coverage between 6.5 and 8.5 to Aa2/AA with a 0.55 percent default spread (January 2026) [S11].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Pre-tax cost of debt, 5.83 percent (D).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5.28% + 0.55%. Hershey’s notes due 2028 to 2035, sold in February 2025, carry coupons of 4.55 to 5.10 percent, so the estimate is in line with what the company actually pays [S1].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Tax rate, 22.96 percent (D).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FY2025 income taxes of 330.9 divided by operating income of 1,441.5 [S1].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b/>
          <w:bCs/>
          <w:color w:val="000000"/>
        </w:rPr>
        <w:t xml:space="preserve">After-tax cost of debt: 5.83% x (1 - 0.2296) = 4.49 percent (D).</w:t>
      </w:r>
    </w:p>
    <w:bookmarkEnd w:id="10"/>
    <w:bookmarkStart w:id="11" w:name="wacc-6.78-percent"/>
    <w:p>
      <w:pPr>
        <w:pStyle w:val="Heading2"/>
      </w:pPr>
      <w:r>
        <w:rPr>
          <w:rFonts w:ascii="Aptos" w:hAnsi="Aptos"/>
          <w:color w:val="000000"/>
        </w:rPr>
        <w:t xml:space="preserve">3. WACC: 6.78 percent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Market value of equity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32,582.6 (203.4 million diluted shares x $160.19, close on October 2, 2026)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87.4%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Debt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4,681 (long-term debt, December 31, 2025)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12.6%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Total capital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37,263.6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</w:tr>
    </w:tbl>
    <w:p>
      <w:pPr>
        <w:pStyle w:val="BodyText"/>
      </w:pPr>
      <w:r>
        <w:rPr>
          <w:rFonts w:ascii="Aptos" w:hAnsi="Aptos"/>
          <w:color w:val="000000"/>
        </w:rPr>
        <w:t xml:space="preserve">WACC = 87.4% x 7.11% + 12.6% x 4.49% = 6.78 percent (D). Dollars are in millions [S9, S1].</w:t>
      </w:r>
    </w:p>
    <w:p>
      <w:pPr>
        <w:pStyle w:val="BodyText"/>
      </w:pPr>
      <w:r>
        <w:rPr>
          <w:rFonts w:ascii="Aptos" w:hAnsi="Aptos"/>
          <w:b/>
          <w:bCs/>
          <w:color w:val="000000"/>
        </w:rPr>
        <w:t xml:space="preserve">Book value for debt (E).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We use the book value of long-term debt as the estimate of its market value. Hershey’s long-term debt is fixed-rate notes, so book value is a reasonable stand-in (Chris Lester).</w:t>
      </w:r>
    </w:p>
    <w:bookmarkEnd w:id="11"/>
    <w:bookmarkStart w:id="12" w:name="risk-adjustments-none"/>
    <w:p>
      <w:pPr>
        <w:pStyle w:val="Heading2"/>
      </w:pPr>
      <w:r>
        <w:rPr>
          <w:rFonts w:ascii="Aptos" w:hAnsi="Aptos"/>
          <w:color w:val="000000"/>
        </w:rPr>
        <w:t xml:space="preserve">4. Risk adjustments: none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/>
          <w:b/>
          <w:bCs/>
          <w:color w:val="000000"/>
        </w:rPr>
        <w:t xml:space="preserve">Size.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At a 32.6 billion dollar market capitalization, Hershey is a large-cap company. A small-cap premium does not apply.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/>
          <w:b/>
          <w:bCs/>
          <w:color w:val="000000"/>
        </w:rPr>
        <w:t xml:space="preserve">Private firm.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Hershey trades on the NYSE, so no illiquidity or marketability discount applies.</w:t>
      </w:r>
    </w:p>
    <w:p>
      <w:pPr>
        <w:pStyle w:val="Compact"/>
        <w:numPr>
          <w:ilvl w:val="0"/>
          <w:numId w:val="1001"/>
        </w:numPr>
      </w:pPr>
      <w:r>
        <w:rPr>
          <w:rFonts w:ascii="Aptos" w:hAnsi="Aptos"/>
          <w:b/>
          <w:bCs/>
          <w:color w:val="000000"/>
        </w:rPr>
        <w:t xml:space="preserve">Country.</w:t>
      </w:r>
      <w:r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United States net sales were 10,251.6 of 11,692.6 in FY2025, or 87.7 percent [S1, page 93]. The International segment was 941.6, or 8.1 percent [S1, page 29]. The US equity risk premium we use already contains the US country spread [S12]. Only the remaining 12.3 percent of sales could carry a higher country premium, and we judge that too small to change the WACC (E, Chris Lester), so we do not adjust. We take the same position, a single US premium, in this module’s discussion of blended country risk.</w:t>
      </w:r>
    </w:p>
    <w:bookmarkEnd w:id="12"/>
    <w:bookmarkStart w:id="13" w:name="how-we-verified-each-input"/>
    <w:p>
      <w:pPr>
        <w:pStyle w:val="Heading2"/>
      </w:pPr>
      <w:r>
        <w:rPr>
          <w:rFonts w:ascii="Aptos" w:hAnsi="Aptos"/>
          <w:color w:val="000000"/>
        </w:rPr>
        <w:t xml:space="preserve">5. How we verified each input</w:t>
      </w:r>
    </w:p>
    <w:p>
      <w:pPr>
        <w:pStyle w:val="FirstParagraph"/>
      </w:pPr>
      <w:r>
        <w:rPr>
          <w:rFonts w:ascii="Aptos" w:hAnsi="Aptos"/>
          <w:color w:val="000000"/>
        </w:rPr>
        <w:t xml:space="preserve">We asked Claude to find each input on the WACC tab in its primary source and show us where it appears. The table lists what it found.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Regression beta 0.1153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Reran the 60-month regression with the same method (yfinance, statsmodels)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Matches for September 2021 to August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Equity risk premium 4.46%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Damodaran country premium table, US row [S12]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Industry beta, D/E, tax rate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Damodaran betas by sector, Food Processing row [S10]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0.61, 43.73%, 10.37%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Default spread 0.55%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Damodaran ratings table, coverage 6.5 to 8.5 [S11]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Risk-free rate 5.28%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Treasury daily par yield curve, October 2, 2026 [S13]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Matches the 10-year 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Interest coverage 7.58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FY2025 operating income and net interest expense in the 10-K [S1]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Matches</w:t>
            </w:r>
          </w:p>
        </w:tc>
      </w:tr>
    </w:tbl>
    <w:bookmarkEnd w:id="13"/>
    <w:bookmarkStart w:id="14" w:name="inputs-for-the-knowledge-bank"/>
    <w:p>
      <w:pPr>
        <w:pStyle w:val="Heading2"/>
      </w:pPr>
      <w:r>
        <w:rPr>
          <w:rFonts w:ascii="Aptos" w:hAnsi="Aptos"/>
          <w:color w:val="000000"/>
        </w:rPr>
        <w:t xml:space="preserve">Inputs for the Knowledge Bank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Risk-free rate (10-year Treasury, 2026-10-02)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5.28%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Equity risk premium (US, January 2026)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4.46%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Raw regression beta (60 months)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0.1153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Adjusted beta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0.4102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E (Chris Lester)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Hamada beta, cross-check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FactSet beta, cross-check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Cost of equity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7.11%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Interest coverage, FY2025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7.58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Synthetic rating and default spread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Aa2/AA, 0.55%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Pre-tax cost of debt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5.83%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Tax rate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22.96%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After-tax cost of debt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4.49%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Equity weight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87.4%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Debt weight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12.6%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S1, 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WACC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6.78%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US share of net sales, FY2025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87.7%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</w:t>
            </w:r>
          </w:p>
        </w:tc>
      </w:tr>
    </w:tbl>
    <w:bookmarkEnd w:id="14"/>
    <w:bookmarkStart w:id="15" w:name="sources"/>
    <w:p>
      <w:pPr>
        <w:pStyle w:val="Heading2"/>
      </w:pPr>
      <w:r>
        <w:rPr>
          <w:rFonts w:ascii="Aptos" w:hAnsi="Aptos"/>
          <w:color w:val="000000"/>
        </w:rPr>
        <w:t xml:space="preserve">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The Hershey Company Form 10-K for fiscal 2025, accession 0001628280-26-008586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SEC EDGAR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https://www.sec.gov/Archives/edgar/data/47111/000162828026008586/hsy-20251231.htm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FactSet consensus estimates and beta for Hershey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FactSet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2026-10-04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FactSet terminal (licensed; not linked)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Team Q&amp;D workbook for Hershey, WACC calculation tab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FIN 5370 HSY team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workbook/QD-HSY.xlsx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Betas by Sector (US)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January 2026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https://pages.stern.nyu.edu/~adamodar/New_Home_Page/datafile/Betas.html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Ratings, Interest Coverage Ratios and Default Spread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January 2026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https://pages.stern.nyu.edu/~adamodar/New_Home_Page/datafile/ratings.html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Country Default Spreads and Risk Premiums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https://pages.stern.nyu.edu/~adamodar/New_Home_Page/datafile/ctryprem.html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S13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Daily Treasury Par Yield Curve Rates, 2026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US Department of the Treasury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2026-10-02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https://home.treasury.gov/resource-center/data-chart-center/interest-rates/TextView?type=daily_treasury_yield_curve&amp;field_tdr_date_value=2026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Monthly adjusted prices for HSY, SPY, and BIL, September 2021 to August 2026, pulled with yfinance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Yahoo Finance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accessed 2026-10-05</w:t>
            </w:r>
          </w:p>
        </w:tc>
        <w:tc>
          <w:tcPr/>
          <w:p>
            <w:pPr>
              <w:pStyle w:val="Compact"/>
            </w:pPr>
            <w:r>
              <w:rPr>
                <w:rFonts w:ascii="Aptos" w:hAnsi="Aptos"/>
                <w:sz w:val="19"/>
              </w:rPr>
              <w:t xml:space="preserve">https://finance.yahoo.com/quote/HSY/history</w:t>
            </w:r>
          </w:p>
        </w:tc>
      </w:tr>
    </w:tbl>
    <w:bookmarkEnd w:id="15"/>
    <w:bookmarkStart w:id="16" w:name="numbers-we-still-need"/>
    <w:p>
      <w:pPr>
        <w:pStyle w:val="Heading2"/>
      </w:pPr>
      <w:r>
        <w:rPr>
          <w:rFonts w:ascii="Aptos" w:hAnsi="Aptos"/>
          <w:color w:val="000000"/>
        </w:rPr>
        <w:t xml:space="preserve">Numbers we still need</w:t>
      </w:r>
    </w:p>
    <w:p>
      <w:pPr>
        <w:pStyle w:val="Compact"/>
        <w:numPr>
          <w:ilvl w:val="0"/>
          <w:numId w:val="1002"/>
        </w:numPr>
      </w:pPr>
      <w:r>
        <w:rPr>
          <w:rFonts w:ascii="Aptos" w:hAnsi="Aptos"/>
          <w:color w:val="000000"/>
        </w:rPr>
        <w:t xml:space="preserve">None.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ptos" w:hAnsi="Aptos" w:eastAsia="Aptos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ptos" w:hAnsi="Aptos" w:eastAsia="Aptos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Aptos" w:hAnsi="Aptos" w:eastAsia="Aptos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ptos" w:hAnsi="Aptos" w:eastAsia="Aptos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Aptos" w:hAnsi="Aptos" w:eastAsia="Aptos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Aptos" w:hAnsi="Aptos" w:eastAsia="Aptos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Aptos" w:hAnsi="Aptos" w:eastAsia="Aptos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Aptos" w:hAnsi="Aptos" w:eastAsia="Aptos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ptos" w:hAnsi="Aptos" w:eastAsia="Aptos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ptos" w:hAnsi="Aptos" w:eastAsia="Aptos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ptos" w:hAnsi="Aptos" w:eastAsia="Aptos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ptos" w:hAnsi="Aptos" w:eastAsia="Aptos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ptos" w:hAnsi="Aptos" w:eastAsia="Aptos"/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Aptos" w:hAnsi="Aptos" w:eastAsia="Aptos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Aptos" w:hAnsi="Aptos" w:eastAsia="Aptos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Aptos" w:hAnsi="Aptos" w:eastAsia="Aptos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Aptos" w:hAnsi="Aptos" w:eastAsia="Aptos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Aptos" w:hAnsi="Aptos" w:eastAsia="Aptos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Aptos" w:hAnsi="Aptos" w:eastAsia="Aptos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Aptos" w:hAnsi="Aptos" w:eastAsia="Aptos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Aptos" w:hAnsi="Aptos" w:eastAsia="Aptos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Aptos" w:hAnsi="Aptos" w:eastAsia="Aptos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Aptos" w:hAnsi="Aptos" w:eastAsia="Aptos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Aptos" w:hAnsi="Aptos" w:eastAsia="Aptos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Aptos" w:hAnsi="Aptos" w:eastAsia="Aptos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Aptos" w:hAnsi="Aptos" w:eastAsia="Aptos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Aptos" w:hAnsi="Aptos" w:eastAsia="Aptos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Aptos" w:hAnsi="Aptos" w:eastAsia="Aptos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Aptos" w:hAnsi="Aptos" w:eastAsia="Aptos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Aptos" w:hAnsi="Aptos" w:eastAsia="Aptos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Aptos" w:hAnsi="Aptos" w:eastAsia="Aptos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ptos" w:hAnsi="Aptos" w:eastAsia="Aptos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ptos" w:hAnsi="Aptos" w:eastAsia="Aptos"/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ptos" w:hAnsi="Aptos" w:eastAsia="Aptos"/>
      <w:color w:val="000000"/>
    </w:rPr>
  </w:style>
  <w:style w:default="1" w:styleId="DefaultParagraphFont" w:type="character">
    <w:name w:val="Default Paragraph Font"/>
    <w:semiHidden/>
    <w:unhideWhenUsed/>
    <w:rPr>
      <w:rFonts w:ascii="Aptos" w:hAnsi="Aptos" w:eastAsia="Aptos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Aptos" w:hAnsi="Aptos" w:eastAsia="Aptos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ptos" w:hAnsi="Aptos" w:eastAsia="Aptos"/>
      <w:b/>
      <w:color w:val="000000"/>
    </w:rPr>
  </w:style>
  <w:style w:customStyle="1" w:styleId="Definition" w:type="paragraph">
    <w:name w:val="Definition"/>
    <w:basedOn w:val="Normal"/>
    <w:rPr>
      <w:rFonts w:ascii="Aptos" w:hAnsi="Aptos" w:eastAsia="Aptos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ptos" w:hAnsi="Aptos" w:eastAsia="Aptos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ptos" w:hAnsi="Aptos" w:eastAsia="Aptos"/>
      <w:color w:val="000000"/>
    </w:rPr>
  </w:style>
  <w:style w:customStyle="1" w:styleId="ImageCaption" w:type="paragraph">
    <w:name w:val="Image Caption"/>
    <w:basedOn w:val="Caption"/>
    <w:rPr>
      <w:rFonts w:ascii="Aptos" w:hAnsi="Aptos" w:eastAsia="Aptos"/>
      <w:color w:val="000000"/>
    </w:rPr>
  </w:style>
  <w:style w:customStyle="1" w:styleId="Figure" w:type="paragraph">
    <w:name w:val="Figure"/>
    <w:basedOn w:val="Normal"/>
    <w:rPr>
      <w:rFonts w:ascii="Aptos" w:hAnsi="Aptos" w:eastAsia="Aptos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ptos" w:hAnsi="Aptos" w:eastAsia="Aptos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Aptos" w:hAnsi="Aptos" w:eastAsia="Aptos"/>
      <w:color w:val="000000"/>
    </w:rPr>
  </w:style>
  <w:style w:customStyle="1" w:styleId="VerbatimChar" w:type="character">
    <w:name w:val="Verbatim Char"/>
    <w:basedOn w:val="BodyTextChar"/>
    <w:rPr>
      <w:rFonts w:ascii="Aptos" w:hAnsi="Aptos" w:eastAsia="Aptos"/>
      <w:color w:val="000000"/>
      <w:sz w:val="22"/>
    </w:rPr>
  </w:style>
  <w:style w:customStyle="1" w:styleId="SectionNumber" w:type="character">
    <w:name w:val="Section Number"/>
    <w:basedOn w:val="BodyTextChar"/>
    <w:rPr>
      <w:rFonts w:ascii="Aptos" w:hAnsi="Aptos" w:eastAsia="Aptos"/>
      <w:color w:val="000000"/>
    </w:rPr>
  </w:style>
  <w:style w:styleId="FootnoteReference" w:type="character">
    <w:name w:val="Footnote Reference"/>
    <w:basedOn w:val="BodyTextChar"/>
    <w:rPr>
      <w:rFonts w:ascii="Aptos" w:hAnsi="Aptos" w:eastAsia="Aptos"/>
      <w:color w:val="000000"/>
      <w:vertAlign w:val="superscript"/>
    </w:rPr>
  </w:style>
  <w:style w:styleId="Hyperlink" w:type="character">
    <w:name w:val="Hyperlink"/>
    <w:basedOn w:val="BodyTextChar"/>
    <w:rPr>
      <w:rFonts w:ascii="Aptos" w:hAnsi="Aptos" w:eastAsia="Aptos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ptos" w:hAnsi="Aptos" w:eastAsia="Aptos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ptos" w:hAnsi="Aptos" w:eastAsia="Aptos"/>
      <w:color w:val="000000"/>
    </w:rPr>
  </w:style>
  <w:style w:type="character" w:customStyle="1" w:styleId="KeywordTok">
    <w:name w:val="KeywordTok"/>
    <w:basedOn w:val="VerbatimChar"/>
    <w:rPr>
      <w:rFonts w:ascii="Aptos" w:hAnsi="Aptos" w:eastAsia="Aptos"/>
      <w:b/>
      <w:color w:val="000000"/>
    </w:rPr>
  </w:style>
  <w:style w:type="character" w:customStyle="1" w:styleId="DataTypeTok">
    <w:name w:val="DataTypeTok"/>
    <w:basedOn w:val="VerbatimChar"/>
    <w:rPr>
      <w:rFonts w:ascii="Aptos" w:hAnsi="Aptos" w:eastAsia="Aptos"/>
      <w:color w:val="000000"/>
    </w:rPr>
  </w:style>
  <w:style w:type="character" w:customStyle="1" w:styleId="DecValTok">
    <w:name w:val="DecValTok"/>
    <w:basedOn w:val="VerbatimChar"/>
    <w:rPr>
      <w:rFonts w:ascii="Aptos" w:hAnsi="Aptos" w:eastAsia="Aptos"/>
      <w:color w:val="000000"/>
    </w:rPr>
  </w:style>
  <w:style w:type="character" w:customStyle="1" w:styleId="BaseNTok">
    <w:name w:val="BaseNTok"/>
    <w:basedOn w:val="VerbatimChar"/>
    <w:rPr>
      <w:rFonts w:ascii="Aptos" w:hAnsi="Aptos" w:eastAsia="Aptos"/>
      <w:color w:val="000000"/>
    </w:rPr>
  </w:style>
  <w:style w:type="character" w:customStyle="1" w:styleId="FloatTok">
    <w:name w:val="FloatTok"/>
    <w:basedOn w:val="VerbatimChar"/>
    <w:rPr>
      <w:rFonts w:ascii="Aptos" w:hAnsi="Aptos" w:eastAsia="Aptos"/>
      <w:color w:val="000000"/>
    </w:rPr>
  </w:style>
  <w:style w:type="character" w:customStyle="1" w:styleId="ConstantTok">
    <w:name w:val="ConstantTok"/>
    <w:basedOn w:val="VerbatimChar"/>
    <w:rPr>
      <w:rFonts w:ascii="Aptos" w:hAnsi="Aptos" w:eastAsia="Aptos"/>
      <w:color w:val="000000"/>
    </w:rPr>
  </w:style>
  <w:style w:type="character" w:customStyle="1" w:styleId="CharTok">
    <w:name w:val="CharTok"/>
    <w:basedOn w:val="VerbatimChar"/>
    <w:rPr>
      <w:rFonts w:ascii="Aptos" w:hAnsi="Aptos" w:eastAsia="Aptos"/>
      <w:color w:val="000000"/>
    </w:rPr>
  </w:style>
  <w:style w:type="character" w:customStyle="1" w:styleId="SpecialCharTok">
    <w:name w:val="SpecialCharTok"/>
    <w:basedOn w:val="VerbatimChar"/>
    <w:rPr>
      <w:rFonts w:ascii="Aptos" w:hAnsi="Aptos" w:eastAsia="Aptos"/>
      <w:color w:val="000000"/>
    </w:rPr>
  </w:style>
  <w:style w:type="character" w:customStyle="1" w:styleId="StringTok">
    <w:name w:val="StringTok"/>
    <w:basedOn w:val="VerbatimChar"/>
    <w:rPr>
      <w:rFonts w:ascii="Aptos" w:hAnsi="Aptos" w:eastAsia="Aptos"/>
      <w:color w:val="000000"/>
    </w:rPr>
  </w:style>
  <w:style w:type="character" w:customStyle="1" w:styleId="VerbatimStringTok">
    <w:name w:val="VerbatimStringTok"/>
    <w:basedOn w:val="VerbatimChar"/>
    <w:rPr>
      <w:rFonts w:ascii="Aptos" w:hAnsi="Aptos" w:eastAsia="Aptos"/>
      <w:color w:val="000000"/>
    </w:rPr>
  </w:style>
  <w:style w:type="character" w:customStyle="1" w:styleId="SpecialStringTok">
    <w:name w:val="SpecialStringTok"/>
    <w:basedOn w:val="VerbatimChar"/>
    <w:rPr>
      <w:rFonts w:ascii="Aptos" w:hAnsi="Aptos" w:eastAsia="Aptos"/>
      <w:color w:val="000000"/>
    </w:rPr>
  </w:style>
  <w:style w:type="character" w:customStyle="1" w:styleId="ImportTok">
    <w:name w:val="ImportTok"/>
    <w:basedOn w:val="VerbatimChar"/>
    <w:rPr>
      <w:rFonts w:ascii="Aptos" w:hAnsi="Aptos" w:eastAsia="Aptos"/>
      <w:b/>
      <w:color w:val="000000"/>
    </w:rPr>
  </w:style>
  <w:style w:type="character" w:customStyle="1" w:styleId="CommentTok">
    <w:name w:val="CommentTok"/>
    <w:basedOn w:val="VerbatimChar"/>
    <w:rPr>
      <w:rFonts w:ascii="Aptos" w:hAnsi="Aptos" w:eastAsia="Aptos"/>
      <w:i/>
      <w:color w:val="000000"/>
    </w:rPr>
  </w:style>
  <w:style w:type="character" w:customStyle="1" w:styleId="DocumentationTok">
    <w:name w:val="DocumentationTok"/>
    <w:basedOn w:val="VerbatimChar"/>
    <w:rPr>
      <w:rFonts w:ascii="Aptos" w:hAnsi="Aptos" w:eastAsia="Aptos"/>
      <w:i/>
      <w:color w:val="000000"/>
    </w:rPr>
  </w:style>
  <w:style w:type="character" w:customStyle="1" w:styleId="AnnotationTok">
    <w:name w:val="AnnotationTok"/>
    <w:basedOn w:val="VerbatimChar"/>
    <w:rPr>
      <w:rFonts w:ascii="Aptos" w:hAnsi="Aptos" w:eastAsia="Aptos"/>
      <w:b/>
      <w:i/>
      <w:color w:val="000000"/>
    </w:rPr>
  </w:style>
  <w:style w:type="character" w:customStyle="1" w:styleId="CommentVarTok">
    <w:name w:val="CommentVarTok"/>
    <w:basedOn w:val="VerbatimChar"/>
    <w:rPr>
      <w:rFonts w:ascii="Aptos" w:hAnsi="Aptos" w:eastAsia="Aptos"/>
      <w:b/>
      <w:i/>
      <w:color w:val="000000"/>
    </w:rPr>
  </w:style>
  <w:style w:type="character" w:customStyle="1" w:styleId="OtherTok">
    <w:name w:val="OtherTok"/>
    <w:basedOn w:val="VerbatimChar"/>
    <w:rPr>
      <w:rFonts w:ascii="Aptos" w:hAnsi="Aptos" w:eastAsia="Aptos"/>
      <w:color w:val="000000"/>
    </w:rPr>
  </w:style>
  <w:style w:type="character" w:customStyle="1" w:styleId="FunctionTok">
    <w:name w:val="FunctionTok"/>
    <w:basedOn w:val="VerbatimChar"/>
    <w:rPr>
      <w:rFonts w:ascii="Aptos" w:hAnsi="Aptos" w:eastAsia="Aptos"/>
      <w:color w:val="000000"/>
    </w:rPr>
  </w:style>
  <w:style w:type="character" w:customStyle="1" w:styleId="VariableTok">
    <w:name w:val="VariableTok"/>
    <w:basedOn w:val="VerbatimChar"/>
    <w:rPr>
      <w:rFonts w:ascii="Aptos" w:hAnsi="Aptos" w:eastAsia="Aptos"/>
      <w:color w:val="000000"/>
    </w:rPr>
  </w:style>
  <w:style w:type="character" w:customStyle="1" w:styleId="ControlFlowTok">
    <w:name w:val="ControlFlowTok"/>
    <w:basedOn w:val="VerbatimChar"/>
    <w:rPr>
      <w:rFonts w:ascii="Aptos" w:hAnsi="Aptos" w:eastAsia="Aptos"/>
      <w:b/>
      <w:color w:val="000000"/>
    </w:rPr>
  </w:style>
  <w:style w:type="character" w:customStyle="1" w:styleId="OperatorTok">
    <w:name w:val="OperatorTok"/>
    <w:basedOn w:val="VerbatimChar"/>
    <w:rPr>
      <w:rFonts w:ascii="Aptos" w:hAnsi="Aptos" w:eastAsia="Aptos"/>
      <w:color w:val="000000"/>
    </w:rPr>
  </w:style>
  <w:style w:type="character" w:customStyle="1" w:styleId="BuiltInTok">
    <w:name w:val="BuiltInTok"/>
    <w:basedOn w:val="VerbatimChar"/>
    <w:rPr>
      <w:rFonts w:ascii="Aptos" w:hAnsi="Aptos" w:eastAsia="Aptos"/>
      <w:color w:val="000000"/>
    </w:rPr>
  </w:style>
  <w:style w:type="character" w:customStyle="1" w:styleId="ExtensionTok">
    <w:name w:val="ExtensionTok"/>
    <w:basedOn w:val="VerbatimChar"/>
    <w:rPr>
      <w:rFonts w:ascii="Aptos" w:hAnsi="Aptos" w:eastAsia="Aptos"/>
      <w:color w:val="000000"/>
    </w:rPr>
  </w:style>
  <w:style w:type="character" w:customStyle="1" w:styleId="PreprocessorTok">
    <w:name w:val="PreprocessorTok"/>
    <w:basedOn w:val="VerbatimChar"/>
    <w:rPr>
      <w:rFonts w:ascii="Aptos" w:hAnsi="Aptos" w:eastAsia="Aptos"/>
      <w:color w:val="000000"/>
    </w:rPr>
  </w:style>
  <w:style w:type="character" w:customStyle="1" w:styleId="AttributeTok">
    <w:name w:val="AttributeTok"/>
    <w:basedOn w:val="VerbatimChar"/>
    <w:rPr>
      <w:rFonts w:ascii="Aptos" w:hAnsi="Aptos" w:eastAsia="Aptos"/>
      <w:color w:val="000000"/>
    </w:rPr>
  </w:style>
  <w:style w:type="character" w:customStyle="1" w:styleId="RegionMarkerTok">
    <w:name w:val="RegionMarkerTok"/>
    <w:basedOn w:val="VerbatimChar"/>
    <w:rPr>
      <w:rFonts w:ascii="Aptos" w:hAnsi="Aptos" w:eastAsia="Aptos"/>
      <w:color w:val="000000"/>
    </w:rPr>
  </w:style>
  <w:style w:type="character" w:customStyle="1" w:styleId="InformationTok">
    <w:name w:val="InformationTok"/>
    <w:basedOn w:val="VerbatimChar"/>
    <w:rPr>
      <w:rFonts w:ascii="Aptos" w:hAnsi="Aptos" w:eastAsia="Aptos"/>
      <w:b/>
      <w:i/>
      <w:color w:val="000000"/>
    </w:rPr>
  </w:style>
  <w:style w:type="character" w:customStyle="1" w:styleId="WarningTok">
    <w:name w:val="WarningTok"/>
    <w:basedOn w:val="VerbatimChar"/>
    <w:rPr>
      <w:rFonts w:ascii="Aptos" w:hAnsi="Aptos" w:eastAsia="Aptos"/>
      <w:b/>
      <w:i/>
      <w:color w:val="000000"/>
    </w:rPr>
  </w:style>
  <w:style w:type="character" w:customStyle="1" w:styleId="AlertTok">
    <w:name w:val="AlertTok"/>
    <w:basedOn w:val="VerbatimChar"/>
    <w:rPr>
      <w:rFonts w:ascii="Aptos" w:hAnsi="Aptos" w:eastAsia="Aptos"/>
      <w:b/>
      <w:color w:val="000000"/>
    </w:rPr>
  </w:style>
  <w:style w:type="character" w:customStyle="1" w:styleId="ErrorTok">
    <w:name w:val="ErrorTok"/>
    <w:basedOn w:val="VerbatimChar"/>
    <w:rPr>
      <w:rFonts w:ascii="Aptos" w:hAnsi="Aptos" w:eastAsia="Aptos"/>
      <w:b/>
      <w:color w:val="000000"/>
    </w:rPr>
  </w:style>
  <w:style w:type="character" w:customStyle="1" w:styleId="NormalTok">
    <w:name w:val="NormalTok"/>
    <w:basedOn w:val="VerbatimChar"/>
    <w:rPr>
      <w:rFonts w:ascii="Aptos" w:hAnsi="Aptos" w:eastAsia="Aptos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2026-10-05T17:20:48Z</dcterms:created>
  <dcterms:modified xsi:type="dcterms:W3CDTF">2026-10-05T17:20:48Z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