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6c8f72d904c293435068eeaa8c4af2b97f86d7f"/>
    <w:p>
      <w:pPr>
        <w:pStyle w:val="Heading1"/>
      </w:pPr>
      <w:r>
        <w:rPr>
          <w:rFonts w:ascii="Aptos" w:hAnsi="Aptos"/>
          <w:color w:val="000000"/>
        </w:rPr>
        <w:t xml:space="preserve">Project Milestone 4: DCF Valuation with Sensitivity Analysis</w:t>
      </w:r>
    </w:p>
    <w:p>
      <w:pPr>
        <w:pStyle w:val="FirstParagraph"/>
      </w:pPr>
      <w:r>
        <w:rPr>
          <w:rFonts w:ascii="Aptos" w:hAnsi="Aptos"/>
          <w:b/>
          <w:bCs/>
          <w:color w:val="000000"/>
        </w:rPr>
        <w:t xml:space="preserve">Company:</w:t>
      </w:r>
      <w:r>
        <w:rPr>
          <w:rFonts w:ascii="Aptos" w:hAnsi="Aptos"/>
          <w:color w:val="000000"/>
        </w:rPr>
        <w:t xml:space="preserve"> </w:t>
      </w:r>
      <w:r>
        <w:rPr>
          <w:rFonts w:ascii="Aptos" w:hAnsi="Aptos"/>
          <w:color w:val="000000"/>
        </w:rPr>
        <w:t xml:space="preserve">The Hershey Company (NYSE: HSY)</w:t>
      </w:r>
      <w:r>
        <w:rPr>
          <w:rFonts w:ascii="Aptos" w:hAnsi="Aptos"/>
          <w:color w:val="000000"/>
        </w:rPr>
        <w:t xml:space="preserve"> </w:t>
      </w:r>
      <w:r>
        <w:rPr>
          <w:rFonts w:ascii="Aptos" w:hAnsi="Aptos"/>
          <w:b/>
          <w:bCs/>
          <w:color w:val="000000"/>
        </w:rPr>
        <w:t xml:space="preserve">Team:</w:t>
      </w:r>
      <w:r>
        <w:rPr>
          <w:rFonts w:ascii="Aptos" w:hAnsi="Aptos"/>
          <w:color w:val="000000"/>
        </w:rPr>
        <w:t xml:space="preserve"> </w:t>
      </w:r>
      <w:r>
        <w:rPr>
          <w:rFonts w:ascii="Aptos" w:hAnsi="Aptos"/>
          <w:color w:val="000000"/>
        </w:rPr>
        <w:t xml:space="preserve">Chris Lester</w:t>
      </w:r>
      <w:r>
        <w:rPr>
          <w:rFonts w:ascii="Aptos" w:hAnsi="Aptos"/>
          <w:color w:val="000000"/>
        </w:rPr>
        <w:t xml:space="preserve"> </w:t>
      </w:r>
      <w:r>
        <w:rPr>
          <w:rFonts w:ascii="Aptos" w:hAnsi="Aptos"/>
          <w:b/>
          <w:bCs/>
          <w:color w:val="000000"/>
        </w:rPr>
        <w:t xml:space="preserve">Date:</w:t>
      </w:r>
      <w:r>
        <w:rPr>
          <w:rFonts w:ascii="Aptos" w:hAnsi="Aptos"/>
          <w:color w:val="000000"/>
        </w:rPr>
        <w:t xml:space="preserve"> </w:t>
      </w:r>
      <w:r>
        <w:rPr>
          <w:rFonts w:ascii="Aptos" w:hAnsi="Aptos"/>
          <w:color w:val="000000"/>
        </w:rPr>
        <w:t xml:space="preserve">2026-10-05</w:t>
      </w:r>
      <w:r>
        <w:rPr>
          <w:rFonts w:ascii="Aptos" w:hAnsi="Aptos"/>
          <w:color w:val="000000"/>
        </w:rPr>
        <w:t xml:space="preserve"> </w:t>
      </w:r>
      <w:r>
        <w:rPr>
          <w:rFonts w:ascii="Aptos" w:hAnsi="Aptos"/>
          <w:b/>
          <w:bCs/>
          <w:color w:val="000000"/>
        </w:rPr>
        <w:t xml:space="preserve">Conclusion:</w:t>
      </w:r>
      <w:r>
        <w:rPr>
          <w:rFonts w:ascii="Aptos" w:hAnsi="Aptos"/>
          <w:color w:val="000000"/>
        </w:rPr>
        <w:t xml:space="preserve"> </w:t>
      </w:r>
      <w:r>
        <w:rPr>
          <w:rFonts w:ascii="Aptos" w:hAnsi="Aptos"/>
          <w:color w:val="000000"/>
        </w:rPr>
        <w:t xml:space="preserve">Our discounted cash flow model values Hershey at</w:t>
      </w:r>
      <w:r>
        <w:rPr>
          <w:rFonts w:ascii="Aptos" w:hAnsi="Aptos"/>
          <w:color w:val="000000"/>
        </w:rPr>
        <w:t xml:space="preserve"> </w:t>
      </w:r>
      <w:r>
        <w:rPr>
          <w:rFonts w:ascii="Aptos" w:hAnsi="Aptos"/>
          <w:b/>
          <w:bCs/>
          <w:color w:val="000000"/>
        </w:rPr>
        <w:t xml:space="preserve">$218.59 per share</w:t>
      </w:r>
      <w:r>
        <w:rPr>
          <w:rFonts w:ascii="Aptos" w:hAnsi="Aptos"/>
          <w:color w:val="000000"/>
        </w:rPr>
        <w:t xml:space="preserve"> </w:t>
      </w:r>
      <w:r>
        <w:rPr>
          <w:rFonts w:ascii="Aptos" w:hAnsi="Aptos"/>
          <w:color w:val="000000"/>
        </w:rPr>
        <w:t xml:space="preserve">with a growth-in-perpetuity terminal value and</w:t>
      </w:r>
      <w:r>
        <w:rPr>
          <w:rFonts w:ascii="Aptos" w:hAnsi="Aptos"/>
          <w:color w:val="000000"/>
        </w:rPr>
        <w:t xml:space="preserve"> </w:t>
      </w:r>
      <w:r>
        <w:rPr>
          <w:rFonts w:ascii="Aptos" w:hAnsi="Aptos"/>
          <w:b/>
          <w:bCs/>
          <w:color w:val="000000"/>
        </w:rPr>
        <w:t xml:space="preserve">$193.02 per share</w:t>
      </w:r>
      <w:r>
        <w:rPr>
          <w:rFonts w:ascii="Aptos" w:hAnsi="Aptos"/>
          <w:color w:val="000000"/>
        </w:rPr>
        <w:t xml:space="preserve"> </w:t>
      </w:r>
      <w:r>
        <w:rPr>
          <w:rFonts w:ascii="Aptos" w:hAnsi="Aptos"/>
          <w:color w:val="000000"/>
        </w:rPr>
        <w:t xml:space="preserve">with an exit-multiple terminal value, against a share price of $160.19 on October 5, 2026: 36.5 percent and 20.5 percent above the market. Both figures come from the DCF 1-Pager tab of our Q&amp;D workbook [S9], built on our Module 2 forecast and discounted at our Module 3 WACC of 6.78 percent. About nine-tenths of the value sits in the terminal value, so the growth rate and the discount rate decide the answer.</w:t>
      </w:r>
    </w:p>
    <w:bookmarkStart w:id="9" w:name="stage-structure-two-stages"/>
    <w:p>
      <w:pPr>
        <w:pStyle w:val="Heading2"/>
      </w:pPr>
      <w:r>
        <w:rPr>
          <w:rFonts w:ascii="Aptos" w:hAnsi="Aptos"/>
          <w:color w:val="000000"/>
        </w:rPr>
        <w:t xml:space="preserve">1. Stage structure: two stages</w:t>
      </w:r>
    </w:p>
    <w:p>
      <w:pPr>
        <w:pStyle w:val="FirstParagraph"/>
      </w:pPr>
      <w:r>
        <w:rPr>
          <w:rFonts w:ascii="Aptos" w:hAnsi="Aptos"/>
          <w:color w:val="000000"/>
        </w:rPr>
        <w:t xml:space="preserve">Hershey is a mature company (our Module 1 diagnosis), so a two-stage model fits: an explicit forecast for FY2026 to FY2028, then stable growth. A transition stage would add nothing. Revenue growth in the forecast is already 5.2 percent in FY2026 and 2.5 and 2.6 percent in FY2027 and FY2028, close to the 3.0 percent we assume forever after.</w:t>
      </w:r>
    </w:p>
    <w:tbl>
      <w:tblPr>
        <w:tblStyle w:val="Table"/>
        <w:tblW w:type="auto" w:w="0"/>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on"/>
        </w:trPr>
        <w:tc>
          <w:tcPr/>
          <w:p>
            <w:pPr>
              <w:pStyle w:val="Compact"/>
            </w:pPr>
            <w:r>
              <w:rPr>
                <w:rFonts w:ascii="Aptos" w:hAnsi="Aptos"/>
                <w:sz w:val="19"/>
              </w:rPr>
              <w:t xml:space="preserve">$ millions</w:t>
            </w:r>
          </w:p>
        </w:tc>
        <w:tc>
          <w:tcPr/>
          <w:p>
            <w:pPr>
              <w:pStyle w:val="Compact"/>
            </w:pPr>
            <w:r>
              <w:rPr>
                <w:rFonts w:ascii="Aptos" w:hAnsi="Aptos"/>
                <w:sz w:val="19"/>
              </w:rPr>
              <w:t xml:space="preserve">2026F (stub)</w:t>
            </w:r>
          </w:p>
        </w:tc>
        <w:tc>
          <w:tcPr/>
          <w:p>
            <w:pPr>
              <w:pStyle w:val="Compact"/>
            </w:pPr>
            <w:r>
              <w:rPr>
                <w:rFonts w:ascii="Aptos" w:hAnsi="Aptos"/>
                <w:sz w:val="19"/>
              </w:rPr>
              <w:t xml:space="preserve">2027F</w:t>
            </w:r>
          </w:p>
        </w:tc>
        <w:tc>
          <w:tcPr/>
          <w:p>
            <w:pPr>
              <w:pStyle w:val="Compact"/>
            </w:pPr>
            <w:r>
              <w:rPr>
                <w:rFonts w:ascii="Aptos" w:hAnsi="Aptos"/>
                <w:sz w:val="19"/>
              </w:rPr>
              <w:t xml:space="preserve">2028F</w:t>
            </w:r>
          </w:p>
        </w:tc>
      </w:tr>
      <w:tr>
        <w:tc>
          <w:tcPr/>
          <w:p>
            <w:pPr>
              <w:pStyle w:val="Compact"/>
            </w:pPr>
            <w:r>
              <w:rPr>
                <w:rFonts w:ascii="Aptos" w:hAnsi="Aptos"/>
                <w:sz w:val="19"/>
              </w:rPr>
              <w:t xml:space="preserve">Revenue</w:t>
            </w:r>
          </w:p>
        </w:tc>
        <w:tc>
          <w:tcPr/>
          <w:p>
            <w:pPr>
              <w:pStyle w:val="Compact"/>
            </w:pPr>
            <w:r>
              <w:rPr>
                <w:rFonts w:ascii="Aptos" w:hAnsi="Aptos"/>
                <w:sz w:val="19"/>
              </w:rPr>
              <w:t xml:space="preserve">12,296.5</w:t>
            </w:r>
          </w:p>
        </w:tc>
        <w:tc>
          <w:tcPr/>
          <w:p>
            <w:pPr>
              <w:pStyle w:val="Compact"/>
            </w:pPr>
            <w:r>
              <w:rPr>
                <w:rFonts w:ascii="Aptos" w:hAnsi="Aptos"/>
                <w:sz w:val="19"/>
              </w:rPr>
              <w:t xml:space="preserve">12,603.5</w:t>
            </w:r>
          </w:p>
        </w:tc>
        <w:tc>
          <w:tcPr/>
          <w:p>
            <w:pPr>
              <w:pStyle w:val="Compact"/>
            </w:pPr>
            <w:r>
              <w:rPr>
                <w:rFonts w:ascii="Aptos" w:hAnsi="Aptos"/>
                <w:sz w:val="19"/>
              </w:rPr>
              <w:t xml:space="preserve">12,931.9</w:t>
            </w:r>
          </w:p>
        </w:tc>
      </w:tr>
      <w:tr>
        <w:tc>
          <w:tcPr/>
          <w:p>
            <w:pPr>
              <w:pStyle w:val="Compact"/>
            </w:pPr>
            <w:r>
              <w:rPr>
                <w:rFonts w:ascii="Aptos" w:hAnsi="Aptos"/>
                <w:sz w:val="19"/>
              </w:rPr>
              <w:t xml:space="preserve">EBITDA</w:t>
            </w:r>
          </w:p>
        </w:tc>
        <w:tc>
          <w:tcPr/>
          <w:p>
            <w:pPr>
              <w:pStyle w:val="Compact"/>
            </w:pPr>
            <w:r>
              <w:rPr>
                <w:rFonts w:ascii="Aptos" w:hAnsi="Aptos"/>
                <w:sz w:val="19"/>
              </w:rPr>
              <w:t xml:space="preserve">3,035.1</w:t>
            </w:r>
          </w:p>
        </w:tc>
        <w:tc>
          <w:tcPr/>
          <w:p>
            <w:pPr>
              <w:pStyle w:val="Compact"/>
            </w:pPr>
            <w:r>
              <w:rPr>
                <w:rFonts w:ascii="Aptos" w:hAnsi="Aptos"/>
                <w:sz w:val="19"/>
              </w:rPr>
              <w:t xml:space="preserve">3,393.8</w:t>
            </w:r>
          </w:p>
        </w:tc>
        <w:tc>
          <w:tcPr/>
          <w:p>
            <w:pPr>
              <w:pStyle w:val="Compact"/>
            </w:pPr>
            <w:r>
              <w:rPr>
                <w:rFonts w:ascii="Aptos" w:hAnsi="Aptos"/>
                <w:sz w:val="19"/>
              </w:rPr>
              <w:t xml:space="preserve">3,554.2</w:t>
            </w:r>
          </w:p>
        </w:tc>
      </w:tr>
      <w:tr>
        <w:tc>
          <w:tcPr/>
          <w:p>
            <w:pPr>
              <w:pStyle w:val="Compact"/>
            </w:pPr>
            <w:r>
              <w:rPr>
                <w:rFonts w:ascii="Aptos" w:hAnsi="Aptos"/>
                <w:sz w:val="19"/>
              </w:rPr>
              <w:t xml:space="preserve">Unlevered free cash flow counted</w:t>
            </w:r>
          </w:p>
        </w:tc>
        <w:tc>
          <w:tcPr/>
          <w:p>
            <w:pPr>
              <w:pStyle w:val="Compact"/>
            </w:pPr>
            <w:r>
              <w:rPr>
                <w:rFonts w:ascii="Aptos" w:hAnsi="Aptos"/>
                <w:sz w:val="19"/>
              </w:rPr>
              <w:t xml:space="preserve">378.4</w:t>
            </w:r>
          </w:p>
        </w:tc>
        <w:tc>
          <w:tcPr/>
          <w:p>
            <w:pPr>
              <w:pStyle w:val="Compact"/>
            </w:pPr>
            <w:r>
              <w:rPr>
                <w:rFonts w:ascii="Aptos" w:hAnsi="Aptos"/>
                <w:sz w:val="19"/>
              </w:rPr>
              <w:t xml:space="preserve">1,908.0</w:t>
            </w:r>
          </w:p>
        </w:tc>
        <w:tc>
          <w:tcPr/>
          <w:p>
            <w:pPr>
              <w:pStyle w:val="Compact"/>
            </w:pPr>
            <w:r>
              <w:rPr>
                <w:rFonts w:ascii="Aptos" w:hAnsi="Aptos"/>
                <w:sz w:val="19"/>
              </w:rPr>
              <w:t xml:space="preserve">1,923.8</w:t>
            </w:r>
          </w:p>
        </w:tc>
      </w:tr>
      <w:tr>
        <w:tc>
          <w:tcPr/>
          <w:p>
            <w:pPr>
              <w:pStyle w:val="Compact"/>
            </w:pPr>
            <w:r>
              <w:rPr>
                <w:rFonts w:ascii="Aptos" w:hAnsi="Aptos"/>
                <w:sz w:val="19"/>
              </w:rPr>
              <w:t xml:space="preserve">Present value at 6.78%</w:t>
            </w:r>
          </w:p>
        </w:tc>
        <w:tc>
          <w:tcPr/>
          <w:p>
            <w:pPr>
              <w:pStyle w:val="Compact"/>
            </w:pPr>
            <w:r>
              <w:rPr>
                <w:rFonts w:ascii="Aptos" w:hAnsi="Aptos"/>
                <w:sz w:val="19"/>
              </w:rPr>
              <w:t xml:space="preserve">372.5</w:t>
            </w:r>
          </w:p>
        </w:tc>
        <w:tc>
          <w:tcPr/>
          <w:p>
            <w:pPr>
              <w:pStyle w:val="Compact"/>
            </w:pPr>
            <w:r>
              <w:rPr>
                <w:rFonts w:ascii="Aptos" w:hAnsi="Aptos"/>
                <w:sz w:val="19"/>
              </w:rPr>
              <w:t xml:space="preserve">1,759.1</w:t>
            </w:r>
          </w:p>
        </w:tc>
        <w:tc>
          <w:tcPr/>
          <w:p>
            <w:pPr>
              <w:pStyle w:val="Compact"/>
            </w:pPr>
            <w:r>
              <w:rPr>
                <w:rFonts w:ascii="Aptos" w:hAnsi="Aptos"/>
                <w:sz w:val="19"/>
              </w:rPr>
              <w:t xml:space="preserve">1,660.7</w:t>
            </w:r>
          </w:p>
        </w:tc>
      </w:tr>
    </w:tbl>
    <w:p>
      <w:pPr>
        <w:pStyle w:val="BodyText"/>
      </w:pPr>
      <w:r>
        <w:rPr>
          <w:rFonts w:ascii="Aptos" w:hAnsi="Aptos"/>
          <w:color w:val="000000"/>
        </w:rPr>
        <w:t xml:space="preserve">The forecast is FactSet consensus run through our workbook (Module 2) [S8, S9]. The valuation date is October 5, 2026, so the model counts only the 23.9 percent of FY2026’s cash flow that falls after it (the stub year). Each cash flow is discounted from its fiscal year end back to the valuation date at our Module 3 WACC of 6.78 percent. The tax rate on EBIT is 28.5 percent in FY2026, stepping down half a point a year. The three years together are worth $3,792.3 million today.</w:t>
      </w:r>
    </w:p>
    <w:bookmarkEnd w:id="9"/>
    <w:bookmarkStart w:id="10" w:name="terminal-value-two-ways"/>
    <w:p>
      <w:pPr>
        <w:pStyle w:val="Heading2"/>
      </w:pPr>
      <w:r>
        <w:rPr>
          <w:rFonts w:ascii="Aptos" w:hAnsi="Aptos"/>
          <w:color w:val="000000"/>
        </w:rPr>
        <w:t xml:space="preserve">2. Terminal value, two ways</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on"/>
        </w:trPr>
        <w:tc>
          <w:tcPr/>
          <w:p>
            <w:pPr>
              <w:pStyle w:val="Compact"/>
            </w:pPr>
            <w:r>
              <w:rPr>
                <w:rFonts w:ascii="Aptos" w:hAnsi="Aptos"/>
                <w:sz w:val="19"/>
              </w:rPr>
              <w:t xml:space="preserve">$ millions</w:t>
            </w:r>
          </w:p>
        </w:tc>
        <w:tc>
          <w:tcPr/>
          <w:p>
            <w:pPr>
              <w:pStyle w:val="Compact"/>
            </w:pPr>
            <w:r>
              <w:rPr>
                <w:rFonts w:ascii="Aptos" w:hAnsi="Aptos"/>
                <w:sz w:val="19"/>
              </w:rPr>
              <w:t xml:space="preserve">Growth in perpetuity</w:t>
            </w:r>
          </w:p>
        </w:tc>
        <w:tc>
          <w:tcPr/>
          <w:p>
            <w:pPr>
              <w:pStyle w:val="Compact"/>
            </w:pPr>
            <w:r>
              <w:rPr>
                <w:rFonts w:ascii="Aptos" w:hAnsi="Aptos"/>
                <w:sz w:val="19"/>
              </w:rPr>
              <w:t xml:space="preserve">Exit multiple</w:t>
            </w:r>
          </w:p>
        </w:tc>
      </w:tr>
      <w:tr>
        <w:tc>
          <w:tcPr/>
          <w:p>
            <w:pPr>
              <w:pStyle w:val="Compact"/>
            </w:pPr>
            <w:r>
              <w:rPr>
                <w:rFonts w:ascii="Aptos" w:hAnsi="Aptos"/>
                <w:sz w:val="19"/>
              </w:rPr>
              <w:t xml:space="preserve">Assumption</w:t>
            </w:r>
          </w:p>
        </w:tc>
        <w:tc>
          <w:tcPr/>
          <w:p>
            <w:pPr>
              <w:pStyle w:val="Compact"/>
            </w:pPr>
            <w:r>
              <w:rPr>
                <w:rFonts w:ascii="Aptos" w:hAnsi="Aptos"/>
                <w:sz w:val="19"/>
              </w:rPr>
              <w:t xml:space="preserve">g = 3.0%</w:t>
            </w:r>
          </w:p>
        </w:tc>
        <w:tc>
          <w:tcPr/>
          <w:p>
            <w:pPr>
              <w:pStyle w:val="Compact"/>
            </w:pPr>
            <w:r>
              <w:rPr>
                <w:rFonts w:ascii="Aptos" w:hAnsi="Aptos"/>
                <w:sz w:val="19"/>
              </w:rPr>
              <w:t xml:space="preserve">13.02x 2028 EBITDA of 3,554.2</w:t>
            </w:r>
          </w:p>
        </w:tc>
      </w:tr>
      <w:tr>
        <w:tc>
          <w:tcPr/>
          <w:p>
            <w:pPr>
              <w:pStyle w:val="Compact"/>
            </w:pPr>
            <w:r>
              <w:rPr>
                <w:rFonts w:ascii="Aptos" w:hAnsi="Aptos"/>
                <w:sz w:val="19"/>
              </w:rPr>
              <w:t xml:space="preserve">Terminal value in 2028</w:t>
            </w:r>
          </w:p>
        </w:tc>
        <w:tc>
          <w:tcPr/>
          <w:p>
            <w:pPr>
              <w:pStyle w:val="Compact"/>
            </w:pPr>
            <w:r>
              <w:rPr>
                <w:rFonts w:ascii="Aptos" w:hAnsi="Aptos"/>
                <w:sz w:val="19"/>
              </w:rPr>
              <w:t xml:space="preserve">52,410.9</w:t>
            </w:r>
          </w:p>
        </w:tc>
        <w:tc>
          <w:tcPr/>
          <w:p>
            <w:pPr>
              <w:pStyle w:val="Compact"/>
            </w:pPr>
            <w:r>
              <w:rPr>
                <w:rFonts w:ascii="Aptos" w:hAnsi="Aptos"/>
                <w:sz w:val="19"/>
              </w:rPr>
              <w:t xml:space="preserve">46,275.7</w:t>
            </w:r>
          </w:p>
        </w:tc>
      </w:tr>
      <w:tr>
        <w:tc>
          <w:tcPr/>
          <w:p>
            <w:pPr>
              <w:pStyle w:val="Compact"/>
            </w:pPr>
            <w:r>
              <w:rPr>
                <w:rFonts w:ascii="Aptos" w:hAnsi="Aptos"/>
                <w:sz w:val="19"/>
              </w:rPr>
              <w:t xml:space="preserve">Present value of terminal value</w:t>
            </w:r>
          </w:p>
        </w:tc>
        <w:tc>
          <w:tcPr/>
          <w:p>
            <w:pPr>
              <w:pStyle w:val="Compact"/>
            </w:pPr>
            <w:r>
              <w:rPr>
                <w:rFonts w:ascii="Aptos" w:hAnsi="Aptos"/>
                <w:sz w:val="19"/>
              </w:rPr>
              <w:t xml:space="preserve">45,244.6</w:t>
            </w:r>
          </w:p>
        </w:tc>
        <w:tc>
          <w:tcPr/>
          <w:p>
            <w:pPr>
              <w:pStyle w:val="Compact"/>
            </w:pPr>
            <w:r>
              <w:rPr>
                <w:rFonts w:ascii="Aptos" w:hAnsi="Aptos"/>
                <w:sz w:val="19"/>
              </w:rPr>
              <w:t xml:space="preserve">39,948.3</w:t>
            </w:r>
          </w:p>
        </w:tc>
      </w:tr>
      <w:tr>
        <w:tc>
          <w:tcPr/>
          <w:p>
            <w:pPr>
              <w:pStyle w:val="Compact"/>
            </w:pPr>
            <w:r>
              <w:rPr>
                <w:rFonts w:ascii="Aptos" w:hAnsi="Aptos"/>
                <w:sz w:val="19"/>
              </w:rPr>
              <w:t xml:space="preserve">Plus present value of 2026 to 2028</w:t>
            </w:r>
          </w:p>
        </w:tc>
        <w:tc>
          <w:tcPr/>
          <w:p>
            <w:pPr>
              <w:pStyle w:val="Compact"/>
            </w:pPr>
            <w:r>
              <w:rPr>
                <w:rFonts w:ascii="Aptos" w:hAnsi="Aptos"/>
                <w:sz w:val="19"/>
              </w:rPr>
              <w:t xml:space="preserve">3,792.3</w:t>
            </w:r>
          </w:p>
        </w:tc>
        <w:tc>
          <w:tcPr/>
          <w:p>
            <w:pPr>
              <w:pStyle w:val="Compact"/>
            </w:pPr>
            <w:r>
              <w:rPr>
                <w:rFonts w:ascii="Aptos" w:hAnsi="Aptos"/>
                <w:sz w:val="19"/>
              </w:rPr>
              <w:t xml:space="preserve">3,792.3</w:t>
            </w:r>
          </w:p>
        </w:tc>
      </w:tr>
      <w:tr>
        <w:tc>
          <w:tcPr/>
          <w:p>
            <w:pPr>
              <w:pStyle w:val="Compact"/>
            </w:pPr>
            <w:r>
              <w:rPr>
                <w:rFonts w:ascii="Aptos" w:hAnsi="Aptos"/>
                <w:sz w:val="19"/>
              </w:rPr>
              <w:t xml:space="preserve">Enterprise value</w:t>
            </w:r>
          </w:p>
        </w:tc>
        <w:tc>
          <w:tcPr/>
          <w:p>
            <w:pPr>
              <w:pStyle w:val="Compact"/>
            </w:pPr>
            <w:r>
              <w:rPr>
                <w:rFonts w:ascii="Aptos" w:hAnsi="Aptos"/>
                <w:sz w:val="19"/>
              </w:rPr>
              <w:t xml:space="preserve">49,037.0</w:t>
            </w:r>
          </w:p>
        </w:tc>
        <w:tc>
          <w:tcPr/>
          <w:p>
            <w:pPr>
              <w:pStyle w:val="Compact"/>
            </w:pPr>
            <w:r>
              <w:rPr>
                <w:rFonts w:ascii="Aptos" w:hAnsi="Aptos"/>
                <w:sz w:val="19"/>
              </w:rPr>
              <w:t xml:space="preserve">43,740.6</w:t>
            </w:r>
          </w:p>
        </w:tc>
      </w:tr>
      <w:tr>
        <w:tc>
          <w:tcPr/>
          <w:p>
            <w:pPr>
              <w:pStyle w:val="Compact"/>
            </w:pPr>
            <w:r>
              <w:rPr>
                <w:rFonts w:ascii="Aptos" w:hAnsi="Aptos"/>
                <w:sz w:val="19"/>
              </w:rPr>
              <w:t xml:space="preserve">Terminal value as share of enterprise value</w:t>
            </w:r>
          </w:p>
        </w:tc>
        <w:tc>
          <w:tcPr/>
          <w:p>
            <w:pPr>
              <w:pStyle w:val="Compact"/>
            </w:pPr>
            <w:r>
              <w:rPr>
                <w:rFonts w:ascii="Aptos" w:hAnsi="Aptos"/>
                <w:sz w:val="19"/>
              </w:rPr>
              <w:t xml:space="preserve">92.3%</w:t>
            </w:r>
          </w:p>
        </w:tc>
        <w:tc>
          <w:tcPr/>
          <w:p>
            <w:pPr>
              <w:pStyle w:val="Compact"/>
            </w:pPr>
            <w:r>
              <w:rPr>
                <w:rFonts w:ascii="Aptos" w:hAnsi="Aptos"/>
                <w:sz w:val="19"/>
              </w:rPr>
              <w:t xml:space="preserve">91.3%</w:t>
            </w:r>
          </w:p>
        </w:tc>
      </w:tr>
      <w:tr>
        <w:tc>
          <w:tcPr/>
          <w:p>
            <w:pPr>
              <w:pStyle w:val="Compact"/>
            </w:pPr>
            <w:r>
              <w:rPr>
                <w:rFonts w:ascii="Aptos" w:hAnsi="Aptos"/>
                <w:sz w:val="19"/>
              </w:rPr>
              <w:t xml:space="preserve">Less net debt (long-term debt 4,681.0 less cash 925.9)</w:t>
            </w:r>
          </w:p>
        </w:tc>
        <w:tc>
          <w:tcPr/>
          <w:p>
            <w:pPr>
              <w:pStyle w:val="Compact"/>
            </w:pPr>
            <w:r>
              <w:rPr>
                <w:rFonts w:ascii="Aptos" w:hAnsi="Aptos"/>
                <w:sz w:val="19"/>
              </w:rPr>
              <w:t xml:space="preserve">3,755.1</w:t>
            </w:r>
          </w:p>
        </w:tc>
        <w:tc>
          <w:tcPr/>
          <w:p>
            <w:pPr>
              <w:pStyle w:val="Compact"/>
            </w:pPr>
            <w:r>
              <w:rPr>
                <w:rFonts w:ascii="Aptos" w:hAnsi="Aptos"/>
                <w:sz w:val="19"/>
              </w:rPr>
              <w:t xml:space="preserve">3,755.1</w:t>
            </w:r>
          </w:p>
        </w:tc>
      </w:tr>
      <w:tr>
        <w:tc>
          <w:tcPr/>
          <w:p>
            <w:pPr>
              <w:pStyle w:val="Compact"/>
            </w:pPr>
            <w:r>
              <w:rPr>
                <w:rFonts w:ascii="Aptos" w:hAnsi="Aptos"/>
                <w:sz w:val="19"/>
              </w:rPr>
              <w:t xml:space="preserve">Equity value</w:t>
            </w:r>
          </w:p>
        </w:tc>
        <w:tc>
          <w:tcPr/>
          <w:p>
            <w:pPr>
              <w:pStyle w:val="Compact"/>
            </w:pPr>
            <w:r>
              <w:rPr>
                <w:rFonts w:ascii="Aptos" w:hAnsi="Aptos"/>
                <w:sz w:val="19"/>
              </w:rPr>
              <w:t xml:space="preserve">45,281.9</w:t>
            </w:r>
          </w:p>
        </w:tc>
        <w:tc>
          <w:tcPr/>
          <w:p>
            <w:pPr>
              <w:pStyle w:val="Compact"/>
            </w:pPr>
            <w:r>
              <w:rPr>
                <w:rFonts w:ascii="Aptos" w:hAnsi="Aptos"/>
                <w:sz w:val="19"/>
              </w:rPr>
              <w:t xml:space="preserve">39,985.5</w:t>
            </w:r>
          </w:p>
        </w:tc>
      </w:tr>
      <w:tr>
        <w:tc>
          <w:tcPr/>
          <w:p>
            <w:pPr>
              <w:pStyle w:val="Compact"/>
            </w:pPr>
            <w:r>
              <w:rPr>
                <w:rFonts w:ascii="Aptos" w:hAnsi="Aptos"/>
                <w:sz w:val="19"/>
              </w:rPr>
              <w:t xml:space="preserve">Diluted shares (millions)</w:t>
            </w:r>
          </w:p>
        </w:tc>
        <w:tc>
          <w:tcPr/>
          <w:p>
            <w:pPr>
              <w:pStyle w:val="Compact"/>
            </w:pPr>
            <w:r>
              <w:rPr>
                <w:rFonts w:ascii="Aptos" w:hAnsi="Aptos"/>
                <w:sz w:val="19"/>
              </w:rPr>
              <w:t xml:space="preserve">207.2</w:t>
            </w:r>
          </w:p>
        </w:tc>
        <w:tc>
          <w:tcPr/>
          <w:p>
            <w:pPr>
              <w:pStyle w:val="Compact"/>
            </w:pPr>
            <w:r>
              <w:rPr>
                <w:rFonts w:ascii="Aptos" w:hAnsi="Aptos"/>
                <w:sz w:val="19"/>
              </w:rPr>
              <w:t xml:space="preserve">207.2</w:t>
            </w:r>
          </w:p>
        </w:tc>
      </w:tr>
      <w:tr>
        <w:tc>
          <w:tcPr/>
          <w:p>
            <w:pPr>
              <w:pStyle w:val="Compact"/>
            </w:pPr>
            <w:r>
              <w:rPr>
                <w:rFonts w:ascii="Aptos" w:hAnsi="Aptos"/>
                <w:b/>
                <w:bCs/>
                <w:sz w:val="19"/>
              </w:rPr>
              <w:t xml:space="preserve">Equity value per share</w:t>
            </w:r>
          </w:p>
        </w:tc>
        <w:tc>
          <w:tcPr/>
          <w:p>
            <w:pPr>
              <w:pStyle w:val="Compact"/>
            </w:pPr>
            <w:r>
              <w:rPr>
                <w:rFonts w:ascii="Aptos" w:hAnsi="Aptos"/>
                <w:b/>
                <w:bCs/>
                <w:sz w:val="19"/>
              </w:rPr>
              <w:t xml:space="preserve">$218.59</w:t>
            </w:r>
          </w:p>
        </w:tc>
        <w:tc>
          <w:tcPr/>
          <w:p>
            <w:pPr>
              <w:pStyle w:val="Compact"/>
            </w:pPr>
            <w:r>
              <w:rPr>
                <w:rFonts w:ascii="Aptos" w:hAnsi="Aptos"/>
                <w:b/>
                <w:bCs/>
                <w:sz w:val="19"/>
              </w:rPr>
              <w:t xml:space="preserve">$193.02</w:t>
            </w:r>
          </w:p>
        </w:tc>
      </w:tr>
    </w:tbl>
    <w:p>
      <w:pPr>
        <w:pStyle w:val="BodyText"/>
      </w:pPr>
      <w:r>
        <w:rPr>
          <w:rFonts w:ascii="Aptos" w:hAnsi="Aptos"/>
          <w:b/>
          <w:bCs/>
          <w:color w:val="000000"/>
        </w:rPr>
        <w:t xml:space="preserve">Growth in perpetuity.</w:t>
      </w:r>
      <w:r>
        <w:rPr>
          <w:rFonts w:ascii="Aptos" w:hAnsi="Aptos"/>
          <w:color w:val="000000"/>
        </w:rPr>
        <w:t xml:space="preserve"> </w:t>
      </w:r>
      <w:r>
        <w:rPr>
          <w:rFonts w:ascii="Aptos" w:hAnsi="Aptos"/>
          <w:color w:val="000000"/>
        </w:rPr>
        <w:t xml:space="preserve">The 2028 free cash flow of 1,923.8, grown 3.0 percent, is 1,981.5 in 2029; divided by the WACC less growth (6.78 - 3.00 = 3.78 percent) it gives a terminal value of 52,410.9. A stable growth rate must stay below the risk-free rate, 5.28 percent (Module 3), and 3.0 percent does.</w:t>
      </w:r>
    </w:p>
    <w:p>
      <w:pPr>
        <w:pStyle w:val="BodyText"/>
      </w:pPr>
      <w:r>
        <w:rPr>
          <w:rFonts w:ascii="Aptos" w:hAnsi="Aptos"/>
          <w:b/>
          <w:bCs/>
          <w:color w:val="000000"/>
        </w:rPr>
        <w:t xml:space="preserve">Exit multiple.</w:t>
      </w:r>
      <w:r>
        <w:rPr>
          <w:rFonts w:ascii="Aptos" w:hAnsi="Aptos"/>
          <w:color w:val="000000"/>
        </w:rPr>
        <w:t xml:space="preserve"> </w:t>
      </w:r>
      <w:r>
        <w:rPr>
          <w:rFonts w:ascii="Aptos" w:hAnsi="Aptos"/>
          <w:color w:val="000000"/>
        </w:rPr>
        <w:t xml:space="preserve">13.02 times 2028 EBITDA gives 46,275.7. The multiple sits between Hershey’s current EV/EBITDA of 11.7x [S9, FrontPage] and the 14.7x the perpetuity method implies.</w:t>
      </w:r>
    </w:p>
    <w:p>
      <w:pPr>
        <w:pStyle w:val="BodyText"/>
      </w:pPr>
      <w:r>
        <w:rPr>
          <w:rFonts w:ascii="Aptos" w:hAnsi="Aptos"/>
          <w:b/>
          <w:bCs/>
          <w:color w:val="000000"/>
        </w:rPr>
        <w:t xml:space="preserve">Why they differ, by $25.57 a share.</w:t>
      </w:r>
      <w:r>
        <w:rPr>
          <w:rFonts w:ascii="Aptos" w:hAnsi="Aptos"/>
          <w:color w:val="000000"/>
        </w:rPr>
        <w:t xml:space="preserve"> </w:t>
      </w:r>
      <w:r>
        <w:rPr>
          <w:rFonts w:ascii="Aptos" w:hAnsi="Aptos"/>
          <w:color w:val="000000"/>
        </w:rPr>
        <w:t xml:space="preserve">Each method implies the other’s input. Growing at 3.0 percent forever is the same as selling Hershey in 2028 for 14.7 times EBITDA; selling it for 13.02 times is the same as growing at 2.5 percent forever. The gap is about half a point of perpetual growth, worth $25.57 a share. We report both and treat $193 to $219 as the DCF range; Module 5’s peer multiples will tell us which end the market supports.</w:t>
      </w:r>
    </w:p>
    <w:bookmarkEnd w:id="10"/>
    <w:bookmarkStart w:id="11" w:name="Xd2c45fcdf561e55cc63f9eb5c78862bcf091c9b"/>
    <w:p>
      <w:pPr>
        <w:pStyle w:val="Heading2"/>
      </w:pPr>
      <w:r>
        <w:rPr>
          <w:rFonts w:ascii="Aptos" w:hAnsi="Aptos"/>
          <w:color w:val="000000"/>
        </w:rPr>
        <w:t xml:space="preserve">3. Sensitivity: the terminal assumptions move value most</w:t>
      </w:r>
    </w:p>
    <w:p>
      <w:pPr>
        <w:pStyle w:val="FirstParagraph"/>
      </w:pPr>
      <w:r>
        <w:rPr>
          <w:rFonts w:ascii="Aptos" w:hAnsi="Aptos"/>
          <w:color w:val="000000"/>
        </w:rPr>
        <w:t xml:space="preserve">The workbook’s two data tables recompute equity value per share as the inputs change [S9].</w:t>
      </w:r>
    </w:p>
    <w:p>
      <w:pPr>
        <w:pStyle w:val="BodyText"/>
      </w:pPr>
      <w:r>
        <w:rPr>
          <w:rFonts w:ascii="Aptos" w:hAnsi="Aptos"/>
          <w:b/>
          <w:bCs/>
          <w:color w:val="000000"/>
        </w:rPr>
        <w:t xml:space="preserve">Growth and WACC.</w:t>
      </w:r>
      <w:r>
        <w:rPr>
          <w:rFonts w:ascii="Aptos" w:hAnsi="Aptos"/>
          <w:color w:val="000000"/>
        </w:rPr>
        <w:t xml:space="preserve"> </w:t>
      </w:r>
      <w:r>
        <w:rPr>
          <w:rFonts w:ascii="Aptos" w:hAnsi="Aptos"/>
          <w:color w:val="000000"/>
        </w:rPr>
        <w:t xml:space="preserve">At a 6.0 percent WACC, moving perpetual growth from 2.0 to 4.0 percent moves the value from $208.21 to $424.18. At 3.0 percent growth, moving the WACC from 7.0 to 5.0 percent moves it from $205.61 to $429.40. Every cell depends on the spread between the WACC and growth, which sits in the denominator of the terminal value.</w:t>
      </w:r>
    </w:p>
    <w:p>
      <w:pPr>
        <w:pStyle w:val="BodyText"/>
      </w:pPr>
      <w:r>
        <w:rPr>
          <w:rFonts w:ascii="Aptos" w:hAnsi="Aptos"/>
          <w:b/>
          <w:bCs/>
          <w:color w:val="000000"/>
        </w:rPr>
        <w:t xml:space="preserve">Exit multiple and WACC.</w:t>
      </w:r>
      <w:r>
        <w:rPr>
          <w:rFonts w:ascii="Aptos" w:hAnsi="Aptos"/>
          <w:color w:val="000000"/>
        </w:rPr>
        <w:t xml:space="preserve"> </w:t>
      </w:r>
      <w:r>
        <w:rPr>
          <w:rFonts w:ascii="Aptos" w:hAnsi="Aptos"/>
          <w:color w:val="000000"/>
        </w:rPr>
        <w:t xml:space="preserve">At a 6.0 percent WACC, moving the multiple from 12.0x to 14.0x moves the value from $181.08 to $211.19, about $15 a share for each turn of EBITDA. The WACC matters far less here, because the multiple method does not divide by the WACC less growth.</w:t>
      </w:r>
    </w:p>
    <w:p>
      <w:pPr>
        <w:pStyle w:val="BodyText"/>
      </w:pPr>
      <w:r>
        <w:rPr>
          <w:rFonts w:ascii="Aptos" w:hAnsi="Aptos"/>
          <w:b/>
          <w:bCs/>
          <w:color w:val="000000"/>
        </w:rPr>
        <w:t xml:space="preserve">Margin.</w:t>
      </w:r>
      <w:r>
        <w:rPr>
          <w:rFonts w:ascii="Aptos" w:hAnsi="Aptos"/>
          <w:color w:val="000000"/>
        </w:rPr>
        <w:t xml:space="preserve"> </w:t>
      </w:r>
      <w:r>
        <w:rPr>
          <w:rFonts w:ascii="Aptos" w:hAnsi="Aptos"/>
          <w:color w:val="000000"/>
        </w:rPr>
        <w:t xml:space="preserve">The workbook’s tables do not move the margin, so we test it in a bull, base, and bear table built on our site (Section 4).</w:t>
      </w:r>
    </w:p>
    <w:p>
      <w:pPr>
        <w:pStyle w:val="BodyText"/>
      </w:pPr>
      <w:r>
        <w:rPr>
          <w:rFonts w:ascii="Aptos" w:hAnsi="Aptos"/>
          <w:b/>
          <w:bCs/>
          <w:color w:val="000000"/>
        </w:rPr>
        <w:t xml:space="preserve">What moves the needle.</w:t>
      </w:r>
      <w:r>
        <w:rPr>
          <w:rFonts w:ascii="Aptos" w:hAnsi="Aptos"/>
          <w:color w:val="000000"/>
        </w:rPr>
        <w:t xml:space="preserve"> </w:t>
      </w:r>
      <w:r>
        <w:rPr>
          <w:rFonts w:ascii="Aptos" w:hAnsi="Aptos"/>
          <w:color w:val="000000"/>
        </w:rPr>
        <w:t xml:space="preserve">The spread between WACC and perpetual growth. About half a point of growth (2.5 percent instead of 3.0) is the entire $25.57 gap between our two methods; the same half point on the WACC moves the value by more than the exit multiple’s whole 12x to 14x range.</w:t>
      </w:r>
    </w:p>
    <w:bookmarkEnd w:id="11"/>
    <w:bookmarkStart w:id="12" w:name="X6a19569ad2a3a5db5ac1e477e217a9ec2a69627"/>
    <w:p>
      <w:pPr>
        <w:pStyle w:val="Heading2"/>
      </w:pPr>
      <w:r>
        <w:rPr>
          <w:rFonts w:ascii="Aptos" w:hAnsi="Aptos"/>
          <w:color w:val="000000"/>
        </w:rPr>
        <w:t xml:space="preserve">4. Bull, base, and bear, built with AI and checked by hand</w:t>
      </w:r>
    </w:p>
    <w:p>
      <w:pPr>
        <w:pStyle w:val="FirstParagraph"/>
      </w:pPr>
      <w:r>
        <w:rPr>
          <w:rFonts w:ascii="Aptos" w:hAnsi="Aptos"/>
          <w:color w:val="000000"/>
        </w:rPr>
        <w:t xml:space="preserve">We build a bull, base, and bear table on the Valuation section of our site with Claude, across revenue growth, EBITDA margin, the WACC, and perpetual growth, and check two of its cells by hand before relying on it: the bear case by growth in perpetuity and the bull case by exit multiple, each redone step by step in a spare sheet of the workbook. The table, the two checks, and any correction are recorded in our vault (research/03 Drafts/Module 4 - Bull base bear) and in our AI Log.</w:t>
      </w:r>
    </w:p>
    <w:bookmarkEnd w:id="12"/>
    <w:bookmarkStart w:id="13" w:name="inputs-for-the-knowledge-bank"/>
    <w:p>
      <w:pPr>
        <w:pStyle w:val="Heading2"/>
      </w:pPr>
      <w:r>
        <w:rPr>
          <w:rFonts w:ascii="Aptos" w:hAnsi="Aptos"/>
          <w:color w:val="000000"/>
        </w:rPr>
        <w:t xml:space="preserve">Inputs for the Knowledge Bank</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on"/>
        </w:trPr>
        <w:tc>
          <w:tcPr/>
          <w:p>
            <w:pPr>
              <w:pStyle w:val="Compact"/>
            </w:pPr>
            <w:r>
              <w:rPr>
                <w:rFonts w:ascii="Aptos" w:hAnsi="Aptos"/>
                <w:sz w:val="19"/>
              </w:rPr>
              <w:t xml:space="preserve">Input</w:t>
            </w:r>
          </w:p>
        </w:tc>
        <w:tc>
          <w:tcPr/>
          <w:p>
            <w:pPr>
              <w:pStyle w:val="Compact"/>
            </w:pPr>
            <w:r>
              <w:rPr>
                <w:rFonts w:ascii="Aptos" w:hAnsi="Aptos"/>
                <w:sz w:val="19"/>
              </w:rPr>
              <w:t xml:space="preserve">Value</w:t>
            </w:r>
          </w:p>
        </w:tc>
        <w:tc>
          <w:tcPr/>
          <w:p>
            <w:pPr>
              <w:pStyle w:val="Compact"/>
            </w:pPr>
            <w:r>
              <w:rPr>
                <w:rFonts w:ascii="Aptos" w:hAnsi="Aptos"/>
                <w:sz w:val="19"/>
              </w:rPr>
              <w:t xml:space="preserve">Tier</w:t>
            </w:r>
          </w:p>
        </w:tc>
        <w:tc>
          <w:tcPr/>
          <w:p>
            <w:pPr>
              <w:pStyle w:val="Compact"/>
            </w:pPr>
            <w:r>
              <w:rPr>
                <w:rFonts w:ascii="Aptos" w:hAnsi="Aptos"/>
                <w:sz w:val="19"/>
              </w:rPr>
              <w:t xml:space="preserve">Source</w:t>
            </w:r>
          </w:p>
        </w:tc>
      </w:tr>
      <w:tr>
        <w:tc>
          <w:tcPr/>
          <w:p>
            <w:pPr>
              <w:pStyle w:val="Compact"/>
            </w:pPr>
            <w:r>
              <w:rPr>
                <w:rFonts w:ascii="Aptos" w:hAnsi="Aptos"/>
                <w:sz w:val="19"/>
              </w:rPr>
              <w:t xml:space="preserve">WACC (Module 3)</w:t>
            </w:r>
          </w:p>
        </w:tc>
        <w:tc>
          <w:tcPr/>
          <w:p>
            <w:pPr>
              <w:pStyle w:val="Compact"/>
            </w:pPr>
            <w:r>
              <w:rPr>
                <w:rFonts w:ascii="Aptos" w:hAnsi="Aptos"/>
                <w:sz w:val="19"/>
              </w:rPr>
              <w:t xml:space="preserve">6.78%</w:t>
            </w:r>
          </w:p>
        </w:tc>
        <w:tc>
          <w:tcPr/>
          <w:p>
            <w:pPr>
              <w:pStyle w:val="Compact"/>
            </w:pPr>
            <w:r>
              <w:rPr>
                <w:rFonts w:ascii="Aptos" w:hAnsi="Aptos"/>
                <w:sz w:val="19"/>
              </w:rPr>
              <w:t xml:space="preserve">D</w:t>
            </w:r>
          </w:p>
        </w:tc>
        <w:tc>
          <w:tcPr/>
          <w:p>
            <w:pPr>
              <w:pStyle w:val="Compact"/>
            </w:pPr>
            <w:r>
              <w:rPr>
                <w:rFonts w:ascii="Aptos" w:hAnsi="Aptos"/>
                <w:sz w:val="19"/>
              </w:rPr>
              <w:t xml:space="preserve">S9</w:t>
            </w:r>
          </w:p>
        </w:tc>
      </w:tr>
      <w:tr>
        <w:tc>
          <w:tcPr/>
          <w:p>
            <w:pPr>
              <w:pStyle w:val="Compact"/>
            </w:pPr>
            <w:r>
              <w:rPr>
                <w:rFonts w:ascii="Aptos" w:hAnsi="Aptos"/>
                <w:sz w:val="19"/>
              </w:rPr>
              <w:t xml:space="preserve">Perpetual growth rate</w:t>
            </w:r>
          </w:p>
        </w:tc>
        <w:tc>
          <w:tcPr/>
          <w:p>
            <w:pPr>
              <w:pStyle w:val="Compact"/>
            </w:pPr>
            <w:r>
              <w:rPr>
                <w:rFonts w:ascii="Aptos" w:hAnsi="Aptos"/>
                <w:sz w:val="19"/>
              </w:rPr>
              <w:t xml:space="preserve">3.0%</w:t>
            </w:r>
          </w:p>
        </w:tc>
        <w:tc>
          <w:tcPr/>
          <w:p>
            <w:pPr>
              <w:pStyle w:val="Compact"/>
            </w:pPr>
            <w:r>
              <w:rPr>
                <w:rFonts w:ascii="Aptos" w:hAnsi="Aptos"/>
                <w:sz w:val="19"/>
              </w:rPr>
              <w:t xml:space="preserve">E (Chris Lester)</w:t>
            </w:r>
          </w:p>
        </w:tc>
        <w:tc>
          <w:tcPr/>
          <w:p>
            <w:pPr>
              <w:pStyle w:val="Compact"/>
            </w:pPr>
            <w:r>
              <w:rPr>
                <w:rFonts w:ascii="Aptos" w:hAnsi="Aptos"/>
                <w:sz w:val="19"/>
              </w:rPr>
              <w:t xml:space="preserve">S9</w:t>
            </w:r>
          </w:p>
        </w:tc>
      </w:tr>
      <w:tr>
        <w:tc>
          <w:tcPr/>
          <w:p>
            <w:pPr>
              <w:pStyle w:val="Compact"/>
            </w:pPr>
            <w:r>
              <w:rPr>
                <w:rFonts w:ascii="Aptos" w:hAnsi="Aptos"/>
                <w:sz w:val="19"/>
              </w:rPr>
              <w:t xml:space="preserve">Exit EV/EBITDA multiple</w:t>
            </w:r>
          </w:p>
        </w:tc>
        <w:tc>
          <w:tcPr/>
          <w:p>
            <w:pPr>
              <w:pStyle w:val="Compact"/>
            </w:pPr>
            <w:r>
              <w:rPr>
                <w:rFonts w:ascii="Aptos" w:hAnsi="Aptos"/>
                <w:sz w:val="19"/>
              </w:rPr>
              <w:t xml:space="preserve">13.02x</w:t>
            </w:r>
          </w:p>
        </w:tc>
        <w:tc>
          <w:tcPr/>
          <w:p>
            <w:pPr>
              <w:pStyle w:val="Compact"/>
            </w:pPr>
            <w:r>
              <w:rPr>
                <w:rFonts w:ascii="Aptos" w:hAnsi="Aptos"/>
                <w:sz w:val="19"/>
              </w:rPr>
              <w:t xml:space="preserve">E (Chris Lester)</w:t>
            </w:r>
          </w:p>
        </w:tc>
        <w:tc>
          <w:tcPr/>
          <w:p>
            <w:pPr>
              <w:pStyle w:val="Compact"/>
            </w:pPr>
            <w:r>
              <w:rPr>
                <w:rFonts w:ascii="Aptos" w:hAnsi="Aptos"/>
                <w:sz w:val="19"/>
              </w:rPr>
              <w:t xml:space="preserve">S9</w:t>
            </w:r>
          </w:p>
        </w:tc>
      </w:tr>
      <w:tr>
        <w:tc>
          <w:tcPr/>
          <w:p>
            <w:pPr>
              <w:pStyle w:val="Compact"/>
            </w:pPr>
            <w:r>
              <w:rPr>
                <w:rFonts w:ascii="Aptos" w:hAnsi="Aptos"/>
                <w:sz w:val="19"/>
              </w:rPr>
              <w:t xml:space="preserve">Valuation date and stub fraction</w:t>
            </w:r>
          </w:p>
        </w:tc>
        <w:tc>
          <w:tcPr/>
          <w:p>
            <w:pPr>
              <w:pStyle w:val="Compact"/>
            </w:pPr>
            <w:r>
              <w:rPr>
                <w:rFonts w:ascii="Aptos" w:hAnsi="Aptos"/>
                <w:sz w:val="19"/>
              </w:rPr>
              <w:t xml:space="preserve">October 5, 2026; 23.9% of FY2026</w:t>
            </w:r>
          </w:p>
        </w:tc>
        <w:tc>
          <w:tcPr/>
          <w:p>
            <w:pPr>
              <w:pStyle w:val="Compact"/>
            </w:pPr>
            <w:r>
              <w:rPr>
                <w:rFonts w:ascii="Aptos" w:hAnsi="Aptos"/>
                <w:sz w:val="19"/>
              </w:rPr>
              <w:t xml:space="preserve">D</w:t>
            </w:r>
          </w:p>
        </w:tc>
        <w:tc>
          <w:tcPr/>
          <w:p>
            <w:pPr>
              <w:pStyle w:val="Compact"/>
            </w:pPr>
            <w:r>
              <w:rPr>
                <w:rFonts w:ascii="Aptos" w:hAnsi="Aptos"/>
                <w:sz w:val="19"/>
              </w:rPr>
              <w:t xml:space="preserve">S9</w:t>
            </w:r>
          </w:p>
        </w:tc>
      </w:tr>
      <w:tr>
        <w:tc>
          <w:tcPr/>
          <w:p>
            <w:pPr>
              <w:pStyle w:val="Compact"/>
            </w:pPr>
            <w:r>
              <w:rPr>
                <w:rFonts w:ascii="Aptos" w:hAnsi="Aptos"/>
                <w:sz w:val="19"/>
              </w:rPr>
              <w:t xml:space="preserve">Present value of 2026 to 2028 cash flows</w:t>
            </w:r>
          </w:p>
        </w:tc>
        <w:tc>
          <w:tcPr/>
          <w:p>
            <w:pPr>
              <w:pStyle w:val="Compact"/>
            </w:pPr>
            <w:r>
              <w:rPr>
                <w:rFonts w:ascii="Aptos" w:hAnsi="Aptos"/>
                <w:sz w:val="19"/>
              </w:rPr>
              <w:t xml:space="preserve">3,792.3</w:t>
            </w:r>
          </w:p>
        </w:tc>
        <w:tc>
          <w:tcPr/>
          <w:p>
            <w:pPr>
              <w:pStyle w:val="Compact"/>
            </w:pPr>
            <w:r>
              <w:rPr>
                <w:rFonts w:ascii="Aptos" w:hAnsi="Aptos"/>
                <w:sz w:val="19"/>
              </w:rPr>
              <w:t xml:space="preserve">D</w:t>
            </w:r>
          </w:p>
        </w:tc>
        <w:tc>
          <w:tcPr/>
          <w:p>
            <w:pPr>
              <w:pStyle w:val="Compact"/>
            </w:pPr>
            <w:r>
              <w:rPr>
                <w:rFonts w:ascii="Aptos" w:hAnsi="Aptos"/>
                <w:sz w:val="19"/>
              </w:rPr>
              <w:t xml:space="preserve">S9</w:t>
            </w:r>
          </w:p>
        </w:tc>
      </w:tr>
      <w:tr>
        <w:tc>
          <w:tcPr/>
          <w:p>
            <w:pPr>
              <w:pStyle w:val="Compact"/>
            </w:pPr>
            <w:r>
              <w:rPr>
                <w:rFonts w:ascii="Aptos" w:hAnsi="Aptos"/>
                <w:sz w:val="19"/>
              </w:rPr>
              <w:t xml:space="preserve">Terminal value, growth in perpetuity</w:t>
            </w:r>
          </w:p>
        </w:tc>
        <w:tc>
          <w:tcPr/>
          <w:p>
            <w:pPr>
              <w:pStyle w:val="Compact"/>
            </w:pPr>
            <w:r>
              <w:rPr>
                <w:rFonts w:ascii="Aptos" w:hAnsi="Aptos"/>
                <w:sz w:val="19"/>
              </w:rPr>
              <w:t xml:space="preserve">52,410.9</w:t>
            </w:r>
          </w:p>
        </w:tc>
        <w:tc>
          <w:tcPr/>
          <w:p>
            <w:pPr>
              <w:pStyle w:val="Compact"/>
            </w:pPr>
            <w:r>
              <w:rPr>
                <w:rFonts w:ascii="Aptos" w:hAnsi="Aptos"/>
                <w:sz w:val="19"/>
              </w:rPr>
              <w:t xml:space="preserve">D</w:t>
            </w:r>
          </w:p>
        </w:tc>
        <w:tc>
          <w:tcPr/>
          <w:p>
            <w:pPr>
              <w:pStyle w:val="Compact"/>
            </w:pPr>
            <w:r>
              <w:rPr>
                <w:rFonts w:ascii="Aptos" w:hAnsi="Aptos"/>
                <w:sz w:val="19"/>
              </w:rPr>
              <w:t xml:space="preserve">S9</w:t>
            </w:r>
          </w:p>
        </w:tc>
      </w:tr>
      <w:tr>
        <w:tc>
          <w:tcPr/>
          <w:p>
            <w:pPr>
              <w:pStyle w:val="Compact"/>
            </w:pPr>
            <w:r>
              <w:rPr>
                <w:rFonts w:ascii="Aptos" w:hAnsi="Aptos"/>
                <w:sz w:val="19"/>
              </w:rPr>
              <w:t xml:space="preserve">Terminal value, exit multiple</w:t>
            </w:r>
          </w:p>
        </w:tc>
        <w:tc>
          <w:tcPr/>
          <w:p>
            <w:pPr>
              <w:pStyle w:val="Compact"/>
            </w:pPr>
            <w:r>
              <w:rPr>
                <w:rFonts w:ascii="Aptos" w:hAnsi="Aptos"/>
                <w:sz w:val="19"/>
              </w:rPr>
              <w:t xml:space="preserve">46,275.7</w:t>
            </w:r>
          </w:p>
        </w:tc>
        <w:tc>
          <w:tcPr/>
          <w:p>
            <w:pPr>
              <w:pStyle w:val="Compact"/>
            </w:pPr>
            <w:r>
              <w:rPr>
                <w:rFonts w:ascii="Aptos" w:hAnsi="Aptos"/>
                <w:sz w:val="19"/>
              </w:rPr>
              <w:t xml:space="preserve">D</w:t>
            </w:r>
          </w:p>
        </w:tc>
        <w:tc>
          <w:tcPr/>
          <w:p>
            <w:pPr>
              <w:pStyle w:val="Compact"/>
            </w:pPr>
            <w:r>
              <w:rPr>
                <w:rFonts w:ascii="Aptos" w:hAnsi="Aptos"/>
                <w:sz w:val="19"/>
              </w:rPr>
              <w:t xml:space="preserve">S9</w:t>
            </w:r>
          </w:p>
        </w:tc>
      </w:tr>
      <w:tr>
        <w:tc>
          <w:tcPr/>
          <w:p>
            <w:pPr>
              <w:pStyle w:val="Compact"/>
            </w:pPr>
            <w:r>
              <w:rPr>
                <w:rFonts w:ascii="Aptos" w:hAnsi="Aptos"/>
                <w:sz w:val="19"/>
              </w:rPr>
              <w:t xml:space="preserve">Terminal value share of enterprise value</w:t>
            </w:r>
          </w:p>
        </w:tc>
        <w:tc>
          <w:tcPr/>
          <w:p>
            <w:pPr>
              <w:pStyle w:val="Compact"/>
            </w:pPr>
            <w:r>
              <w:rPr>
                <w:rFonts w:ascii="Aptos" w:hAnsi="Aptos"/>
                <w:sz w:val="19"/>
              </w:rPr>
              <w:t xml:space="preserve">92.3% and 91.3%</w:t>
            </w:r>
          </w:p>
        </w:tc>
        <w:tc>
          <w:tcPr/>
          <w:p>
            <w:pPr>
              <w:pStyle w:val="Compact"/>
            </w:pPr>
            <w:r>
              <w:rPr>
                <w:rFonts w:ascii="Aptos" w:hAnsi="Aptos"/>
                <w:sz w:val="19"/>
              </w:rPr>
              <w:t xml:space="preserve">D</w:t>
            </w:r>
          </w:p>
        </w:tc>
        <w:tc>
          <w:tcPr/>
          <w:p>
            <w:pPr>
              <w:pStyle w:val="Compact"/>
            </w:pPr>
            <w:r>
              <w:rPr>
                <w:rFonts w:ascii="Aptos" w:hAnsi="Aptos"/>
                <w:sz w:val="19"/>
              </w:rPr>
              <w:t xml:space="preserve">S9</w:t>
            </w:r>
          </w:p>
        </w:tc>
      </w:tr>
      <w:tr>
        <w:tc>
          <w:tcPr/>
          <w:p>
            <w:pPr>
              <w:pStyle w:val="Compact"/>
            </w:pPr>
            <w:r>
              <w:rPr>
                <w:rFonts w:ascii="Aptos" w:hAnsi="Aptos"/>
                <w:sz w:val="19"/>
              </w:rPr>
              <w:t xml:space="preserve">Implied exit multiple at 3.0% growth</w:t>
            </w:r>
          </w:p>
        </w:tc>
        <w:tc>
          <w:tcPr/>
          <w:p>
            <w:pPr>
              <w:pStyle w:val="Compact"/>
            </w:pPr>
            <w:r>
              <w:rPr>
                <w:rFonts w:ascii="Aptos" w:hAnsi="Aptos"/>
                <w:sz w:val="19"/>
              </w:rPr>
              <w:t xml:space="preserve">14.7x</w:t>
            </w:r>
          </w:p>
        </w:tc>
        <w:tc>
          <w:tcPr/>
          <w:p>
            <w:pPr>
              <w:pStyle w:val="Compact"/>
            </w:pPr>
            <w:r>
              <w:rPr>
                <w:rFonts w:ascii="Aptos" w:hAnsi="Aptos"/>
                <w:sz w:val="19"/>
              </w:rPr>
              <w:t xml:space="preserve">D</w:t>
            </w:r>
          </w:p>
        </w:tc>
        <w:tc>
          <w:tcPr/>
          <w:p>
            <w:pPr>
              <w:pStyle w:val="Compact"/>
            </w:pPr>
            <w:r>
              <w:rPr>
                <w:rFonts w:ascii="Aptos" w:hAnsi="Aptos"/>
                <w:sz w:val="19"/>
              </w:rPr>
              <w:t xml:space="preserve">S9</w:t>
            </w:r>
          </w:p>
        </w:tc>
      </w:tr>
      <w:tr>
        <w:tc>
          <w:tcPr/>
          <w:p>
            <w:pPr>
              <w:pStyle w:val="Compact"/>
            </w:pPr>
            <w:r>
              <w:rPr>
                <w:rFonts w:ascii="Aptos" w:hAnsi="Aptos"/>
                <w:sz w:val="19"/>
              </w:rPr>
              <w:t xml:space="preserve">Implied growth at 13.02x</w:t>
            </w:r>
          </w:p>
        </w:tc>
        <w:tc>
          <w:tcPr/>
          <w:p>
            <w:pPr>
              <w:pStyle w:val="Compact"/>
            </w:pPr>
            <w:r>
              <w:rPr>
                <w:rFonts w:ascii="Aptos" w:hAnsi="Aptos"/>
                <w:sz w:val="19"/>
              </w:rPr>
              <w:t xml:space="preserve">2.5%</w:t>
            </w:r>
          </w:p>
        </w:tc>
        <w:tc>
          <w:tcPr/>
          <w:p>
            <w:pPr>
              <w:pStyle w:val="Compact"/>
            </w:pPr>
            <w:r>
              <w:rPr>
                <w:rFonts w:ascii="Aptos" w:hAnsi="Aptos"/>
                <w:sz w:val="19"/>
              </w:rPr>
              <w:t xml:space="preserve">D</w:t>
            </w:r>
          </w:p>
        </w:tc>
        <w:tc>
          <w:tcPr/>
          <w:p>
            <w:pPr>
              <w:pStyle w:val="Compact"/>
            </w:pPr>
            <w:r>
              <w:rPr>
                <w:rFonts w:ascii="Aptos" w:hAnsi="Aptos"/>
                <w:sz w:val="19"/>
              </w:rPr>
              <w:t xml:space="preserve">S9</w:t>
            </w:r>
          </w:p>
        </w:tc>
      </w:tr>
      <w:tr>
        <w:tc>
          <w:tcPr/>
          <w:p>
            <w:pPr>
              <w:pStyle w:val="Compact"/>
            </w:pPr>
            <w:r>
              <w:rPr>
                <w:rFonts w:ascii="Aptos" w:hAnsi="Aptos"/>
                <w:sz w:val="19"/>
              </w:rPr>
              <w:t xml:space="preserve">Net debt</w:t>
            </w:r>
          </w:p>
        </w:tc>
        <w:tc>
          <w:tcPr/>
          <w:p>
            <w:pPr>
              <w:pStyle w:val="Compact"/>
            </w:pPr>
            <w:r>
              <w:rPr>
                <w:rFonts w:ascii="Aptos" w:hAnsi="Aptos"/>
                <w:sz w:val="19"/>
              </w:rPr>
              <w:t xml:space="preserve">3,755.1</w:t>
            </w:r>
          </w:p>
        </w:tc>
        <w:tc>
          <w:tcPr/>
          <w:p>
            <w:pPr>
              <w:pStyle w:val="Compact"/>
            </w:pPr>
            <w:r>
              <w:rPr>
                <w:rFonts w:ascii="Aptos" w:hAnsi="Aptos"/>
                <w:sz w:val="19"/>
              </w:rPr>
              <w:t xml:space="preserve">D</w:t>
            </w:r>
          </w:p>
        </w:tc>
        <w:tc>
          <w:tcPr/>
          <w:p>
            <w:pPr>
              <w:pStyle w:val="Compact"/>
            </w:pPr>
            <w:r>
              <w:rPr>
                <w:rFonts w:ascii="Aptos" w:hAnsi="Aptos"/>
                <w:sz w:val="19"/>
              </w:rPr>
              <w:t xml:space="preserve">S1, S9</w:t>
            </w:r>
          </w:p>
        </w:tc>
      </w:tr>
      <w:tr>
        <w:tc>
          <w:tcPr/>
          <w:p>
            <w:pPr>
              <w:pStyle w:val="Compact"/>
            </w:pPr>
            <w:r>
              <w:rPr>
                <w:rFonts w:ascii="Aptos" w:hAnsi="Aptos"/>
                <w:sz w:val="19"/>
              </w:rPr>
              <w:t xml:space="preserve">Diluted shares</w:t>
            </w:r>
          </w:p>
        </w:tc>
        <w:tc>
          <w:tcPr/>
          <w:p>
            <w:pPr>
              <w:pStyle w:val="Compact"/>
            </w:pPr>
            <w:r>
              <w:rPr>
                <w:rFonts w:ascii="Aptos" w:hAnsi="Aptos"/>
                <w:sz w:val="19"/>
              </w:rPr>
              <w:t xml:space="preserve">207.2 million</w:t>
            </w:r>
          </w:p>
        </w:tc>
        <w:tc>
          <w:tcPr/>
          <w:p>
            <w:pPr>
              <w:pStyle w:val="Compact"/>
            </w:pPr>
            <w:r>
              <w:rPr>
                <w:rFonts w:ascii="Aptos" w:hAnsi="Aptos"/>
                <w:sz w:val="19"/>
              </w:rPr>
              <w:t xml:space="preserve">R</w:t>
            </w:r>
          </w:p>
        </w:tc>
        <w:tc>
          <w:tcPr/>
          <w:p>
            <w:pPr>
              <w:pStyle w:val="Compact"/>
            </w:pPr>
            <w:r>
              <w:rPr>
                <w:rFonts w:ascii="Aptos" w:hAnsi="Aptos"/>
                <w:sz w:val="19"/>
              </w:rPr>
              <w:t xml:space="preserve">S9</w:t>
            </w:r>
          </w:p>
        </w:tc>
      </w:tr>
      <w:tr>
        <w:tc>
          <w:tcPr/>
          <w:p>
            <w:pPr>
              <w:pStyle w:val="Compact"/>
            </w:pPr>
            <w:r>
              <w:rPr>
                <w:rFonts w:ascii="Aptos" w:hAnsi="Aptos"/>
                <w:sz w:val="19"/>
              </w:rPr>
              <w:t xml:space="preserve">Equity value per share, perpetuity</w:t>
            </w:r>
          </w:p>
        </w:tc>
        <w:tc>
          <w:tcPr/>
          <w:p>
            <w:pPr>
              <w:pStyle w:val="Compact"/>
            </w:pPr>
            <w:r>
              <w:rPr>
                <w:rFonts w:ascii="Aptos" w:hAnsi="Aptos"/>
                <w:sz w:val="19"/>
              </w:rPr>
              <w:t xml:space="preserve">$218.59</w:t>
            </w:r>
          </w:p>
        </w:tc>
        <w:tc>
          <w:tcPr/>
          <w:p>
            <w:pPr>
              <w:pStyle w:val="Compact"/>
            </w:pPr>
            <w:r>
              <w:rPr>
                <w:rFonts w:ascii="Aptos" w:hAnsi="Aptos"/>
                <w:sz w:val="19"/>
              </w:rPr>
              <w:t xml:space="preserve">D</w:t>
            </w:r>
          </w:p>
        </w:tc>
        <w:tc>
          <w:tcPr/>
          <w:p>
            <w:pPr>
              <w:pStyle w:val="Compact"/>
            </w:pPr>
            <w:r>
              <w:rPr>
                <w:rFonts w:ascii="Aptos" w:hAnsi="Aptos"/>
                <w:sz w:val="19"/>
              </w:rPr>
              <w:t xml:space="preserve">S9</w:t>
            </w:r>
          </w:p>
        </w:tc>
      </w:tr>
      <w:tr>
        <w:tc>
          <w:tcPr/>
          <w:p>
            <w:pPr>
              <w:pStyle w:val="Compact"/>
            </w:pPr>
            <w:r>
              <w:rPr>
                <w:rFonts w:ascii="Aptos" w:hAnsi="Aptos"/>
                <w:sz w:val="19"/>
              </w:rPr>
              <w:t xml:space="preserve">Equity value per share, exit multiple</w:t>
            </w:r>
          </w:p>
        </w:tc>
        <w:tc>
          <w:tcPr/>
          <w:p>
            <w:pPr>
              <w:pStyle w:val="Compact"/>
            </w:pPr>
            <w:r>
              <w:rPr>
                <w:rFonts w:ascii="Aptos" w:hAnsi="Aptos"/>
                <w:sz w:val="19"/>
              </w:rPr>
              <w:t xml:space="preserve">$193.02</w:t>
            </w:r>
          </w:p>
        </w:tc>
        <w:tc>
          <w:tcPr/>
          <w:p>
            <w:pPr>
              <w:pStyle w:val="Compact"/>
            </w:pPr>
            <w:r>
              <w:rPr>
                <w:rFonts w:ascii="Aptos" w:hAnsi="Aptos"/>
                <w:sz w:val="19"/>
              </w:rPr>
              <w:t xml:space="preserve">D</w:t>
            </w:r>
          </w:p>
        </w:tc>
        <w:tc>
          <w:tcPr/>
          <w:p>
            <w:pPr>
              <w:pStyle w:val="Compact"/>
            </w:pPr>
            <w:r>
              <w:rPr>
                <w:rFonts w:ascii="Aptos" w:hAnsi="Aptos"/>
                <w:sz w:val="19"/>
              </w:rPr>
              <w:t xml:space="preserve">S9</w:t>
            </w:r>
          </w:p>
        </w:tc>
      </w:tr>
      <w:tr>
        <w:tc>
          <w:tcPr/>
          <w:p>
            <w:pPr>
              <w:pStyle w:val="Compact"/>
            </w:pPr>
            <w:r>
              <w:rPr>
                <w:rFonts w:ascii="Aptos" w:hAnsi="Aptos"/>
                <w:sz w:val="19"/>
              </w:rPr>
              <w:t xml:space="preserve">Share price, October 5, 2026</w:t>
            </w:r>
          </w:p>
        </w:tc>
        <w:tc>
          <w:tcPr/>
          <w:p>
            <w:pPr>
              <w:pStyle w:val="Compact"/>
            </w:pPr>
            <w:r>
              <w:rPr>
                <w:rFonts w:ascii="Aptos" w:hAnsi="Aptos"/>
                <w:sz w:val="19"/>
              </w:rPr>
              <w:t xml:space="preserve">$160.19</w:t>
            </w:r>
          </w:p>
        </w:tc>
        <w:tc>
          <w:tcPr/>
          <w:p>
            <w:pPr>
              <w:pStyle w:val="Compact"/>
            </w:pPr>
            <w:r>
              <w:rPr>
                <w:rFonts w:ascii="Aptos" w:hAnsi="Aptos"/>
                <w:sz w:val="19"/>
              </w:rPr>
              <w:t xml:space="preserve">R</w:t>
            </w:r>
          </w:p>
        </w:tc>
        <w:tc>
          <w:tcPr/>
          <w:p>
            <w:pPr>
              <w:pStyle w:val="Compact"/>
            </w:pPr>
            <w:r>
              <w:rPr>
                <w:rFonts w:ascii="Aptos" w:hAnsi="Aptos"/>
                <w:sz w:val="19"/>
              </w:rPr>
              <w:t xml:space="preserve">S9</w:t>
            </w:r>
          </w:p>
        </w:tc>
      </w:tr>
    </w:tbl>
    <w:bookmarkEnd w:id="13"/>
    <w:bookmarkStart w:id="14" w:name="sources"/>
    <w:p>
      <w:pPr>
        <w:pStyle w:val="Heading2"/>
      </w:pPr>
      <w:r>
        <w:rPr>
          <w:rFonts w:ascii="Aptos" w:hAnsi="Aptos"/>
          <w:color w:val="000000"/>
        </w:rPr>
        <w:t xml:space="preserve">Sources</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on"/>
        </w:trPr>
        <w:tc>
          <w:tcPr/>
          <w:p>
            <w:pPr>
              <w:pStyle w:val="Compact"/>
            </w:pPr>
            <w:r>
              <w:rPr>
                <w:rFonts w:ascii="Aptos" w:hAnsi="Aptos"/>
                <w:sz w:val="19"/>
              </w:rPr>
              <w:t xml:space="preserve">id</w:t>
            </w:r>
          </w:p>
        </w:tc>
        <w:tc>
          <w:tcPr/>
          <w:p>
            <w:pPr>
              <w:pStyle w:val="Compact"/>
            </w:pPr>
            <w:r>
              <w:rPr>
                <w:rFonts w:ascii="Aptos" w:hAnsi="Aptos"/>
                <w:sz w:val="19"/>
              </w:rPr>
              <w:t xml:space="preserve">Source</w:t>
            </w:r>
          </w:p>
        </w:tc>
        <w:tc>
          <w:tcPr/>
          <w:p>
            <w:pPr>
              <w:pStyle w:val="Compact"/>
            </w:pPr>
            <w:r>
              <w:rPr>
                <w:rFonts w:ascii="Aptos" w:hAnsi="Aptos"/>
                <w:sz w:val="19"/>
              </w:rPr>
              <w:t xml:space="preserve">Publisher</w:t>
            </w:r>
          </w:p>
        </w:tc>
        <w:tc>
          <w:tcPr/>
          <w:p>
            <w:pPr>
              <w:pStyle w:val="Compact"/>
            </w:pPr>
            <w:r>
              <w:rPr>
                <w:rFonts w:ascii="Aptos" w:hAnsi="Aptos"/>
                <w:sz w:val="19"/>
              </w:rPr>
              <w:t xml:space="preserve">Date</w:t>
            </w:r>
          </w:p>
        </w:tc>
        <w:tc>
          <w:tcPr/>
          <w:p>
            <w:pPr>
              <w:pStyle w:val="Compact"/>
            </w:pPr>
            <w:r>
              <w:rPr>
                <w:rFonts w:ascii="Aptos" w:hAnsi="Aptos"/>
                <w:sz w:val="19"/>
              </w:rPr>
              <w:t xml:space="preserve">Link</w:t>
            </w:r>
          </w:p>
        </w:tc>
      </w:tr>
      <w:tr>
        <w:tc>
          <w:tcPr/>
          <w:p>
            <w:pPr>
              <w:pStyle w:val="Compact"/>
            </w:pPr>
            <w:r>
              <w:rPr>
                <w:rFonts w:ascii="Aptos" w:hAnsi="Aptos"/>
                <w:sz w:val="19"/>
              </w:rPr>
              <w:t xml:space="preserve">S1</w:t>
            </w:r>
          </w:p>
        </w:tc>
        <w:tc>
          <w:tcPr/>
          <w:p>
            <w:pPr>
              <w:pStyle w:val="Compact"/>
            </w:pPr>
            <w:r>
              <w:rPr>
                <w:rFonts w:ascii="Aptos" w:hAnsi="Aptos"/>
                <w:sz w:val="19"/>
              </w:rPr>
              <w:t xml:space="preserve">The Hershey Company Form 10-K for fiscal 2025, accession 0001628280-26-008586</w:t>
            </w:r>
          </w:p>
        </w:tc>
        <w:tc>
          <w:tcPr/>
          <w:p>
            <w:pPr>
              <w:pStyle w:val="Compact"/>
            </w:pPr>
            <w:r>
              <w:rPr>
                <w:rFonts w:ascii="Aptos" w:hAnsi="Aptos"/>
                <w:sz w:val="19"/>
              </w:rPr>
              <w:t xml:space="preserve">SEC EDGAR</w:t>
            </w:r>
          </w:p>
        </w:tc>
        <w:tc>
          <w:tcPr/>
          <w:p>
            <w:pPr>
              <w:pStyle w:val="Compact"/>
            </w:pPr>
            <w:r>
              <w:rPr>
                <w:rFonts w:ascii="Aptos" w:hAnsi="Aptos"/>
                <w:sz w:val="19"/>
              </w:rPr>
              <w:t xml:space="preserve">2026-02-17</w:t>
            </w:r>
          </w:p>
        </w:tc>
        <w:tc>
          <w:tcPr/>
          <w:p>
            <w:pPr>
              <w:pStyle w:val="Compact"/>
            </w:pPr>
            <w:r>
              <w:rPr>
                <w:rFonts w:ascii="Aptos" w:hAnsi="Aptos"/>
                <w:sz w:val="19"/>
              </w:rPr>
              <w:t xml:space="preserve">https://www.sec.gov/Archives/edgar/data/47111/000162828026008586/hsy-20251231.htm</w:t>
            </w:r>
          </w:p>
        </w:tc>
      </w:tr>
      <w:tr>
        <w:tc>
          <w:tcPr/>
          <w:p>
            <w:pPr>
              <w:pStyle w:val="Compact"/>
            </w:pPr>
            <w:r>
              <w:rPr>
                <w:rFonts w:ascii="Aptos" w:hAnsi="Aptos"/>
                <w:sz w:val="19"/>
              </w:rPr>
              <w:t xml:space="preserve">S8</w:t>
            </w:r>
          </w:p>
        </w:tc>
        <w:tc>
          <w:tcPr/>
          <w:p>
            <w:pPr>
              <w:pStyle w:val="Compact"/>
            </w:pPr>
            <w:r>
              <w:rPr>
                <w:rFonts w:ascii="Aptos" w:hAnsi="Aptos"/>
                <w:sz w:val="19"/>
              </w:rPr>
              <w:t xml:space="preserve">FactSet consensus estimates for Hershey</w:t>
            </w:r>
          </w:p>
        </w:tc>
        <w:tc>
          <w:tcPr/>
          <w:p>
            <w:pPr>
              <w:pStyle w:val="Compact"/>
            </w:pPr>
            <w:r>
              <w:rPr>
                <w:rFonts w:ascii="Aptos" w:hAnsi="Aptos"/>
                <w:sz w:val="19"/>
              </w:rPr>
              <w:t xml:space="preserve">FactSet</w:t>
            </w:r>
          </w:p>
        </w:tc>
        <w:tc>
          <w:tcPr/>
          <w:p>
            <w:pPr>
              <w:pStyle w:val="Compact"/>
            </w:pPr>
            <w:r>
              <w:rPr>
                <w:rFonts w:ascii="Aptos" w:hAnsi="Aptos"/>
                <w:sz w:val="19"/>
              </w:rPr>
              <w:t xml:space="preserve">2026-10-04</w:t>
            </w:r>
          </w:p>
        </w:tc>
        <w:tc>
          <w:tcPr/>
          <w:p>
            <w:pPr>
              <w:pStyle w:val="Compact"/>
            </w:pPr>
            <w:r>
              <w:rPr>
                <w:rFonts w:ascii="Aptos" w:hAnsi="Aptos"/>
                <w:sz w:val="19"/>
              </w:rPr>
              <w:t xml:space="preserve">FactSet terminal (licensed; not linked)</w:t>
            </w:r>
          </w:p>
        </w:tc>
      </w:tr>
      <w:tr>
        <w:tc>
          <w:tcPr/>
          <w:p>
            <w:pPr>
              <w:pStyle w:val="Compact"/>
            </w:pPr>
            <w:r>
              <w:rPr>
                <w:rFonts w:ascii="Aptos" w:hAnsi="Aptos"/>
                <w:sz w:val="19"/>
              </w:rPr>
              <w:t xml:space="preserve">S9</w:t>
            </w:r>
          </w:p>
        </w:tc>
        <w:tc>
          <w:tcPr/>
          <w:p>
            <w:pPr>
              <w:pStyle w:val="Compact"/>
            </w:pPr>
            <w:r>
              <w:rPr>
                <w:rFonts w:ascii="Aptos" w:hAnsi="Aptos"/>
                <w:sz w:val="19"/>
              </w:rPr>
              <w:t xml:space="preserve">Team Q&amp;D workbook for Hershey, DCF 1-Pager tab</w:t>
            </w:r>
          </w:p>
        </w:tc>
        <w:tc>
          <w:tcPr/>
          <w:p>
            <w:pPr>
              <w:pStyle w:val="Compact"/>
            </w:pPr>
            <w:r>
              <w:rPr>
                <w:rFonts w:ascii="Aptos" w:hAnsi="Aptos"/>
                <w:sz w:val="19"/>
              </w:rPr>
              <w:t xml:space="preserve">FIN 5370 HSY team</w:t>
            </w:r>
          </w:p>
        </w:tc>
        <w:tc>
          <w:tcPr/>
          <w:p>
            <w:pPr>
              <w:pStyle w:val="Compact"/>
            </w:pPr>
            <w:r>
              <w:rPr>
                <w:rFonts w:ascii="Aptos" w:hAnsi="Aptos"/>
                <w:sz w:val="19"/>
              </w:rPr>
              <w:t xml:space="preserve">2026-10-05</w:t>
            </w:r>
          </w:p>
        </w:tc>
        <w:tc>
          <w:tcPr/>
          <w:p>
            <w:pPr>
              <w:pStyle w:val="Compact"/>
            </w:pPr>
            <w:r>
              <w:rPr>
                <w:rFonts w:ascii="Aptos" w:hAnsi="Aptos"/>
                <w:sz w:val="19"/>
              </w:rPr>
              <w:t xml:space="preserve">workbook/QD-HSY.xlsx</w:t>
            </w:r>
          </w:p>
        </w:tc>
      </w:tr>
    </w:tbl>
    <w:bookmarkEnd w:id="14"/>
    <w:bookmarkStart w:id="15" w:name="numbers-we-still-need"/>
    <w:p>
      <w:pPr>
        <w:pStyle w:val="Heading2"/>
      </w:pPr>
      <w:r>
        <w:rPr>
          <w:rFonts w:ascii="Aptos" w:hAnsi="Aptos"/>
          <w:color w:val="000000"/>
        </w:rPr>
        <w:t xml:space="preserve">Numbers we still need</w:t>
      </w:r>
    </w:p>
    <w:p>
      <w:pPr>
        <w:pStyle w:val="Compact"/>
        <w:numPr>
          <w:ilvl w:val="0"/>
          <w:numId w:val="1001"/>
        </w:numPr>
      </w:pPr>
      <w:r>
        <w:rPr>
          <w:rFonts w:ascii="Aptos" w:hAnsi="Aptos"/>
          <w:color w:val="000000"/>
        </w:rPr>
        <w:t xml:space="preserve">None.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color w:val="000000"/>
      <w:sz w:val="22"/>
    </w:rPr>
  </w:style>
  <w:style w:styleId="BodyText" w:type="paragraph">
    <w:name w:val="Body Text"/>
    <w:basedOn w:val="Normal"/>
    <w:link w:val="BodyTextChar"/>
    <w:qFormat/>
    <w:pPr>
      <w:spacing w:after="180" w:before="180"/>
    </w:pPr>
    <w:rPr>
      <w:rFonts w:ascii="Aptos" w:hAnsi="Aptos" w:eastAsia="Aptos"/>
      <w:color w:val="000000"/>
    </w:rPr>
  </w:style>
  <w:style w:customStyle="1" w:styleId="FirstParagraph" w:type="paragraph">
    <w:name w:val="First Paragraph"/>
    <w:basedOn w:val="BodyText"/>
    <w:next w:val="BodyText"/>
    <w:qFormat/>
    <w:rPr>
      <w:rFonts w:ascii="Aptos" w:hAnsi="Aptos" w:eastAsia="Aptos"/>
      <w:color w:val="000000"/>
    </w:rPr>
  </w:style>
  <w:style w:customStyle="1" w:styleId="Compact" w:type="paragraph">
    <w:name w:val="Compact"/>
    <w:basedOn w:val="BodyText"/>
    <w:qFormat/>
    <w:pPr>
      <w:spacing w:after="36" w:before="36"/>
    </w:pPr>
    <w:rPr>
      <w:rFonts w:ascii="Aptos" w:hAnsi="Aptos" w:eastAsia="Aptos"/>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ptos" w:hAnsi="Aptos" w:eastAsia="Aptos"/>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Aptos" w:hAnsi="Aptos" w:eastAsia="Aptos"/>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Aptos" w:hAnsi="Aptos" w:eastAsia="Aptos"/>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Aptos" w:hAnsi="Aptos" w:eastAsia="Aptos"/>
      <w:color w:val="000000"/>
      <w:spacing w:val="15"/>
      <w:sz w:val="28"/>
      <w:szCs w:val="28"/>
    </w:rPr>
  </w:style>
  <w:style w:customStyle="1" w:styleId="Author" w:type="paragraph">
    <w:name w:val="Author"/>
    <w:basedOn w:val="Title"/>
    <w:next w:val="BodyText"/>
    <w:qFormat/>
    <w:pPr>
      <w:keepNext/>
      <w:keepLines/>
    </w:pPr>
    <w:rPr>
      <w:rFonts w:ascii="Aptos" w:hAnsi="Aptos" w:eastAsia="Aptos"/>
      <w:color w:val="000000"/>
      <w:sz w:val="24"/>
      <w:szCs w:val="24"/>
    </w:rPr>
  </w:style>
  <w:style w:styleId="Date" w:type="paragraph">
    <w:name w:val="Date"/>
    <w:basedOn w:val="Title"/>
    <w:next w:val="BodyText"/>
    <w:qFormat/>
    <w:pPr>
      <w:keepNext/>
      <w:keepLines/>
    </w:pPr>
    <w:rPr>
      <w:rFonts w:ascii="Aptos" w:hAnsi="Aptos" w:eastAsia="Aptos"/>
      <w:color w:val="000000"/>
      <w:sz w:val="24"/>
      <w:szCs w:val="24"/>
    </w:rPr>
  </w:style>
  <w:style w:customStyle="1" w:styleId="AbstractTitle" w:type="paragraph">
    <w:name w:val="Abstract Title"/>
    <w:basedOn w:val="Normal"/>
    <w:next w:val="Abstract"/>
    <w:qFormat/>
    <w:pPr>
      <w:keepNext/>
      <w:keepLines/>
      <w:spacing w:after="0" w:before="300"/>
      <w:jc w:val="center"/>
    </w:pPr>
    <w:rPr>
      <w:rFonts w:ascii="Aptos" w:hAnsi="Aptos" w:eastAsia="Aptos"/>
      <w:b/>
      <w:color w:val="000000"/>
      <w:sz w:val="20"/>
      <w:szCs w:val="20"/>
    </w:rPr>
  </w:style>
  <w:style w:customStyle="1" w:styleId="Abstract" w:type="paragraph">
    <w:name w:val="Abstract"/>
    <w:basedOn w:val="Normal"/>
    <w:next w:val="BodyText"/>
    <w:qFormat/>
    <w:pPr>
      <w:keepNext/>
      <w:keepLines/>
      <w:spacing w:after="300" w:before="100"/>
    </w:pPr>
    <w:rPr>
      <w:rFonts w:ascii="Aptos" w:hAnsi="Aptos" w:eastAsia="Aptos"/>
      <w:color w:val="000000"/>
      <w:sz w:val="20"/>
      <w:szCs w:val="20"/>
    </w:rPr>
  </w:style>
  <w:style w:styleId="Bibliography" w:type="paragraph">
    <w:name w:val="Bibliography"/>
    <w:basedOn w:val="Normal"/>
    <w:next w:val="Bibliography"/>
    <w:qFormat/>
    <w:pPr/>
    <w:rPr>
      <w:rFonts w:ascii="Aptos" w:hAnsi="Aptos" w:eastAsia="Aptos"/>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ptos" w:hAnsi="Aptos" w:eastAsia="Aptos"/>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ptos" w:hAnsi="Aptos" w:eastAsia="Aptos"/>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ptos" w:hAnsi="Aptos" w:eastAsia="Apto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ptos" w:hAnsi="Aptos" w:eastAsia="Aptos"/>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Aptos" w:hAnsi="Aptos" w:eastAsia="Aptos"/>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Aptos" w:hAnsi="Aptos" w:eastAsia="Aptos"/>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Aptos" w:hAnsi="Aptos" w:eastAsia="Aptos"/>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Aptos" w:hAnsi="Aptos" w:eastAsia="Aptos"/>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Aptos" w:hAnsi="Aptos" w:eastAsia="Aptos"/>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Aptos" w:hAnsi="Aptos" w:eastAsia="Aptos"/>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Aptos" w:hAnsi="Aptos" w:eastAsia="Aptos"/>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Aptos" w:hAnsi="Aptos" w:eastAsia="Aptos"/>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Aptos" w:hAnsi="Aptos" w:eastAsia="Aptos"/>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Aptos" w:hAnsi="Aptos" w:eastAsia="Aptos"/>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Aptos" w:hAnsi="Aptos" w:eastAsia="Aptos"/>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Aptos" w:hAnsi="Aptos" w:eastAsia="Aptos"/>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Aptos" w:hAnsi="Aptos" w:eastAsia="Aptos"/>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Aptos" w:hAnsi="Aptos" w:eastAsia="Aptos"/>
      <w:color w:val="000000"/>
    </w:rPr>
  </w:style>
  <w:style w:styleId="BlockText" w:type="paragraph">
    <w:name w:val="Block Text"/>
    <w:basedOn w:val="BodyText"/>
    <w:next w:val="BodyText"/>
    <w:uiPriority w:val="9"/>
    <w:unhideWhenUsed/>
    <w:qFormat/>
    <w:pPr>
      <w:spacing w:after="100" w:before="100"/>
      <w:ind w:firstLine="0" w:left="480" w:right="480"/>
    </w:pPr>
    <w:rPr>
      <w:rFonts w:ascii="Aptos" w:hAnsi="Aptos" w:eastAsia="Aptos"/>
      <w:color w:val="000000"/>
    </w:rPr>
  </w:style>
  <w:style w:styleId="FootnoteText" w:type="paragraph">
    <w:name w:val="Footnote Text"/>
    <w:basedOn w:val="Normal"/>
    <w:next w:val="FootnoteText"/>
    <w:uiPriority w:val="9"/>
    <w:unhideWhenUsed/>
    <w:qFormat/>
    <w:rPr>
      <w:rFonts w:ascii="Aptos" w:hAnsi="Aptos" w:eastAsia="Aptos"/>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Aptos" w:hAnsi="Aptos" w:eastAsia="Aptos"/>
      <w:color w:val="000000"/>
    </w:rPr>
  </w:style>
  <w:style w:default="1" w:styleId="DefaultParagraphFont" w:type="character">
    <w:name w:val="Default Paragraph Font"/>
    <w:semiHidden/>
    <w:unhideWhenUsed/>
    <w:rPr>
      <w:rFonts w:ascii="Aptos" w:hAnsi="Aptos" w:eastAsia="Aptos"/>
      <w:color w:val="000000"/>
    </w:rPr>
  </w:style>
  <w:style w:default="1" w:styleId="Table" w:type="table">
    <w:name w:val="Table"/>
    <w:basedOn w:val="TableNormal"/>
    <w:semiHidden/>
    <w:unhideWhenUsed/>
    <w:qFormat/>
    <w:rPr>
      <w:rFonts w:ascii="Aptos" w:hAnsi="Aptos" w:eastAsia="Aptos"/>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ptos" w:hAnsi="Aptos" w:eastAsia="Aptos"/>
      <w:b/>
      <w:color w:val="000000"/>
    </w:rPr>
  </w:style>
  <w:style w:customStyle="1" w:styleId="Definition" w:type="paragraph">
    <w:name w:val="Definition"/>
    <w:basedOn w:val="Normal"/>
    <w:rPr>
      <w:rFonts w:ascii="Aptos" w:hAnsi="Aptos" w:eastAsia="Aptos"/>
      <w:color w:val="000000"/>
    </w:rPr>
  </w:style>
  <w:style w:styleId="Caption" w:type="paragraph">
    <w:name w:val="Caption"/>
    <w:basedOn w:val="Normal"/>
    <w:link w:val="BodyTextChar"/>
    <w:pPr>
      <w:spacing w:after="120" w:before="0"/>
    </w:pPr>
    <w:rPr>
      <w:rFonts w:ascii="Aptos" w:hAnsi="Aptos" w:eastAsia="Aptos"/>
      <w:i/>
      <w:color w:val="000000"/>
    </w:rPr>
  </w:style>
  <w:style w:customStyle="1" w:styleId="TableCaption" w:type="paragraph">
    <w:name w:val="Table Caption"/>
    <w:basedOn w:val="Caption"/>
    <w:pPr>
      <w:keepNext/>
    </w:pPr>
    <w:rPr>
      <w:rFonts w:ascii="Aptos" w:hAnsi="Aptos" w:eastAsia="Aptos"/>
      <w:color w:val="000000"/>
    </w:rPr>
  </w:style>
  <w:style w:customStyle="1" w:styleId="ImageCaption" w:type="paragraph">
    <w:name w:val="Image Caption"/>
    <w:basedOn w:val="Caption"/>
    <w:rPr>
      <w:rFonts w:ascii="Aptos" w:hAnsi="Aptos" w:eastAsia="Aptos"/>
      <w:color w:val="000000"/>
    </w:rPr>
  </w:style>
  <w:style w:customStyle="1" w:styleId="Figure" w:type="paragraph">
    <w:name w:val="Figure"/>
    <w:basedOn w:val="Normal"/>
    <w:rPr>
      <w:rFonts w:ascii="Aptos" w:hAnsi="Aptos" w:eastAsia="Aptos"/>
      <w:color w:val="000000"/>
    </w:rPr>
  </w:style>
  <w:style w:customStyle="1" w:styleId="CaptionedFigure" w:type="paragraph">
    <w:name w:val="Captioned Figure"/>
    <w:basedOn w:val="Figure"/>
    <w:pPr>
      <w:keepNext/>
    </w:pPr>
    <w:rPr>
      <w:rFonts w:ascii="Aptos" w:hAnsi="Aptos" w:eastAsia="Aptos"/>
      <w:color w:val="000000"/>
    </w:rPr>
  </w:style>
  <w:style w:customStyle="1" w:styleId="BodyTextChar" w:type="character">
    <w:name w:val="Body Text Char"/>
    <w:basedOn w:val="DefaultParagraphFont"/>
    <w:link w:val="BodyText"/>
    <w:rPr>
      <w:rFonts w:ascii="Aptos" w:hAnsi="Aptos" w:eastAsia="Aptos"/>
      <w:color w:val="000000"/>
    </w:rPr>
  </w:style>
  <w:style w:customStyle="1" w:styleId="VerbatimChar" w:type="character">
    <w:name w:val="Verbatim Char"/>
    <w:basedOn w:val="BodyTextChar"/>
    <w:rPr>
      <w:rFonts w:ascii="Aptos" w:hAnsi="Aptos" w:eastAsia="Aptos"/>
      <w:color w:val="000000"/>
      <w:sz w:val="22"/>
    </w:rPr>
  </w:style>
  <w:style w:customStyle="1" w:styleId="SectionNumber" w:type="character">
    <w:name w:val="Section Number"/>
    <w:basedOn w:val="BodyTextChar"/>
    <w:rPr>
      <w:rFonts w:ascii="Aptos" w:hAnsi="Aptos" w:eastAsia="Aptos"/>
      <w:color w:val="000000"/>
    </w:rPr>
  </w:style>
  <w:style w:styleId="FootnoteReference" w:type="character">
    <w:name w:val="Footnote Reference"/>
    <w:basedOn w:val="BodyTextChar"/>
    <w:rPr>
      <w:rFonts w:ascii="Aptos" w:hAnsi="Aptos" w:eastAsia="Aptos"/>
      <w:color w:val="000000"/>
      <w:vertAlign w:val="superscript"/>
    </w:rPr>
  </w:style>
  <w:style w:styleId="Hyperlink" w:type="character">
    <w:name w:val="Hyperlink"/>
    <w:basedOn w:val="BodyTextChar"/>
    <w:rPr>
      <w:rFonts w:ascii="Aptos" w:hAnsi="Aptos" w:eastAsia="Aptos"/>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ptos" w:hAnsi="Aptos" w:eastAsia="Aptos"/>
      <w:b w:val="0"/>
      <w:bCs w:val="0"/>
      <w:color w:val="000000"/>
    </w:rPr>
  </w:style>
  <w:style w:type="paragraph" w:customStyle="1" w:styleId="SourceCode">
    <w:name w:val="Source Code"/>
    <w:basedOn w:val="Normal"/>
    <w:link w:val="VerbatimChar"/>
    <w:pPr>
      <w:wordWrap w:val="off"/>
    </w:pPr>
    <w:rPr>
      <w:rFonts w:ascii="Aptos" w:hAnsi="Aptos" w:eastAsia="Aptos"/>
      <w:color w:val="000000"/>
    </w:rPr>
  </w:style>
  <w:style w:type="character" w:customStyle="1" w:styleId="KeywordTok">
    <w:name w:val="KeywordTok"/>
    <w:basedOn w:val="VerbatimChar"/>
    <w:rPr>
      <w:rFonts w:ascii="Aptos" w:hAnsi="Aptos" w:eastAsia="Aptos"/>
      <w:b/>
      <w:color w:val="000000"/>
    </w:rPr>
  </w:style>
  <w:style w:type="character" w:customStyle="1" w:styleId="DataTypeTok">
    <w:name w:val="DataTypeTok"/>
    <w:basedOn w:val="VerbatimChar"/>
    <w:rPr>
      <w:rFonts w:ascii="Aptos" w:hAnsi="Aptos" w:eastAsia="Aptos"/>
      <w:color w:val="000000"/>
    </w:rPr>
  </w:style>
  <w:style w:type="character" w:customStyle="1" w:styleId="DecValTok">
    <w:name w:val="DecValTok"/>
    <w:basedOn w:val="VerbatimChar"/>
    <w:rPr>
      <w:rFonts w:ascii="Aptos" w:hAnsi="Aptos" w:eastAsia="Aptos"/>
      <w:color w:val="000000"/>
    </w:rPr>
  </w:style>
  <w:style w:type="character" w:customStyle="1" w:styleId="BaseNTok">
    <w:name w:val="BaseNTok"/>
    <w:basedOn w:val="VerbatimChar"/>
    <w:rPr>
      <w:rFonts w:ascii="Aptos" w:hAnsi="Aptos" w:eastAsia="Aptos"/>
      <w:color w:val="000000"/>
    </w:rPr>
  </w:style>
  <w:style w:type="character" w:customStyle="1" w:styleId="FloatTok">
    <w:name w:val="FloatTok"/>
    <w:basedOn w:val="VerbatimChar"/>
    <w:rPr>
      <w:rFonts w:ascii="Aptos" w:hAnsi="Aptos" w:eastAsia="Aptos"/>
      <w:color w:val="000000"/>
    </w:rPr>
  </w:style>
  <w:style w:type="character" w:customStyle="1" w:styleId="ConstantTok">
    <w:name w:val="ConstantTok"/>
    <w:basedOn w:val="VerbatimChar"/>
    <w:rPr>
      <w:rFonts w:ascii="Aptos" w:hAnsi="Aptos" w:eastAsia="Aptos"/>
      <w:color w:val="000000"/>
    </w:rPr>
  </w:style>
  <w:style w:type="character" w:customStyle="1" w:styleId="CharTok">
    <w:name w:val="CharTok"/>
    <w:basedOn w:val="VerbatimChar"/>
    <w:rPr>
      <w:rFonts w:ascii="Aptos" w:hAnsi="Aptos" w:eastAsia="Aptos"/>
      <w:color w:val="000000"/>
    </w:rPr>
  </w:style>
  <w:style w:type="character" w:customStyle="1" w:styleId="SpecialCharTok">
    <w:name w:val="SpecialCharTok"/>
    <w:basedOn w:val="VerbatimChar"/>
    <w:rPr>
      <w:rFonts w:ascii="Aptos" w:hAnsi="Aptos" w:eastAsia="Aptos"/>
      <w:color w:val="000000"/>
    </w:rPr>
  </w:style>
  <w:style w:type="character" w:customStyle="1" w:styleId="StringTok">
    <w:name w:val="StringTok"/>
    <w:basedOn w:val="VerbatimChar"/>
    <w:rPr>
      <w:rFonts w:ascii="Aptos" w:hAnsi="Aptos" w:eastAsia="Aptos"/>
      <w:color w:val="000000"/>
    </w:rPr>
  </w:style>
  <w:style w:type="character" w:customStyle="1" w:styleId="VerbatimStringTok">
    <w:name w:val="VerbatimStringTok"/>
    <w:basedOn w:val="VerbatimChar"/>
    <w:rPr>
      <w:rFonts w:ascii="Aptos" w:hAnsi="Aptos" w:eastAsia="Aptos"/>
      <w:color w:val="000000"/>
    </w:rPr>
  </w:style>
  <w:style w:type="character" w:customStyle="1" w:styleId="SpecialStringTok">
    <w:name w:val="SpecialStringTok"/>
    <w:basedOn w:val="VerbatimChar"/>
    <w:rPr>
      <w:rFonts w:ascii="Aptos" w:hAnsi="Aptos" w:eastAsia="Aptos"/>
      <w:color w:val="000000"/>
    </w:rPr>
  </w:style>
  <w:style w:type="character" w:customStyle="1" w:styleId="ImportTok">
    <w:name w:val="ImportTok"/>
    <w:basedOn w:val="VerbatimChar"/>
    <w:rPr>
      <w:rFonts w:ascii="Aptos" w:hAnsi="Aptos" w:eastAsia="Aptos"/>
      <w:b/>
      <w:color w:val="000000"/>
    </w:rPr>
  </w:style>
  <w:style w:type="character" w:customStyle="1" w:styleId="CommentTok">
    <w:name w:val="CommentTok"/>
    <w:basedOn w:val="VerbatimChar"/>
    <w:rPr>
      <w:rFonts w:ascii="Aptos" w:hAnsi="Aptos" w:eastAsia="Aptos"/>
      <w:i/>
      <w:color w:val="000000"/>
    </w:rPr>
  </w:style>
  <w:style w:type="character" w:customStyle="1" w:styleId="DocumentationTok">
    <w:name w:val="DocumentationTok"/>
    <w:basedOn w:val="VerbatimChar"/>
    <w:rPr>
      <w:rFonts w:ascii="Aptos" w:hAnsi="Aptos" w:eastAsia="Aptos"/>
      <w:i/>
      <w:color w:val="000000"/>
    </w:rPr>
  </w:style>
  <w:style w:type="character" w:customStyle="1" w:styleId="AnnotationTok">
    <w:name w:val="AnnotationTok"/>
    <w:basedOn w:val="VerbatimChar"/>
    <w:rPr>
      <w:rFonts w:ascii="Aptos" w:hAnsi="Aptos" w:eastAsia="Aptos"/>
      <w:b/>
      <w:i/>
      <w:color w:val="000000"/>
    </w:rPr>
  </w:style>
  <w:style w:type="character" w:customStyle="1" w:styleId="CommentVarTok">
    <w:name w:val="CommentVarTok"/>
    <w:basedOn w:val="VerbatimChar"/>
    <w:rPr>
      <w:rFonts w:ascii="Aptos" w:hAnsi="Aptos" w:eastAsia="Aptos"/>
      <w:b/>
      <w:i/>
      <w:color w:val="000000"/>
    </w:rPr>
  </w:style>
  <w:style w:type="character" w:customStyle="1" w:styleId="OtherTok">
    <w:name w:val="OtherTok"/>
    <w:basedOn w:val="VerbatimChar"/>
    <w:rPr>
      <w:rFonts w:ascii="Aptos" w:hAnsi="Aptos" w:eastAsia="Aptos"/>
      <w:color w:val="000000"/>
    </w:rPr>
  </w:style>
  <w:style w:type="character" w:customStyle="1" w:styleId="FunctionTok">
    <w:name w:val="FunctionTok"/>
    <w:basedOn w:val="VerbatimChar"/>
    <w:rPr>
      <w:rFonts w:ascii="Aptos" w:hAnsi="Aptos" w:eastAsia="Aptos"/>
      <w:color w:val="000000"/>
    </w:rPr>
  </w:style>
  <w:style w:type="character" w:customStyle="1" w:styleId="VariableTok">
    <w:name w:val="VariableTok"/>
    <w:basedOn w:val="VerbatimChar"/>
    <w:rPr>
      <w:rFonts w:ascii="Aptos" w:hAnsi="Aptos" w:eastAsia="Aptos"/>
      <w:color w:val="000000"/>
    </w:rPr>
  </w:style>
  <w:style w:type="character" w:customStyle="1" w:styleId="ControlFlowTok">
    <w:name w:val="ControlFlowTok"/>
    <w:basedOn w:val="VerbatimChar"/>
    <w:rPr>
      <w:rFonts w:ascii="Aptos" w:hAnsi="Aptos" w:eastAsia="Aptos"/>
      <w:b/>
      <w:color w:val="000000"/>
    </w:rPr>
  </w:style>
  <w:style w:type="character" w:customStyle="1" w:styleId="OperatorTok">
    <w:name w:val="OperatorTok"/>
    <w:basedOn w:val="VerbatimChar"/>
    <w:rPr>
      <w:rFonts w:ascii="Aptos" w:hAnsi="Aptos" w:eastAsia="Aptos"/>
      <w:color w:val="000000"/>
    </w:rPr>
  </w:style>
  <w:style w:type="character" w:customStyle="1" w:styleId="BuiltInTok">
    <w:name w:val="BuiltInTok"/>
    <w:basedOn w:val="VerbatimChar"/>
    <w:rPr>
      <w:rFonts w:ascii="Aptos" w:hAnsi="Aptos" w:eastAsia="Aptos"/>
      <w:color w:val="000000"/>
    </w:rPr>
  </w:style>
  <w:style w:type="character" w:customStyle="1" w:styleId="ExtensionTok">
    <w:name w:val="ExtensionTok"/>
    <w:basedOn w:val="VerbatimChar"/>
    <w:rPr>
      <w:rFonts w:ascii="Aptos" w:hAnsi="Aptos" w:eastAsia="Aptos"/>
      <w:color w:val="000000"/>
    </w:rPr>
  </w:style>
  <w:style w:type="character" w:customStyle="1" w:styleId="PreprocessorTok">
    <w:name w:val="PreprocessorTok"/>
    <w:basedOn w:val="VerbatimChar"/>
    <w:rPr>
      <w:rFonts w:ascii="Aptos" w:hAnsi="Aptos" w:eastAsia="Aptos"/>
      <w:color w:val="000000"/>
    </w:rPr>
  </w:style>
  <w:style w:type="character" w:customStyle="1" w:styleId="AttributeTok">
    <w:name w:val="AttributeTok"/>
    <w:basedOn w:val="VerbatimChar"/>
    <w:rPr>
      <w:rFonts w:ascii="Aptos" w:hAnsi="Aptos" w:eastAsia="Aptos"/>
      <w:color w:val="000000"/>
    </w:rPr>
  </w:style>
  <w:style w:type="character" w:customStyle="1" w:styleId="RegionMarkerTok">
    <w:name w:val="RegionMarkerTok"/>
    <w:basedOn w:val="VerbatimChar"/>
    <w:rPr>
      <w:rFonts w:ascii="Aptos" w:hAnsi="Aptos" w:eastAsia="Aptos"/>
      <w:color w:val="000000"/>
    </w:rPr>
  </w:style>
  <w:style w:type="character" w:customStyle="1" w:styleId="InformationTok">
    <w:name w:val="InformationTok"/>
    <w:basedOn w:val="VerbatimChar"/>
    <w:rPr>
      <w:rFonts w:ascii="Aptos" w:hAnsi="Aptos" w:eastAsia="Aptos"/>
      <w:b/>
      <w:i/>
      <w:color w:val="000000"/>
    </w:rPr>
  </w:style>
  <w:style w:type="character" w:customStyle="1" w:styleId="WarningTok">
    <w:name w:val="WarningTok"/>
    <w:basedOn w:val="VerbatimChar"/>
    <w:rPr>
      <w:rFonts w:ascii="Aptos" w:hAnsi="Aptos" w:eastAsia="Aptos"/>
      <w:b/>
      <w:i/>
      <w:color w:val="000000"/>
    </w:rPr>
  </w:style>
  <w:style w:type="character" w:customStyle="1" w:styleId="AlertTok">
    <w:name w:val="AlertTok"/>
    <w:basedOn w:val="VerbatimChar"/>
    <w:rPr>
      <w:rFonts w:ascii="Aptos" w:hAnsi="Aptos" w:eastAsia="Aptos"/>
      <w:b/>
      <w:color w:val="000000"/>
    </w:rPr>
  </w:style>
  <w:style w:type="character" w:customStyle="1" w:styleId="ErrorTok">
    <w:name w:val="ErrorTok"/>
    <w:basedOn w:val="VerbatimChar"/>
    <w:rPr>
      <w:rFonts w:ascii="Aptos" w:hAnsi="Aptos" w:eastAsia="Aptos"/>
      <w:b/>
      <w:color w:val="000000"/>
    </w:rPr>
  </w:style>
  <w:style w:type="character" w:customStyle="1" w:styleId="NormalTok">
    <w:name w:val="NormalTok"/>
    <w:basedOn w:val="VerbatimChar"/>
    <w:rPr>
      <w:rFonts w:ascii="Aptos" w:hAnsi="Aptos" w:eastAsia="Aptos"/>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2026-10-06T01:14:59Z</dcterms:created>
  <dcterms:modified xsi:type="dcterms:W3CDTF">2026-10-06T01:14:59Z</dcterms:modified>
</cp:coreProperties>
</file>

<file path=docProps/custom.xml><?xml version="1.0" encoding="utf-8"?>
<Properties xmlns="http://schemas.openxmlformats.org/officeDocument/2006/custom-properties" xmlns:vt="http://schemas.openxmlformats.org/officeDocument/2006/docPropsVTypes"/>
</file>