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c001208247591187c126b414f7bec040aaec227"/>
    <w:p>
      <w:pPr>
        <w:pStyle w:val="Heading1"/>
      </w:pPr>
      <w:r>
        <w:rPr>
          <w:rFonts w:ascii="Aptos" w:hAnsi="Aptos" w:cs="Aptos" w:eastAsia="Aptos"/>
          <w:color w:val="000000"/>
          <w:sz w:val="32"/>
        </w:rPr>
        <w:t xml:space="preserve">Project Milestone 5: Relative Valuation and Reconciliation Memo</w:t>
      </w:r>
    </w:p>
    <w:p>
      <w:pPr>
        <w:pStyle w:val="FirstParagraph"/>
      </w:pPr>
      <w:r>
        <w:rPr>
          <w:rFonts w:ascii="Aptos" w:hAnsi="Aptos" w:cs="Aptos" w:eastAsia="Aptos"/>
          <w:b/>
          <w:bCs/>
          <w:color w:val="000000"/>
          <w:sz w:val="24"/>
        </w:rPr>
        <w:t xml:space="preserve">Company:</w:t>
      </w:r>
      <w:r>
        <w:rPr>
          <w:rFonts w:ascii="Aptos" w:hAnsi="Aptos" w:cs="Aptos" w:eastAsia="Aptos"/>
          <w:color w:val="000000"/>
          <w:sz w:val="24"/>
        </w:rPr>
        <w:t xml:space="preserve"> </w:t>
      </w:r>
      <w:r>
        <w:rPr>
          <w:rFonts w:ascii="Aptos" w:hAnsi="Aptos" w:cs="Aptos" w:eastAsia="Aptos"/>
          <w:color w:val="000000"/>
          <w:sz w:val="24"/>
        </w:rPr>
        <w:t xml:space="preserve">The Hershey Company (NYSE: HSY)</w:t>
      </w:r>
      <w:r>
        <w:rPr>
          <w:rFonts w:ascii="Aptos" w:hAnsi="Aptos" w:cs="Aptos" w:eastAsia="Aptos"/>
          <w:color w:val="000000"/>
          <w:sz w:val="24"/>
        </w:rPr>
        <w:t xml:space="preserve"> </w:t>
      </w:r>
      <w:r>
        <w:rPr>
          <w:rFonts w:ascii="Aptos" w:hAnsi="Aptos" w:cs="Aptos" w:eastAsia="Aptos"/>
          <w:b/>
          <w:bCs/>
          <w:color w:val="000000"/>
          <w:sz w:val="24"/>
        </w:rPr>
        <w:t xml:space="preserve">Team:</w:t>
      </w:r>
      <w:r>
        <w:rPr>
          <w:rFonts w:ascii="Aptos" w:hAnsi="Aptos" w:cs="Aptos" w:eastAsia="Aptos"/>
          <w:color w:val="000000"/>
          <w:sz w:val="24"/>
        </w:rPr>
        <w:t xml:space="preserve"> </w:t>
      </w:r>
      <w:r>
        <w:rPr>
          <w:rFonts w:ascii="Aptos" w:hAnsi="Aptos" w:cs="Aptos" w:eastAsia="Aptos"/>
          <w:color w:val="000000"/>
          <w:sz w:val="24"/>
        </w:rPr>
        <w:t xml:space="preserve">Chris Lester</w:t>
      </w:r>
      <w:r>
        <w:rPr>
          <w:rFonts w:ascii="Aptos" w:hAnsi="Aptos" w:cs="Aptos" w:eastAsia="Aptos"/>
          <w:color w:val="000000"/>
          <w:sz w:val="24"/>
        </w:rPr>
        <w:t xml:space="preserve"> </w:t>
      </w:r>
      <w:r>
        <w:rPr>
          <w:rFonts w:ascii="Aptos" w:hAnsi="Aptos" w:cs="Aptos" w:eastAsia="Aptos"/>
          <w:b/>
          <w:bCs/>
          <w:color w:val="000000"/>
          <w:sz w:val="24"/>
        </w:rPr>
        <w:t xml:space="preserve">Date:</w:t>
      </w:r>
      <w:r>
        <w:rPr>
          <w:rFonts w:ascii="Aptos" w:hAnsi="Aptos" w:cs="Aptos" w:eastAsia="Aptos"/>
          <w:color w:val="000000"/>
          <w:sz w:val="24"/>
        </w:rPr>
        <w:t xml:space="preserve"> </w:t>
      </w:r>
      <w:r>
        <w:rPr>
          <w:rFonts w:ascii="Aptos" w:hAnsi="Aptos" w:cs="Aptos" w:eastAsia="Aptos"/>
          <w:color w:val="000000"/>
          <w:sz w:val="24"/>
        </w:rPr>
        <w:t xml:space="preserve">2026-10-07</w:t>
      </w:r>
      <w:r>
        <w:rPr>
          <w:rFonts w:ascii="Aptos" w:hAnsi="Aptos" w:cs="Aptos" w:eastAsia="Aptos"/>
          <w:color w:val="000000"/>
          <w:sz w:val="24"/>
        </w:rPr>
        <w:t xml:space="preserve"> </w:t>
      </w:r>
      <w:r>
        <w:rPr>
          <w:rFonts w:ascii="Aptos" w:hAnsi="Aptos" w:cs="Aptos" w:eastAsia="Aptos"/>
          <w:b/>
          <w:bCs/>
          <w:color w:val="000000"/>
          <w:sz w:val="24"/>
        </w:rPr>
        <w:t xml:space="preserve">Conclusion:</w:t>
      </w:r>
      <w:r>
        <w:rPr>
          <w:rFonts w:ascii="Aptos" w:hAnsi="Aptos" w:cs="Aptos" w:eastAsia="Aptos"/>
          <w:color w:val="000000"/>
          <w:sz w:val="24"/>
        </w:rPr>
        <w:t xml:space="preserve"> </w:t>
      </w:r>
      <w:r>
        <w:rPr>
          <w:rFonts w:ascii="Aptos" w:hAnsi="Aptos" w:cs="Aptos" w:eastAsia="Aptos"/>
          <w:b/>
          <w:bCs/>
          <w:color w:val="000000"/>
          <w:sz w:val="24"/>
        </w:rPr>
        <w:t xml:space="preserve">Buy.</w:t>
      </w:r>
      <w:r>
        <w:rPr>
          <w:rFonts w:ascii="Aptos" w:hAnsi="Aptos" w:cs="Aptos" w:eastAsia="Aptos"/>
          <w:color w:val="000000"/>
          <w:sz w:val="24"/>
        </w:rPr>
        <w:t xml:space="preserve"> </w:t>
      </w:r>
      <w:r>
        <w:rPr>
          <w:rFonts w:ascii="Aptos" w:hAnsi="Aptos" w:cs="Aptos" w:eastAsia="Aptos"/>
          <w:color w:val="000000"/>
          <w:sz w:val="24"/>
        </w:rPr>
        <w:t xml:space="preserve">Weighting our Module 4 bull, base, and bear cases 25, 50, and 25 percent gives Hershey a value of</w:t>
      </w:r>
      <w:r>
        <w:rPr>
          <w:rFonts w:ascii="Aptos" w:hAnsi="Aptos" w:cs="Aptos" w:eastAsia="Aptos"/>
          <w:color w:val="000000"/>
          <w:sz w:val="24"/>
        </w:rPr>
        <w:t xml:space="preserve"> </w:t>
      </w:r>
      <w:r>
        <w:rPr>
          <w:rFonts w:ascii="Aptos" w:hAnsi="Aptos" w:cs="Aptos" w:eastAsia="Aptos"/>
          <w:b/>
          <w:bCs/>
          <w:color w:val="000000"/>
          <w:sz w:val="24"/>
        </w:rPr>
        <w:t xml:space="preserve">$218.29 per share</w:t>
      </w:r>
      <w:r>
        <w:rPr>
          <w:rFonts w:ascii="Aptos" w:hAnsi="Aptos" w:cs="Aptos" w:eastAsia="Aptos"/>
          <w:color w:val="000000"/>
          <w:sz w:val="24"/>
        </w:rPr>
        <w:t xml:space="preserve"> </w:t>
      </w:r>
      <w:r>
        <w:rPr>
          <w:rFonts w:ascii="Aptos" w:hAnsi="Aptos" w:cs="Aptos" w:eastAsia="Aptos"/>
          <w:color w:val="000000"/>
          <w:sz w:val="24"/>
        </w:rPr>
        <w:t xml:space="preserve">by growth in perpetuity and</w:t>
      </w:r>
      <w:r>
        <w:rPr>
          <w:rFonts w:ascii="Aptos" w:hAnsi="Aptos" w:cs="Aptos" w:eastAsia="Aptos"/>
          <w:color w:val="000000"/>
          <w:sz w:val="24"/>
        </w:rPr>
        <w:t xml:space="preserve"> </w:t>
      </w:r>
      <w:r>
        <w:rPr>
          <w:rFonts w:ascii="Aptos" w:hAnsi="Aptos" w:cs="Aptos" w:eastAsia="Aptos"/>
          <w:b/>
          <w:bCs/>
          <w:color w:val="000000"/>
          <w:sz w:val="24"/>
        </w:rPr>
        <w:t xml:space="preserve">$189.28</w:t>
      </w:r>
      <w:r>
        <w:rPr>
          <w:rFonts w:ascii="Aptos" w:hAnsi="Aptos" w:cs="Aptos" w:eastAsia="Aptos"/>
          <w:color w:val="000000"/>
          <w:sz w:val="24"/>
        </w:rPr>
        <w:t xml:space="preserve"> </w:t>
      </w:r>
      <w:r>
        <w:rPr>
          <w:rFonts w:ascii="Aptos" w:hAnsi="Aptos" w:cs="Aptos" w:eastAsia="Aptos"/>
          <w:color w:val="000000"/>
          <w:sz w:val="24"/>
        </w:rPr>
        <w:t xml:space="preserve">by exit multiple, 36.3 and 18.2 percent above the $160.19 share price. We buy below $189 and avoid above $218. Against its peers, Hershey trades below the peer average on all three multiples, and the peer multiples imply $213.50 to $323.76 a share [S9]. We trust the DCF over the multiples, because the peer average carries growth and quality that our forecast does not assume. The one multiple least affected by that, EV/Sales, lands between our two DCF values.</w:t>
      </w:r>
    </w:p>
    <w:bookmarkStart w:id="9" w:name="the-peer-group"/>
    <w:p>
      <w:pPr>
        <w:pStyle w:val="Heading2"/>
      </w:pPr>
      <w:r>
        <w:rPr>
          <w:rFonts w:ascii="Aptos" w:hAnsi="Aptos" w:cs="Aptos" w:eastAsia="Aptos"/>
          <w:color w:val="000000"/>
          <w:sz w:val="28"/>
        </w:rPr>
        <w:t xml:space="preserve">1. The peer group</w:t>
      </w:r>
    </w:p>
    <w:tbl>
      <w:tblPr>
        <w:tblStyle w:val="Table"/>
        <w:tblW w:type="auto" w:w="0"/>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on"/>
        </w:trPr>
        <w:tc>
          <w:tcPr/>
          <w:p>
            <w:pPr>
              <w:pStyle w:val="Compact"/>
            </w:pPr>
            <w:r>
              <w:rPr>
                <w:rFonts w:ascii="Aptos" w:hAnsi="Aptos" w:cs="Aptos" w:eastAsia="Aptos"/>
                <w:color w:val="000000"/>
                <w:sz w:val="22"/>
              </w:rPr>
              <w:t xml:space="preserve">Company</w:t>
            </w:r>
          </w:p>
        </w:tc>
        <w:tc>
          <w:tcPr/>
          <w:p>
            <w:pPr>
              <w:pStyle w:val="Compact"/>
            </w:pPr>
            <w:r>
              <w:rPr>
                <w:rFonts w:ascii="Aptos" w:hAnsi="Aptos" w:cs="Aptos" w:eastAsia="Aptos"/>
                <w:color w:val="000000"/>
                <w:sz w:val="22"/>
              </w:rPr>
              <w:t xml:space="preserve">EV/EBITDA</w:t>
            </w:r>
          </w:p>
        </w:tc>
        <w:tc>
          <w:tcPr/>
          <w:p>
            <w:pPr>
              <w:pStyle w:val="Compact"/>
            </w:pPr>
            <w:r>
              <w:rPr>
                <w:rFonts w:ascii="Aptos" w:hAnsi="Aptos" w:cs="Aptos" w:eastAsia="Aptos"/>
                <w:color w:val="000000"/>
                <w:sz w:val="22"/>
              </w:rPr>
              <w:t xml:space="preserve">P/E</w:t>
            </w:r>
          </w:p>
        </w:tc>
        <w:tc>
          <w:tcPr/>
          <w:p>
            <w:pPr>
              <w:pStyle w:val="Compact"/>
            </w:pPr>
            <w:r>
              <w:rPr>
                <w:rFonts w:ascii="Aptos" w:hAnsi="Aptos" w:cs="Aptos" w:eastAsia="Aptos"/>
                <w:color w:val="000000"/>
                <w:sz w:val="22"/>
              </w:rPr>
              <w:t xml:space="preserve">EV/Sales</w:t>
            </w:r>
          </w:p>
        </w:tc>
      </w:tr>
      <w:tr>
        <w:tc>
          <w:tcPr/>
          <w:p>
            <w:pPr>
              <w:pStyle w:val="Compact"/>
            </w:pPr>
            <w:r>
              <w:rPr>
                <w:rFonts w:ascii="Aptos" w:hAnsi="Aptos" w:cs="Aptos" w:eastAsia="Aptos"/>
                <w:color w:val="000000"/>
                <w:sz w:val="22"/>
              </w:rPr>
              <w:t xml:space="preserve">Hershey</w:t>
            </w:r>
          </w:p>
        </w:tc>
        <w:tc>
          <w:tcPr/>
          <w:p>
            <w:pPr>
              <w:pStyle w:val="Compact"/>
            </w:pPr>
            <w:r>
              <w:rPr>
                <w:rFonts w:ascii="Aptos" w:hAnsi="Aptos" w:cs="Aptos" w:eastAsia="Aptos"/>
                <w:color w:val="000000"/>
                <w:sz w:val="22"/>
              </w:rPr>
              <w:t xml:space="preserve">13.8x</w:t>
            </w:r>
          </w:p>
        </w:tc>
        <w:tc>
          <w:tcPr/>
          <w:p>
            <w:pPr>
              <w:pStyle w:val="Compact"/>
            </w:pPr>
            <w:r>
              <w:rPr>
                <w:rFonts w:ascii="Aptos" w:hAnsi="Aptos" w:cs="Aptos" w:eastAsia="Aptos"/>
                <w:color w:val="000000"/>
                <w:sz w:val="22"/>
              </w:rPr>
              <w:t xml:space="preserve">23.4x</w:t>
            </w:r>
          </w:p>
        </w:tc>
        <w:tc>
          <w:tcPr/>
          <w:p>
            <w:pPr>
              <w:pStyle w:val="Compact"/>
            </w:pPr>
            <w:r>
              <w:rPr>
                <w:rFonts w:ascii="Aptos" w:hAnsi="Aptos" w:cs="Aptos" w:eastAsia="Aptos"/>
                <w:color w:val="000000"/>
                <w:sz w:val="22"/>
              </w:rPr>
              <w:t xml:space="preserve">3.05x</w:t>
            </w:r>
          </w:p>
        </w:tc>
      </w:tr>
      <w:tr>
        <w:tc>
          <w:tcPr/>
          <w:p>
            <w:pPr>
              <w:pStyle w:val="Compact"/>
            </w:pPr>
            <w:r>
              <w:rPr>
                <w:rFonts w:ascii="Aptos" w:hAnsi="Aptos" w:cs="Aptos" w:eastAsia="Aptos"/>
                <w:color w:val="000000"/>
                <w:sz w:val="22"/>
              </w:rPr>
              <w:t xml:space="preserve">Mondelez</w:t>
            </w:r>
          </w:p>
        </w:tc>
        <w:tc>
          <w:tcPr/>
          <w:p>
            <w:pPr>
              <w:pStyle w:val="Compact"/>
            </w:pPr>
            <w:r>
              <w:rPr>
                <w:rFonts w:ascii="Aptos" w:hAnsi="Aptos" w:cs="Aptos" w:eastAsia="Aptos"/>
                <w:color w:val="000000"/>
                <w:sz w:val="22"/>
              </w:rPr>
              <w:t xml:space="preserve">12.22x</w:t>
            </w:r>
          </w:p>
        </w:tc>
        <w:tc>
          <w:tcPr/>
          <w:p>
            <w:pPr>
              <w:pStyle w:val="Compact"/>
            </w:pPr>
            <w:r>
              <w:rPr>
                <w:rFonts w:ascii="Aptos" w:hAnsi="Aptos" w:cs="Aptos" w:eastAsia="Aptos"/>
                <w:color w:val="000000"/>
                <w:sz w:val="22"/>
              </w:rPr>
              <w:t xml:space="preserve">21.34x</w:t>
            </w:r>
          </w:p>
        </w:tc>
        <w:tc>
          <w:tcPr/>
          <w:p>
            <w:pPr>
              <w:pStyle w:val="Compact"/>
            </w:pPr>
            <w:r>
              <w:rPr>
                <w:rFonts w:ascii="Aptos" w:hAnsi="Aptos" w:cs="Aptos" w:eastAsia="Aptos"/>
                <w:color w:val="000000"/>
                <w:sz w:val="22"/>
              </w:rPr>
              <w:t xml:space="preserve">2.36x</w:t>
            </w:r>
          </w:p>
        </w:tc>
      </w:tr>
      <w:tr>
        <w:tc>
          <w:tcPr/>
          <w:p>
            <w:pPr>
              <w:pStyle w:val="Compact"/>
            </w:pPr>
            <w:r>
              <w:rPr>
                <w:rFonts w:ascii="Aptos" w:hAnsi="Aptos" w:cs="Aptos" w:eastAsia="Aptos"/>
                <w:color w:val="000000"/>
                <w:sz w:val="22"/>
              </w:rPr>
              <w:t xml:space="preserve">Lindt</w:t>
            </w:r>
          </w:p>
        </w:tc>
        <w:tc>
          <w:tcPr/>
          <w:p>
            <w:pPr>
              <w:pStyle w:val="Compact"/>
            </w:pPr>
            <w:r>
              <w:rPr>
                <w:rFonts w:ascii="Aptos" w:hAnsi="Aptos" w:cs="Aptos" w:eastAsia="Aptos"/>
                <w:color w:val="000000"/>
                <w:sz w:val="22"/>
              </w:rPr>
              <w:t xml:space="preserve">19.08x</w:t>
            </w:r>
          </w:p>
        </w:tc>
        <w:tc>
          <w:tcPr/>
          <w:p>
            <w:pPr>
              <w:pStyle w:val="Compact"/>
            </w:pPr>
            <w:r>
              <w:rPr>
                <w:rFonts w:ascii="Aptos" w:hAnsi="Aptos" w:cs="Aptos" w:eastAsia="Aptos"/>
                <w:color w:val="000000"/>
                <w:sz w:val="22"/>
              </w:rPr>
              <w:t xml:space="preserve">23.79x</w:t>
            </w:r>
          </w:p>
        </w:tc>
        <w:tc>
          <w:tcPr/>
          <w:p>
            <w:pPr>
              <w:pStyle w:val="Compact"/>
            </w:pPr>
            <w:r>
              <w:rPr>
                <w:rFonts w:ascii="Aptos" w:hAnsi="Aptos" w:cs="Aptos" w:eastAsia="Aptos"/>
                <w:color w:val="000000"/>
                <w:sz w:val="22"/>
              </w:rPr>
              <w:t xml:space="preserve">4.16x</w:t>
            </w:r>
          </w:p>
        </w:tc>
      </w:tr>
      <w:tr>
        <w:tc>
          <w:tcPr/>
          <w:p>
            <w:pPr>
              <w:pStyle w:val="Compact"/>
            </w:pPr>
            <w:r>
              <w:rPr>
                <w:rFonts w:ascii="Aptos" w:hAnsi="Aptos" w:cs="Aptos" w:eastAsia="Aptos"/>
                <w:color w:val="000000"/>
                <w:sz w:val="22"/>
              </w:rPr>
              <w:t xml:space="preserve">Tootsie Roll</w:t>
            </w:r>
          </w:p>
        </w:tc>
        <w:tc>
          <w:tcPr/>
          <w:p>
            <w:pPr>
              <w:pStyle w:val="Compact"/>
            </w:pPr>
            <w:r>
              <w:rPr>
                <w:rFonts w:ascii="Aptos" w:hAnsi="Aptos" w:cs="Aptos" w:eastAsia="Aptos"/>
                <w:color w:val="000000"/>
                <w:sz w:val="22"/>
              </w:rPr>
              <w:t xml:space="preserve">25.31x</w:t>
            </w:r>
          </w:p>
        </w:tc>
        <w:tc>
          <w:tcPr/>
          <w:p>
            <w:pPr>
              <w:pStyle w:val="Compact"/>
            </w:pPr>
            <w:r>
              <w:rPr>
                <w:rFonts w:ascii="Aptos" w:hAnsi="Aptos" w:cs="Aptos" w:eastAsia="Aptos"/>
                <w:color w:val="000000"/>
                <w:sz w:val="22"/>
              </w:rPr>
              <w:t xml:space="preserve">29.87x</w:t>
            </w:r>
          </w:p>
        </w:tc>
        <w:tc>
          <w:tcPr/>
          <w:p>
            <w:pPr>
              <w:pStyle w:val="Compact"/>
            </w:pPr>
            <w:r>
              <w:rPr>
                <w:rFonts w:ascii="Aptos" w:hAnsi="Aptos" w:cs="Aptos" w:eastAsia="Aptos"/>
                <w:color w:val="000000"/>
                <w:sz w:val="22"/>
              </w:rPr>
              <w:t xml:space="preserve">3.74x</w:t>
            </w:r>
          </w:p>
        </w:tc>
      </w:tr>
      <w:tr>
        <w:tc>
          <w:tcPr/>
          <w:p>
            <w:pPr>
              <w:pStyle w:val="Compact"/>
            </w:pPr>
            <w:r>
              <w:rPr>
                <w:rFonts w:ascii="Aptos" w:hAnsi="Aptos" w:cs="Aptos" w:eastAsia="Aptos"/>
                <w:color w:val="000000"/>
                <w:sz w:val="22"/>
              </w:rPr>
              <w:t xml:space="preserve">Peer average</w:t>
            </w:r>
          </w:p>
        </w:tc>
        <w:tc>
          <w:tcPr/>
          <w:p>
            <w:pPr>
              <w:pStyle w:val="Compact"/>
            </w:pPr>
            <w:r>
              <w:rPr>
                <w:rFonts w:ascii="Aptos" w:hAnsi="Aptos" w:cs="Aptos" w:eastAsia="Aptos"/>
                <w:color w:val="000000"/>
                <w:sz w:val="22"/>
              </w:rPr>
              <w:t xml:space="preserve">18.87x</w:t>
            </w:r>
          </w:p>
        </w:tc>
        <w:tc>
          <w:tcPr/>
          <w:p>
            <w:pPr>
              <w:pStyle w:val="Compact"/>
            </w:pPr>
            <w:r>
              <w:rPr>
                <w:rFonts w:ascii="Aptos" w:hAnsi="Aptos" w:cs="Aptos" w:eastAsia="Aptos"/>
                <w:color w:val="000000"/>
                <w:sz w:val="22"/>
              </w:rPr>
              <w:t xml:space="preserve">25.0x</w:t>
            </w:r>
          </w:p>
        </w:tc>
        <w:tc>
          <w:tcPr/>
          <w:p>
            <w:pPr>
              <w:pStyle w:val="Compact"/>
            </w:pPr>
            <w:r>
              <w:rPr>
                <w:rFonts w:ascii="Aptos" w:hAnsi="Aptos" w:cs="Aptos" w:eastAsia="Aptos"/>
                <w:color w:val="000000"/>
                <w:sz w:val="22"/>
              </w:rPr>
              <w:t xml:space="preserve">3.42x</w:t>
            </w:r>
          </w:p>
        </w:tc>
      </w:tr>
    </w:tbl>
    <w:p>
      <w:pPr>
        <w:pStyle w:val="BodyText"/>
      </w:pPr>
      <w:r>
        <w:rPr>
          <w:rFonts w:ascii="Aptos" w:hAnsi="Aptos" w:cs="Aptos" w:eastAsia="Aptos"/>
          <w:color w:val="000000"/>
          <w:sz w:val="24"/>
        </w:rPr>
        <w:t xml:space="preserve">All three peers are listed companies whose sales are led by branded chocolate and confectionery, as Hershey’s are: Mondelez (global chocolate and biscuits), Lindt (premium chocolate), and Tootsie Roll (US confectionery). The multiples and the average are from the Relative Valuation tab of our workbook [S9].</w:t>
      </w:r>
    </w:p>
    <w:bookmarkEnd w:id="9"/>
    <w:bookmarkStart w:id="10" w:name="X1cadfd3a2d0bec68287717418de91533ced6d79"/>
    <w:p>
      <w:pPr>
        <w:pStyle w:val="Heading2"/>
      </w:pPr>
      <w:r>
        <w:rPr>
          <w:rFonts w:ascii="Aptos" w:hAnsi="Aptos" w:cs="Aptos" w:eastAsia="Aptos"/>
          <w:color w:val="000000"/>
          <w:sz w:val="28"/>
        </w:rPr>
        <w:t xml:space="preserve">2. The AI-proposed comparable set, and what we kept</w:t>
      </w:r>
    </w:p>
    <w:p>
      <w:pPr>
        <w:pStyle w:val="FirstParagraph"/>
      </w:pPr>
      <w:r>
        <w:rPr>
          <w:rFonts w:ascii="Aptos" w:hAnsi="Aptos" w:cs="Aptos" w:eastAsia="Aptos"/>
          <w:color w:val="000000"/>
          <w:sz w:val="24"/>
        </w:rPr>
        <w:t xml:space="preserve">We asked Claude (Claude Code, 2026-10-07) to propose comparable public companies for Hershey. It proposed eight; we kept three.</w:t>
      </w:r>
    </w:p>
    <w:tbl>
      <w:tblPr>
        <w:tblStyle w:val="Table"/>
        <w:tblW w:type="pct" w:w="5000"/>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on"/>
        </w:trPr>
        <w:tc>
          <w:tcPr/>
          <w:p>
            <w:pPr>
              <w:pStyle w:val="Compact"/>
            </w:pPr>
            <w:r>
              <w:rPr>
                <w:rFonts w:ascii="Aptos" w:hAnsi="Aptos" w:cs="Aptos" w:eastAsia="Aptos"/>
                <w:color w:val="000000"/>
                <w:sz w:val="22"/>
              </w:rPr>
              <w:t xml:space="preserve">Proposed</w:t>
            </w:r>
          </w:p>
        </w:tc>
        <w:tc>
          <w:tcPr/>
          <w:p>
            <w:pPr>
              <w:pStyle w:val="Compact"/>
            </w:pPr>
            <w:r>
              <w:rPr>
                <w:rFonts w:ascii="Aptos" w:hAnsi="Aptos" w:cs="Aptos" w:eastAsia="Aptos"/>
                <w:color w:val="000000"/>
                <w:sz w:val="22"/>
              </w:rPr>
              <w:t xml:space="preserve">Kept or dropped</w:t>
            </w:r>
          </w:p>
        </w:tc>
        <w:tc>
          <w:tcPr/>
          <w:p>
            <w:pPr>
              <w:pStyle w:val="Compact"/>
            </w:pPr>
            <w:r>
              <w:rPr>
                <w:rFonts w:ascii="Aptos" w:hAnsi="Aptos" w:cs="Aptos" w:eastAsia="Aptos"/>
                <w:color w:val="000000"/>
                <w:sz w:val="22"/>
              </w:rPr>
              <w:t xml:space="preserve">Why</w:t>
            </w:r>
          </w:p>
        </w:tc>
      </w:tr>
      <w:tr>
        <w:tc>
          <w:tcPr/>
          <w:p>
            <w:pPr>
              <w:pStyle w:val="Compact"/>
            </w:pPr>
            <w:r>
              <w:rPr>
                <w:rFonts w:ascii="Aptos" w:hAnsi="Aptos" w:cs="Aptos" w:eastAsia="Aptos"/>
                <w:color w:val="000000"/>
                <w:sz w:val="22"/>
              </w:rPr>
              <w:t xml:space="preserve">Mondelez</w:t>
            </w:r>
          </w:p>
        </w:tc>
        <w:tc>
          <w:tcPr/>
          <w:p>
            <w:pPr>
              <w:pStyle w:val="Compact"/>
            </w:pPr>
            <w:r>
              <w:rPr>
                <w:rFonts w:ascii="Aptos" w:hAnsi="Aptos" w:cs="Aptos" w:eastAsia="Aptos"/>
                <w:color w:val="000000"/>
                <w:sz w:val="22"/>
              </w:rPr>
              <w:t xml:space="preserve">Kept</w:t>
            </w:r>
          </w:p>
        </w:tc>
        <w:tc>
          <w:tcPr/>
          <w:p>
            <w:pPr>
              <w:pStyle w:val="Compact"/>
            </w:pPr>
            <w:r>
              <w:rPr>
                <w:rFonts w:ascii="Aptos" w:hAnsi="Aptos" w:cs="Aptos" w:eastAsia="Aptos"/>
                <w:color w:val="000000"/>
                <w:sz w:val="22"/>
              </w:rPr>
              <w:t xml:space="preserve">Chocolate and biscuits under global brands; listed in the US.</w:t>
            </w:r>
          </w:p>
        </w:tc>
      </w:tr>
      <w:tr>
        <w:tc>
          <w:tcPr/>
          <w:p>
            <w:pPr>
              <w:pStyle w:val="Compact"/>
            </w:pPr>
            <w:r>
              <w:rPr>
                <w:rFonts w:ascii="Aptos" w:hAnsi="Aptos" w:cs="Aptos" w:eastAsia="Aptos"/>
                <w:color w:val="000000"/>
                <w:sz w:val="22"/>
              </w:rPr>
              <w:t xml:space="preserve">Lindt and Sprüngli</w:t>
            </w:r>
          </w:p>
        </w:tc>
        <w:tc>
          <w:tcPr/>
          <w:p>
            <w:pPr>
              <w:pStyle w:val="Compact"/>
            </w:pPr>
            <w:r>
              <w:rPr>
                <w:rFonts w:ascii="Aptos" w:hAnsi="Aptos" w:cs="Aptos" w:eastAsia="Aptos"/>
                <w:color w:val="000000"/>
                <w:sz w:val="22"/>
              </w:rPr>
              <w:t xml:space="preserve">Kept</w:t>
            </w:r>
          </w:p>
        </w:tc>
        <w:tc>
          <w:tcPr/>
          <w:p>
            <w:pPr>
              <w:pStyle w:val="Compact"/>
            </w:pPr>
            <w:r>
              <w:rPr>
                <w:rFonts w:ascii="Aptos" w:hAnsi="Aptos" w:cs="Aptos" w:eastAsia="Aptos"/>
                <w:color w:val="000000"/>
                <w:sz w:val="22"/>
              </w:rPr>
              <w:t xml:space="preserve">Chocolate is its whole business; branded and priced at a premium, as Hershey’s core brands are.</w:t>
            </w:r>
          </w:p>
        </w:tc>
      </w:tr>
      <w:tr>
        <w:tc>
          <w:tcPr/>
          <w:p>
            <w:pPr>
              <w:pStyle w:val="Compact"/>
            </w:pPr>
            <w:r>
              <w:rPr>
                <w:rFonts w:ascii="Aptos" w:hAnsi="Aptos" w:cs="Aptos" w:eastAsia="Aptos"/>
                <w:color w:val="000000"/>
                <w:sz w:val="22"/>
              </w:rPr>
              <w:t xml:space="preserve">Tootsie Roll</w:t>
            </w:r>
          </w:p>
        </w:tc>
        <w:tc>
          <w:tcPr/>
          <w:p>
            <w:pPr>
              <w:pStyle w:val="Compact"/>
            </w:pPr>
            <w:r>
              <w:rPr>
                <w:rFonts w:ascii="Aptos" w:hAnsi="Aptos" w:cs="Aptos" w:eastAsia="Aptos"/>
                <w:color w:val="000000"/>
                <w:sz w:val="22"/>
              </w:rPr>
              <w:t xml:space="preserve">Kept</w:t>
            </w:r>
          </w:p>
        </w:tc>
        <w:tc>
          <w:tcPr/>
          <w:p>
            <w:pPr>
              <w:pStyle w:val="Compact"/>
            </w:pPr>
            <w:r>
              <w:rPr>
                <w:rFonts w:ascii="Aptos" w:hAnsi="Aptos" w:cs="Aptos" w:eastAsia="Aptos"/>
                <w:color w:val="000000"/>
                <w:sz w:val="22"/>
              </w:rPr>
              <w:t xml:space="preserve">US confectionery, sold through the same retail channels as Hershey’s.</w:t>
            </w:r>
          </w:p>
        </w:tc>
      </w:tr>
      <w:tr>
        <w:tc>
          <w:tcPr/>
          <w:p>
            <w:pPr>
              <w:pStyle w:val="Compact"/>
            </w:pPr>
            <w:r>
              <w:rPr>
                <w:rFonts w:ascii="Aptos" w:hAnsi="Aptos" w:cs="Aptos" w:eastAsia="Aptos"/>
                <w:color w:val="000000"/>
                <w:sz w:val="22"/>
              </w:rPr>
              <w:t xml:space="preserve">Nestlé</w:t>
            </w:r>
          </w:p>
        </w:tc>
        <w:tc>
          <w:tcPr/>
          <w:p>
            <w:pPr>
              <w:pStyle w:val="Compact"/>
            </w:pPr>
            <w:r>
              <w:rPr>
                <w:rFonts w:ascii="Aptos" w:hAnsi="Aptos" w:cs="Aptos" w:eastAsia="Aptos"/>
                <w:color w:val="000000"/>
                <w:sz w:val="22"/>
              </w:rPr>
              <w:t xml:space="preserve">Dropped</w:t>
            </w:r>
          </w:p>
        </w:tc>
        <w:tc>
          <w:tcPr/>
          <w:p>
            <w:pPr>
              <w:pStyle w:val="Compact"/>
            </w:pPr>
            <w:r>
              <w:rPr>
                <w:rFonts w:ascii="Aptos" w:hAnsi="Aptos" w:cs="Aptos" w:eastAsia="Aptos"/>
                <w:color w:val="000000"/>
                <w:sz w:val="22"/>
              </w:rPr>
              <w:t xml:space="preserve">Confectionery is a small part of a far larger food and beverage business, so its multiples price coffee, nutrition, and pet food.</w:t>
            </w:r>
          </w:p>
        </w:tc>
      </w:tr>
      <w:tr>
        <w:tc>
          <w:tcPr/>
          <w:p>
            <w:pPr>
              <w:pStyle w:val="Compact"/>
            </w:pPr>
            <w:r>
              <w:rPr>
                <w:rFonts w:ascii="Aptos" w:hAnsi="Aptos" w:cs="Aptos" w:eastAsia="Aptos"/>
                <w:color w:val="000000"/>
                <w:sz w:val="22"/>
              </w:rPr>
              <w:t xml:space="preserve">Mars</w:t>
            </w:r>
          </w:p>
        </w:tc>
        <w:tc>
          <w:tcPr/>
          <w:p>
            <w:pPr>
              <w:pStyle w:val="Compact"/>
            </w:pPr>
            <w:r>
              <w:rPr>
                <w:rFonts w:ascii="Aptos" w:hAnsi="Aptos" w:cs="Aptos" w:eastAsia="Aptos"/>
                <w:color w:val="000000"/>
                <w:sz w:val="22"/>
              </w:rPr>
              <w:t xml:space="preserve">Dropped</w:t>
            </w:r>
          </w:p>
        </w:tc>
        <w:tc>
          <w:tcPr/>
          <w:p>
            <w:pPr>
              <w:pStyle w:val="Compact"/>
            </w:pPr>
            <w:r>
              <w:rPr>
                <w:rFonts w:ascii="Aptos" w:hAnsi="Aptos" w:cs="Aptos" w:eastAsia="Aptos"/>
                <w:color w:val="000000"/>
                <w:sz w:val="22"/>
              </w:rPr>
              <w:t xml:space="preserve">Private: no share price, so no market multiples.</w:t>
            </w:r>
          </w:p>
        </w:tc>
      </w:tr>
      <w:tr>
        <w:tc>
          <w:tcPr/>
          <w:p>
            <w:pPr>
              <w:pStyle w:val="Compact"/>
            </w:pPr>
            <w:r>
              <w:rPr>
                <w:rFonts w:ascii="Aptos" w:hAnsi="Aptos" w:cs="Aptos" w:eastAsia="Aptos"/>
                <w:color w:val="000000"/>
                <w:sz w:val="22"/>
              </w:rPr>
              <w:t xml:space="preserve">Ferrero</w:t>
            </w:r>
          </w:p>
        </w:tc>
        <w:tc>
          <w:tcPr/>
          <w:p>
            <w:pPr>
              <w:pStyle w:val="Compact"/>
            </w:pPr>
            <w:r>
              <w:rPr>
                <w:rFonts w:ascii="Aptos" w:hAnsi="Aptos" w:cs="Aptos" w:eastAsia="Aptos"/>
                <w:color w:val="000000"/>
                <w:sz w:val="22"/>
              </w:rPr>
              <w:t xml:space="preserve">Dropped</w:t>
            </w:r>
          </w:p>
        </w:tc>
        <w:tc>
          <w:tcPr/>
          <w:p>
            <w:pPr>
              <w:pStyle w:val="Compact"/>
            </w:pPr>
            <w:r>
              <w:rPr>
                <w:rFonts w:ascii="Aptos" w:hAnsi="Aptos" w:cs="Aptos" w:eastAsia="Aptos"/>
                <w:color w:val="000000"/>
                <w:sz w:val="22"/>
              </w:rPr>
              <w:t xml:space="preserve">Private: no share price, so no market multiples.</w:t>
            </w:r>
          </w:p>
        </w:tc>
      </w:tr>
      <w:tr>
        <w:tc>
          <w:tcPr/>
          <w:p>
            <w:pPr>
              <w:pStyle w:val="Compact"/>
            </w:pPr>
            <w:r>
              <w:rPr>
                <w:rFonts w:ascii="Aptos" w:hAnsi="Aptos" w:cs="Aptos" w:eastAsia="Aptos"/>
                <w:color w:val="000000"/>
                <w:sz w:val="22"/>
              </w:rPr>
              <w:t xml:space="preserve">General Mills</w:t>
            </w:r>
          </w:p>
        </w:tc>
        <w:tc>
          <w:tcPr/>
          <w:p>
            <w:pPr>
              <w:pStyle w:val="Compact"/>
            </w:pPr>
            <w:r>
              <w:rPr>
                <w:rFonts w:ascii="Aptos" w:hAnsi="Aptos" w:cs="Aptos" w:eastAsia="Aptos"/>
                <w:color w:val="000000"/>
                <w:sz w:val="22"/>
              </w:rPr>
              <w:t xml:space="preserve">Dropped</w:t>
            </w:r>
          </w:p>
        </w:tc>
        <w:tc>
          <w:tcPr/>
          <w:p>
            <w:pPr>
              <w:pStyle w:val="Compact"/>
            </w:pPr>
            <w:r>
              <w:rPr>
                <w:rFonts w:ascii="Aptos" w:hAnsi="Aptos" w:cs="Aptos" w:eastAsia="Aptos"/>
                <w:color w:val="000000"/>
                <w:sz w:val="22"/>
              </w:rPr>
              <w:t xml:space="preserve">Cereal, meals, and pet food; little confectionery.</w:t>
            </w:r>
          </w:p>
        </w:tc>
      </w:tr>
      <w:tr>
        <w:tc>
          <w:tcPr/>
          <w:p>
            <w:pPr>
              <w:pStyle w:val="Compact"/>
            </w:pPr>
            <w:r>
              <w:rPr>
                <w:rFonts w:ascii="Aptos" w:hAnsi="Aptos" w:cs="Aptos" w:eastAsia="Aptos"/>
                <w:color w:val="000000"/>
                <w:sz w:val="22"/>
              </w:rPr>
              <w:t xml:space="preserve">J.M. Smucker</w:t>
            </w:r>
          </w:p>
        </w:tc>
        <w:tc>
          <w:tcPr/>
          <w:p>
            <w:pPr>
              <w:pStyle w:val="Compact"/>
            </w:pPr>
            <w:r>
              <w:rPr>
                <w:rFonts w:ascii="Aptos" w:hAnsi="Aptos" w:cs="Aptos" w:eastAsia="Aptos"/>
                <w:color w:val="000000"/>
                <w:sz w:val="22"/>
              </w:rPr>
              <w:t xml:space="preserve">Dropped</w:t>
            </w:r>
          </w:p>
        </w:tc>
        <w:tc>
          <w:tcPr/>
          <w:p>
            <w:pPr>
              <w:pStyle w:val="Compact"/>
            </w:pPr>
            <w:r>
              <w:rPr>
                <w:rFonts w:ascii="Aptos" w:hAnsi="Aptos" w:cs="Aptos" w:eastAsia="Aptos"/>
                <w:color w:val="000000"/>
                <w:sz w:val="22"/>
              </w:rPr>
              <w:t xml:space="preserve">Coffee, pet food, and spreads lead its sales; sweet baked goods are a minority.</w:t>
            </w:r>
          </w:p>
        </w:tc>
      </w:tr>
    </w:tbl>
    <w:p>
      <w:pPr>
        <w:pStyle w:val="BodyText"/>
      </w:pPr>
      <w:r>
        <w:rPr>
          <w:rFonts w:ascii="Aptos" w:hAnsi="Aptos" w:cs="Aptos" w:eastAsia="Aptos"/>
          <w:color w:val="000000"/>
          <w:sz w:val="24"/>
        </w:rPr>
        <w:t xml:space="preserve">The test we applied is the module’s: similar risk, growth, and cash flow, not a shared industry label. The dropped companies either have no market price or earn most of their cash flow outside confectionery.</w:t>
      </w:r>
    </w:p>
    <w:bookmarkEnd w:id="10"/>
    <w:bookmarkStart w:id="11" w:name="premiums-and-discounts"/>
    <w:p>
      <w:pPr>
        <w:pStyle w:val="Heading2"/>
      </w:pPr>
      <w:r>
        <w:rPr>
          <w:rFonts w:ascii="Aptos" w:hAnsi="Aptos" w:cs="Aptos" w:eastAsia="Aptos"/>
          <w:color w:val="000000"/>
          <w:sz w:val="28"/>
        </w:rPr>
        <w:t xml:space="preserve">3. Premiums and discounts</w:t>
      </w:r>
    </w:p>
    <w:tbl>
      <w:tblPr>
        <w:tblStyle w:val="Table"/>
        <w:tblW w:type="pct" w:w="5000"/>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on"/>
        </w:trPr>
        <w:tc>
          <w:tcPr/>
          <w:p>
            <w:pPr>
              <w:pStyle w:val="Compact"/>
            </w:pPr>
            <w:r>
              <w:rPr>
                <w:rFonts w:ascii="Aptos" w:hAnsi="Aptos" w:cs="Aptos" w:eastAsia="Aptos"/>
                <w:color w:val="000000"/>
                <w:sz w:val="22"/>
              </w:rPr>
              <w:t xml:space="preserve">Multiple</w:t>
            </w:r>
          </w:p>
        </w:tc>
        <w:tc>
          <w:tcPr/>
          <w:p>
            <w:pPr>
              <w:pStyle w:val="Compact"/>
            </w:pPr>
            <w:r>
              <w:rPr>
                <w:rFonts w:ascii="Aptos" w:hAnsi="Aptos" w:cs="Aptos" w:eastAsia="Aptos"/>
                <w:color w:val="000000"/>
                <w:sz w:val="22"/>
              </w:rPr>
              <w:t xml:space="preserve">Hershey</w:t>
            </w:r>
          </w:p>
        </w:tc>
        <w:tc>
          <w:tcPr/>
          <w:p>
            <w:pPr>
              <w:pStyle w:val="Compact"/>
            </w:pPr>
            <w:r>
              <w:rPr>
                <w:rFonts w:ascii="Aptos" w:hAnsi="Aptos" w:cs="Aptos" w:eastAsia="Aptos"/>
                <w:color w:val="000000"/>
                <w:sz w:val="22"/>
              </w:rPr>
              <w:t xml:space="preserve">Peer average</w:t>
            </w:r>
          </w:p>
        </w:tc>
        <w:tc>
          <w:tcPr/>
          <w:p>
            <w:pPr>
              <w:pStyle w:val="Compact"/>
            </w:pPr>
            <w:r>
              <w:rPr>
                <w:rFonts w:ascii="Aptos" w:hAnsi="Aptos" w:cs="Aptos" w:eastAsia="Aptos"/>
                <w:color w:val="000000"/>
                <w:sz w:val="22"/>
              </w:rPr>
              <w:t xml:space="preserve">Hershey’s premium (discount)</w:t>
            </w:r>
          </w:p>
        </w:tc>
        <w:tc>
          <w:tcPr/>
          <w:p>
            <w:pPr>
              <w:pStyle w:val="Compact"/>
            </w:pPr>
            <w:r>
              <w:rPr>
                <w:rFonts w:ascii="Aptos" w:hAnsi="Aptos" w:cs="Aptos" w:eastAsia="Aptos"/>
                <w:color w:val="000000"/>
                <w:sz w:val="22"/>
              </w:rPr>
              <w:t xml:space="preserve">Against Mondelez alone</w:t>
            </w:r>
          </w:p>
        </w:tc>
      </w:tr>
      <w:tr>
        <w:tc>
          <w:tcPr/>
          <w:p>
            <w:pPr>
              <w:pStyle w:val="Compact"/>
            </w:pPr>
            <w:r>
              <w:rPr>
                <w:rFonts w:ascii="Aptos" w:hAnsi="Aptos" w:cs="Aptos" w:eastAsia="Aptos"/>
                <w:color w:val="000000"/>
                <w:sz w:val="22"/>
              </w:rPr>
              <w:t xml:space="preserve">EV/EBITDA</w:t>
            </w:r>
          </w:p>
        </w:tc>
        <w:tc>
          <w:tcPr/>
          <w:p>
            <w:pPr>
              <w:pStyle w:val="Compact"/>
            </w:pPr>
            <w:r>
              <w:rPr>
                <w:rFonts w:ascii="Aptos" w:hAnsi="Aptos" w:cs="Aptos" w:eastAsia="Aptos"/>
                <w:color w:val="000000"/>
                <w:sz w:val="22"/>
              </w:rPr>
              <w:t xml:space="preserve">13.8x</w:t>
            </w:r>
          </w:p>
        </w:tc>
        <w:tc>
          <w:tcPr/>
          <w:p>
            <w:pPr>
              <w:pStyle w:val="Compact"/>
            </w:pPr>
            <w:r>
              <w:rPr>
                <w:rFonts w:ascii="Aptos" w:hAnsi="Aptos" w:cs="Aptos" w:eastAsia="Aptos"/>
                <w:color w:val="000000"/>
                <w:sz w:val="22"/>
              </w:rPr>
              <w:t xml:space="preserve">18.87x</w:t>
            </w:r>
          </w:p>
        </w:tc>
        <w:tc>
          <w:tcPr/>
          <w:p>
            <w:pPr>
              <w:pStyle w:val="Compact"/>
            </w:pPr>
            <w:r>
              <w:rPr>
                <w:rFonts w:ascii="Aptos" w:hAnsi="Aptos" w:cs="Aptos" w:eastAsia="Aptos"/>
                <w:color w:val="000000"/>
                <w:sz w:val="22"/>
              </w:rPr>
              <w:t xml:space="preserve">(26.9%)</w:t>
            </w:r>
          </w:p>
        </w:tc>
        <w:tc>
          <w:tcPr/>
          <w:p>
            <w:pPr>
              <w:pStyle w:val="Compact"/>
            </w:pPr>
            <w:r>
              <w:rPr>
                <w:rFonts w:ascii="Aptos" w:hAnsi="Aptos" w:cs="Aptos" w:eastAsia="Aptos"/>
                <w:color w:val="000000"/>
                <w:sz w:val="22"/>
              </w:rPr>
              <w:t xml:space="preserve">12.9% premium</w:t>
            </w:r>
          </w:p>
        </w:tc>
      </w:tr>
      <w:tr>
        <w:tc>
          <w:tcPr/>
          <w:p>
            <w:pPr>
              <w:pStyle w:val="Compact"/>
            </w:pPr>
            <w:r>
              <w:rPr>
                <w:rFonts w:ascii="Aptos" w:hAnsi="Aptos" w:cs="Aptos" w:eastAsia="Aptos"/>
                <w:color w:val="000000"/>
                <w:sz w:val="22"/>
              </w:rPr>
              <w:t xml:space="preserve">P/E</w:t>
            </w:r>
          </w:p>
        </w:tc>
        <w:tc>
          <w:tcPr/>
          <w:p>
            <w:pPr>
              <w:pStyle w:val="Compact"/>
            </w:pPr>
            <w:r>
              <w:rPr>
                <w:rFonts w:ascii="Aptos" w:hAnsi="Aptos" w:cs="Aptos" w:eastAsia="Aptos"/>
                <w:color w:val="000000"/>
                <w:sz w:val="22"/>
              </w:rPr>
              <w:t xml:space="preserve">23.4x</w:t>
            </w:r>
          </w:p>
        </w:tc>
        <w:tc>
          <w:tcPr/>
          <w:p>
            <w:pPr>
              <w:pStyle w:val="Compact"/>
            </w:pPr>
            <w:r>
              <w:rPr>
                <w:rFonts w:ascii="Aptos" w:hAnsi="Aptos" w:cs="Aptos" w:eastAsia="Aptos"/>
                <w:color w:val="000000"/>
                <w:sz w:val="22"/>
              </w:rPr>
              <w:t xml:space="preserve">25.0x</w:t>
            </w:r>
          </w:p>
        </w:tc>
        <w:tc>
          <w:tcPr/>
          <w:p>
            <w:pPr>
              <w:pStyle w:val="Compact"/>
            </w:pPr>
            <w:r>
              <w:rPr>
                <w:rFonts w:ascii="Aptos" w:hAnsi="Aptos" w:cs="Aptos" w:eastAsia="Aptos"/>
                <w:color w:val="000000"/>
                <w:sz w:val="22"/>
              </w:rPr>
              <w:t xml:space="preserve">(6.4%)</w:t>
            </w:r>
          </w:p>
        </w:tc>
        <w:tc>
          <w:tcPr/>
          <w:p>
            <w:pPr>
              <w:pStyle w:val="Compact"/>
            </w:pPr>
            <w:r>
              <w:rPr>
                <w:rFonts w:ascii="Aptos" w:hAnsi="Aptos" w:cs="Aptos" w:eastAsia="Aptos"/>
                <w:color w:val="000000"/>
                <w:sz w:val="22"/>
              </w:rPr>
              <w:t xml:space="preserve">9.7% premium</w:t>
            </w:r>
          </w:p>
        </w:tc>
      </w:tr>
      <w:tr>
        <w:tc>
          <w:tcPr/>
          <w:p>
            <w:pPr>
              <w:pStyle w:val="Compact"/>
            </w:pPr>
            <w:r>
              <w:rPr>
                <w:rFonts w:ascii="Aptos" w:hAnsi="Aptos" w:cs="Aptos" w:eastAsia="Aptos"/>
                <w:color w:val="000000"/>
                <w:sz w:val="22"/>
              </w:rPr>
              <w:t xml:space="preserve">EV/Sales</w:t>
            </w:r>
          </w:p>
        </w:tc>
        <w:tc>
          <w:tcPr/>
          <w:p>
            <w:pPr>
              <w:pStyle w:val="Compact"/>
            </w:pPr>
            <w:r>
              <w:rPr>
                <w:rFonts w:ascii="Aptos" w:hAnsi="Aptos" w:cs="Aptos" w:eastAsia="Aptos"/>
                <w:color w:val="000000"/>
                <w:sz w:val="22"/>
              </w:rPr>
              <w:t xml:space="preserve">3.05x</w:t>
            </w:r>
          </w:p>
        </w:tc>
        <w:tc>
          <w:tcPr/>
          <w:p>
            <w:pPr>
              <w:pStyle w:val="Compact"/>
            </w:pPr>
            <w:r>
              <w:rPr>
                <w:rFonts w:ascii="Aptos" w:hAnsi="Aptos" w:cs="Aptos" w:eastAsia="Aptos"/>
                <w:color w:val="000000"/>
                <w:sz w:val="22"/>
              </w:rPr>
              <w:t xml:space="preserve">3.42x</w:t>
            </w:r>
          </w:p>
        </w:tc>
        <w:tc>
          <w:tcPr/>
          <w:p>
            <w:pPr>
              <w:pStyle w:val="Compact"/>
            </w:pPr>
            <w:r>
              <w:rPr>
                <w:rFonts w:ascii="Aptos" w:hAnsi="Aptos" w:cs="Aptos" w:eastAsia="Aptos"/>
                <w:color w:val="000000"/>
                <w:sz w:val="22"/>
              </w:rPr>
              <w:t xml:space="preserve">(10.8%)</w:t>
            </w:r>
          </w:p>
        </w:tc>
        <w:tc>
          <w:tcPr/>
          <w:p>
            <w:pPr>
              <w:pStyle w:val="Compact"/>
            </w:pPr>
            <w:r>
              <w:rPr>
                <w:rFonts w:ascii="Aptos" w:hAnsi="Aptos" w:cs="Aptos" w:eastAsia="Aptos"/>
                <w:color w:val="000000"/>
                <w:sz w:val="22"/>
              </w:rPr>
              <w:t xml:space="preserve">29.2% premium</w:t>
            </w:r>
          </w:p>
        </w:tc>
      </w:tr>
    </w:tbl>
    <w:p>
      <w:pPr>
        <w:pStyle w:val="BodyText"/>
      </w:pPr>
      <w:r>
        <w:rPr>
          <w:rFonts w:ascii="Aptos" w:hAnsi="Aptos" w:cs="Aptos" w:eastAsia="Aptos"/>
          <w:color w:val="000000"/>
          <w:sz w:val="24"/>
        </w:rPr>
        <w:t xml:space="preserve">Hershey trades at a discount to the peer average on all three multiples, deepest on EV/EBITDA and smallest on P/E. Two things drive it.</w:t>
      </w:r>
    </w:p>
    <w:p>
      <w:pPr>
        <w:pStyle w:val="Compact"/>
        <w:numPr>
          <w:ilvl w:val="0"/>
          <w:numId w:val="1001"/>
        </w:numPr>
      </w:pPr>
      <w:r>
        <w:rPr>
          <w:rFonts w:ascii="Aptos" w:hAnsi="Aptos" w:cs="Aptos" w:eastAsia="Aptos"/>
          <w:b/>
          <w:bCs/>
          <w:color w:val="000000"/>
          <w:sz w:val="24"/>
        </w:rPr>
        <w:t xml:space="preserve">The average is pulled up by two premium names.</w:t>
      </w:r>
      <w:r>
        <w:rPr>
          <w:rFonts w:ascii="Aptos" w:hAnsi="Aptos" w:cs="Aptos" w:eastAsia="Aptos"/>
          <w:color w:val="000000"/>
          <w:sz w:val="24"/>
        </w:rPr>
        <w:t xml:space="preserve"> </w:t>
      </w:r>
      <w:r>
        <w:rPr>
          <w:rFonts w:ascii="Aptos" w:hAnsi="Aptos" w:cs="Aptos" w:eastAsia="Aptos"/>
          <w:color w:val="000000"/>
          <w:sz w:val="24"/>
        </w:rPr>
        <w:t xml:space="preserve">Lindt and Tootsie Roll trade at 19.08x and 25.31x EBITDA. Against Mondelez, the one peer of Hershey’s scale, Hershey trades at a premium on every multiple.</w:t>
      </w:r>
    </w:p>
    <w:p>
      <w:pPr>
        <w:pStyle w:val="Compact"/>
        <w:numPr>
          <w:ilvl w:val="0"/>
          <w:numId w:val="1001"/>
        </w:numPr>
      </w:pPr>
      <w:r>
        <w:rPr>
          <w:rFonts w:ascii="Aptos" w:hAnsi="Aptos" w:cs="Aptos" w:eastAsia="Aptos"/>
          <w:b/>
          <w:bCs/>
          <w:color w:val="000000"/>
          <w:sz w:val="24"/>
        </w:rPr>
        <w:t xml:space="preserve">The market is pricing cocoa risk.</w:t>
      </w:r>
      <w:r>
        <w:rPr>
          <w:rFonts w:ascii="Aptos" w:hAnsi="Aptos" w:cs="Aptos" w:eastAsia="Aptos"/>
          <w:color w:val="000000"/>
          <w:sz w:val="24"/>
        </w:rPr>
        <w:t xml:space="preserve"> </w:t>
      </w:r>
      <w:r>
        <w:rPr>
          <w:rFonts w:ascii="Aptos" w:hAnsi="Aptos" w:cs="Aptos" w:eastAsia="Aptos"/>
          <w:color w:val="000000"/>
          <w:sz w:val="24"/>
        </w:rPr>
        <w:t xml:space="preserve">Hershey’s operating margin fell from 25.9 percent in FY2024 to 12.3 percent in FY2025 as cocoa costs rose [S1], and in Q2 2026 confectionery volume fell about 10 percent while prices rose about 14 percent [S3]. A buyer paying today’s multiple is not yet paying for the margin recovery our forecast assumes.</w:t>
      </w:r>
    </w:p>
    <w:bookmarkEnd w:id="11"/>
    <w:bookmarkStart w:id="12" w:name="reconciling-the-multiples-with-the-dcf"/>
    <w:p>
      <w:pPr>
        <w:pStyle w:val="Heading2"/>
      </w:pPr>
      <w:r>
        <w:rPr>
          <w:rFonts w:ascii="Aptos" w:hAnsi="Aptos" w:cs="Aptos" w:eastAsia="Aptos"/>
          <w:color w:val="000000"/>
          <w:sz w:val="28"/>
        </w:rPr>
        <w:t xml:space="preserve">4. Reconciling the multiples with the DCF</w:t>
      </w:r>
    </w:p>
    <w:tbl>
      <w:tblPr>
        <w:tblStyle w:val="Table"/>
        <w:tblW w:type="auto" w:w="0"/>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on"/>
        </w:trPr>
        <w:tc>
          <w:tcPr/>
          <w:p>
            <w:pPr>
              <w:pStyle w:val="Compact"/>
            </w:pPr>
            <w:r>
              <w:rPr>
                <w:rFonts w:ascii="Aptos" w:hAnsi="Aptos" w:cs="Aptos" w:eastAsia="Aptos"/>
                <w:color w:val="000000"/>
                <w:sz w:val="22"/>
              </w:rPr>
              <w:t xml:space="preserve">Method</w:t>
            </w:r>
          </w:p>
        </w:tc>
        <w:tc>
          <w:tcPr/>
          <w:p>
            <w:pPr>
              <w:pStyle w:val="Compact"/>
            </w:pPr>
            <w:r>
              <w:rPr>
                <w:rFonts w:ascii="Aptos" w:hAnsi="Aptos" w:cs="Aptos" w:eastAsia="Aptos"/>
                <w:color w:val="000000"/>
                <w:sz w:val="22"/>
              </w:rPr>
              <w:t xml:space="preserve">Value per share</w:t>
            </w:r>
          </w:p>
        </w:tc>
        <w:tc>
          <w:tcPr/>
          <w:p>
            <w:pPr>
              <w:pStyle w:val="Compact"/>
            </w:pPr>
            <w:r>
              <w:rPr>
                <w:rFonts w:ascii="Aptos" w:hAnsi="Aptos" w:cs="Aptos" w:eastAsia="Aptos"/>
                <w:color w:val="000000"/>
                <w:sz w:val="22"/>
              </w:rPr>
              <w:t xml:space="preserve">Against $160.19</w:t>
            </w:r>
          </w:p>
        </w:tc>
      </w:tr>
      <w:tr>
        <w:tc>
          <w:tcPr/>
          <w:p>
            <w:pPr>
              <w:pStyle w:val="Compact"/>
            </w:pPr>
            <w:r>
              <w:rPr>
                <w:rFonts w:ascii="Aptos" w:hAnsi="Aptos" w:cs="Aptos" w:eastAsia="Aptos"/>
                <w:color w:val="000000"/>
                <w:sz w:val="22"/>
              </w:rPr>
              <w:t xml:space="preserve">DCF, growth in perpetuity</w:t>
            </w:r>
          </w:p>
        </w:tc>
        <w:tc>
          <w:tcPr/>
          <w:p>
            <w:pPr>
              <w:pStyle w:val="Compact"/>
            </w:pPr>
            <w:r>
              <w:rPr>
                <w:rFonts w:ascii="Aptos" w:hAnsi="Aptos" w:cs="Aptos" w:eastAsia="Aptos"/>
                <w:color w:val="000000"/>
                <w:sz w:val="22"/>
              </w:rPr>
              <w:t xml:space="preserve">$218.59</w:t>
            </w:r>
          </w:p>
        </w:tc>
        <w:tc>
          <w:tcPr/>
          <w:p>
            <w:pPr>
              <w:pStyle w:val="Compact"/>
            </w:pPr>
            <w:r>
              <w:rPr>
                <w:rFonts w:ascii="Aptos" w:hAnsi="Aptos" w:cs="Aptos" w:eastAsia="Aptos"/>
                <w:color w:val="000000"/>
                <w:sz w:val="22"/>
              </w:rPr>
              <w:t xml:space="preserve">36.5% above</w:t>
            </w:r>
          </w:p>
        </w:tc>
      </w:tr>
      <w:tr>
        <w:tc>
          <w:tcPr/>
          <w:p>
            <w:pPr>
              <w:pStyle w:val="Compact"/>
            </w:pPr>
            <w:r>
              <w:rPr>
                <w:rFonts w:ascii="Aptos" w:hAnsi="Aptos" w:cs="Aptos" w:eastAsia="Aptos"/>
                <w:color w:val="000000"/>
                <w:sz w:val="22"/>
              </w:rPr>
              <w:t xml:space="preserve">DCF, exit multiple</w:t>
            </w:r>
          </w:p>
        </w:tc>
        <w:tc>
          <w:tcPr/>
          <w:p>
            <w:pPr>
              <w:pStyle w:val="Compact"/>
            </w:pPr>
            <w:r>
              <w:rPr>
                <w:rFonts w:ascii="Aptos" w:hAnsi="Aptos" w:cs="Aptos" w:eastAsia="Aptos"/>
                <w:color w:val="000000"/>
                <w:sz w:val="22"/>
              </w:rPr>
              <w:t xml:space="preserve">$193.02</w:t>
            </w:r>
          </w:p>
        </w:tc>
        <w:tc>
          <w:tcPr/>
          <w:p>
            <w:pPr>
              <w:pStyle w:val="Compact"/>
            </w:pPr>
            <w:r>
              <w:rPr>
                <w:rFonts w:ascii="Aptos" w:hAnsi="Aptos" w:cs="Aptos" w:eastAsia="Aptos"/>
                <w:color w:val="000000"/>
                <w:sz w:val="22"/>
              </w:rPr>
              <w:t xml:space="preserve">20.5% above</w:t>
            </w:r>
          </w:p>
        </w:tc>
      </w:tr>
      <w:tr>
        <w:tc>
          <w:tcPr/>
          <w:p>
            <w:pPr>
              <w:pStyle w:val="Compact"/>
            </w:pPr>
            <w:r>
              <w:rPr>
                <w:rFonts w:ascii="Aptos" w:hAnsi="Aptos" w:cs="Aptos" w:eastAsia="Aptos"/>
                <w:color w:val="000000"/>
                <w:sz w:val="22"/>
              </w:rPr>
              <w:t xml:space="preserve">EV/Sales, 3.42x FY2028 revenue</w:t>
            </w:r>
          </w:p>
        </w:tc>
        <w:tc>
          <w:tcPr/>
          <w:p>
            <w:pPr>
              <w:pStyle w:val="Compact"/>
            </w:pPr>
            <w:r>
              <w:rPr>
                <w:rFonts w:ascii="Aptos" w:hAnsi="Aptos" w:cs="Aptos" w:eastAsia="Aptos"/>
                <w:color w:val="000000"/>
                <w:sz w:val="22"/>
              </w:rPr>
              <w:t xml:space="preserve">$213.50</w:t>
            </w:r>
          </w:p>
        </w:tc>
        <w:tc>
          <w:tcPr/>
          <w:p>
            <w:pPr>
              <w:pStyle w:val="Compact"/>
            </w:pPr>
            <w:r>
              <w:rPr>
                <w:rFonts w:ascii="Aptos" w:hAnsi="Aptos" w:cs="Aptos" w:eastAsia="Aptos"/>
                <w:color w:val="000000"/>
                <w:sz w:val="22"/>
              </w:rPr>
              <w:t xml:space="preserve">33.3% above</w:t>
            </w:r>
          </w:p>
        </w:tc>
      </w:tr>
      <w:tr>
        <w:tc>
          <w:tcPr/>
          <w:p>
            <w:pPr>
              <w:pStyle w:val="Compact"/>
            </w:pPr>
            <w:r>
              <w:rPr>
                <w:rFonts w:ascii="Aptos" w:hAnsi="Aptos" w:cs="Aptos" w:eastAsia="Aptos"/>
                <w:color w:val="000000"/>
                <w:sz w:val="22"/>
              </w:rPr>
              <w:t xml:space="preserve">P/E, 25.0x FY2028 NOPAT</w:t>
            </w:r>
          </w:p>
        </w:tc>
        <w:tc>
          <w:tcPr/>
          <w:p>
            <w:pPr>
              <w:pStyle w:val="Compact"/>
            </w:pPr>
            <w:r>
              <w:rPr>
                <w:rFonts w:ascii="Aptos" w:hAnsi="Aptos" w:cs="Aptos" w:eastAsia="Aptos"/>
                <w:color w:val="000000"/>
                <w:sz w:val="22"/>
              </w:rPr>
              <w:t xml:space="preserve">$261.19</w:t>
            </w:r>
          </w:p>
        </w:tc>
        <w:tc>
          <w:tcPr/>
          <w:p>
            <w:pPr>
              <w:pStyle w:val="Compact"/>
            </w:pPr>
            <w:r>
              <w:rPr>
                <w:rFonts w:ascii="Aptos" w:hAnsi="Aptos" w:cs="Aptos" w:eastAsia="Aptos"/>
                <w:color w:val="000000"/>
                <w:sz w:val="22"/>
              </w:rPr>
              <w:t xml:space="preserve">63.1% above</w:t>
            </w:r>
          </w:p>
        </w:tc>
      </w:tr>
      <w:tr>
        <w:tc>
          <w:tcPr/>
          <w:p>
            <w:pPr>
              <w:pStyle w:val="Compact"/>
            </w:pPr>
            <w:r>
              <w:rPr>
                <w:rFonts w:ascii="Aptos" w:hAnsi="Aptos" w:cs="Aptos" w:eastAsia="Aptos"/>
                <w:color w:val="000000"/>
                <w:sz w:val="22"/>
              </w:rPr>
              <w:t xml:space="preserve">EV/EBITDA, 18.87x FY2028 EBITDA</w:t>
            </w:r>
          </w:p>
        </w:tc>
        <w:tc>
          <w:tcPr/>
          <w:p>
            <w:pPr>
              <w:pStyle w:val="Compact"/>
            </w:pPr>
            <w:r>
              <w:rPr>
                <w:rFonts w:ascii="Aptos" w:hAnsi="Aptos" w:cs="Aptos" w:eastAsia="Aptos"/>
                <w:color w:val="000000"/>
                <w:sz w:val="22"/>
              </w:rPr>
              <w:t xml:space="preserve">$323.76</w:t>
            </w:r>
          </w:p>
        </w:tc>
        <w:tc>
          <w:tcPr/>
          <w:p>
            <w:pPr>
              <w:pStyle w:val="Compact"/>
            </w:pPr>
            <w:r>
              <w:rPr>
                <w:rFonts w:ascii="Aptos" w:hAnsi="Aptos" w:cs="Aptos" w:eastAsia="Aptos"/>
                <w:color w:val="000000"/>
                <w:sz w:val="22"/>
              </w:rPr>
              <w:t xml:space="preserve">102.1% above</w:t>
            </w:r>
          </w:p>
        </w:tc>
      </w:tr>
    </w:tbl>
    <w:p>
      <w:pPr>
        <w:pStyle w:val="BodyText"/>
      </w:pPr>
      <w:r>
        <w:rPr>
          <w:rFonts w:ascii="Aptos" w:hAnsi="Aptos" w:cs="Aptos" w:eastAsia="Aptos"/>
          <w:color w:val="000000"/>
          <w:sz w:val="24"/>
        </w:rPr>
        <w:t xml:space="preserve">All five methods put Hershey above its price. They disagree on how far, and the gap has two sources.</w:t>
      </w:r>
    </w:p>
    <w:p>
      <w:pPr>
        <w:pStyle w:val="Compact"/>
        <w:numPr>
          <w:ilvl w:val="0"/>
          <w:numId w:val="1002"/>
        </w:numPr>
      </w:pPr>
      <w:r>
        <w:rPr>
          <w:rFonts w:ascii="Aptos" w:hAnsi="Aptos" w:cs="Aptos" w:eastAsia="Aptos"/>
          <w:b/>
          <w:bCs/>
          <w:color w:val="000000"/>
          <w:sz w:val="24"/>
        </w:rPr>
        <w:t xml:space="preserve">Which multiple.</w:t>
      </w:r>
      <w:r>
        <w:rPr>
          <w:rFonts w:ascii="Aptos" w:hAnsi="Aptos" w:cs="Aptos" w:eastAsia="Aptos"/>
          <w:color w:val="000000"/>
          <w:sz w:val="24"/>
        </w:rPr>
        <w:t xml:space="preserve"> </w:t>
      </w:r>
      <w:r>
        <w:rPr>
          <w:rFonts w:ascii="Aptos" w:hAnsi="Aptos" w:cs="Aptos" w:eastAsia="Aptos"/>
          <w:color w:val="000000"/>
          <w:sz w:val="24"/>
        </w:rPr>
        <w:t xml:space="preserve">Our DCF’s exit multiple is 13.02x EBITDA, close to Hershey’s own 13.8x and Mondelez’s 12.22x. The peer average is 18.87x. Applying 18.87x instead of 13.02x to the same FY2028 EBITDA of 3,554.2 is most of the difference between $193.02 and $323.76. The peer average prices the growth and quality of Lindt and Tootsie Roll; our 3.0 percent perpetual growth does not assume them.</w:t>
      </w:r>
    </w:p>
    <w:p>
      <w:pPr>
        <w:pStyle w:val="Compact"/>
        <w:numPr>
          <w:ilvl w:val="0"/>
          <w:numId w:val="1002"/>
        </w:numPr>
      </w:pPr>
      <w:r>
        <w:rPr>
          <w:rFonts w:ascii="Aptos" w:hAnsi="Aptos" w:cs="Aptos" w:eastAsia="Aptos"/>
          <w:b/>
          <w:bCs/>
          <w:color w:val="000000"/>
          <w:sz w:val="24"/>
        </w:rPr>
        <w:t xml:space="preserve">Which year.</w:t>
      </w:r>
      <w:r>
        <w:rPr>
          <w:rFonts w:ascii="Aptos" w:hAnsi="Aptos" w:cs="Aptos" w:eastAsia="Aptos"/>
          <w:color w:val="000000"/>
          <w:sz w:val="24"/>
        </w:rPr>
        <w:t xml:space="preserve"> </w:t>
      </w:r>
      <w:r>
        <w:rPr>
          <w:rFonts w:ascii="Aptos" w:hAnsi="Aptos" w:cs="Aptos" w:eastAsia="Aptos"/>
          <w:color w:val="000000"/>
          <w:sz w:val="24"/>
        </w:rPr>
        <w:t xml:space="preserve">The workbook applies each peer multiple to FY2028 forecast figures, after the margin recovery. The DCF discounts those same years back to October 5, 2026.</w:t>
      </w:r>
    </w:p>
    <w:p>
      <w:pPr>
        <w:pStyle w:val="FirstParagraph"/>
      </w:pPr>
      <w:r>
        <w:rPr>
          <w:rFonts w:ascii="Aptos" w:hAnsi="Aptos" w:cs="Aptos" w:eastAsia="Aptos"/>
          <w:b/>
          <w:bCs/>
          <w:color w:val="000000"/>
          <w:sz w:val="24"/>
        </w:rPr>
        <w:t xml:space="preserve">Which we trust.</w:t>
      </w:r>
      <w:r>
        <w:rPr>
          <w:rFonts w:ascii="Aptos" w:hAnsi="Aptos" w:cs="Aptos" w:eastAsia="Aptos"/>
          <w:color w:val="000000"/>
          <w:sz w:val="24"/>
        </w:rPr>
        <w:t xml:space="preserve"> </w:t>
      </w:r>
      <w:r>
        <w:rPr>
          <w:rFonts w:ascii="Aptos" w:hAnsi="Aptos" w:cs="Aptos" w:eastAsia="Aptos"/>
          <w:color w:val="000000"/>
          <w:sz w:val="24"/>
        </w:rPr>
        <w:t xml:space="preserve">The DCF. It states its growth and risk assumptions, and our Module 4 sensitivity tables show what each one is worth. The multiples are a cross-check, and the cross-check agrees on direction: Hershey is worth more than its price. EV/Sales, the multiple least affected by Hershey’s cocoa-hit margins, gives $213.50, between our two DCF values.</w:t>
      </w:r>
    </w:p>
    <w:bookmarkEnd w:id="12"/>
    <w:bookmarkStart w:id="13" w:name="the-probability-weighted-summary"/>
    <w:p>
      <w:pPr>
        <w:pStyle w:val="Heading2"/>
      </w:pPr>
      <w:r>
        <w:rPr>
          <w:rFonts w:ascii="Aptos" w:hAnsi="Aptos" w:cs="Aptos" w:eastAsia="Aptos"/>
          <w:color w:val="000000"/>
          <w:sz w:val="28"/>
        </w:rPr>
        <w:t xml:space="preserve">5. The probability-weighted summary</w:t>
      </w:r>
    </w:p>
    <w:tbl>
      <w:tblPr>
        <w:tblStyle w:val="Table"/>
        <w:tblW w:type="pct" w:w="5000"/>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on"/>
        </w:trPr>
        <w:tc>
          <w:tcPr/>
          <w:p>
            <w:pPr>
              <w:pStyle w:val="Compact"/>
            </w:pPr>
            <w:r>
              <w:rPr>
                <w:rFonts w:ascii="Aptos" w:hAnsi="Aptos" w:cs="Aptos" w:eastAsia="Aptos"/>
                <w:color w:val="000000"/>
                <w:sz w:val="22"/>
              </w:rPr>
              <w:t xml:space="preserve">Scenario</w:t>
            </w:r>
          </w:p>
        </w:tc>
        <w:tc>
          <w:tcPr/>
          <w:p>
            <w:pPr>
              <w:pStyle w:val="Compact"/>
            </w:pPr>
            <w:r>
              <w:rPr>
                <w:rFonts w:ascii="Aptos" w:hAnsi="Aptos" w:cs="Aptos" w:eastAsia="Aptos"/>
                <w:color w:val="000000"/>
                <w:sz w:val="22"/>
              </w:rPr>
              <w:t xml:space="preserve">Weight</w:t>
            </w:r>
          </w:p>
        </w:tc>
        <w:tc>
          <w:tcPr/>
          <w:p>
            <w:pPr>
              <w:pStyle w:val="Compact"/>
            </w:pPr>
            <w:r>
              <w:rPr>
                <w:rFonts w:ascii="Aptos" w:hAnsi="Aptos" w:cs="Aptos" w:eastAsia="Aptos"/>
                <w:color w:val="000000"/>
                <w:sz w:val="22"/>
              </w:rPr>
              <w:t xml:space="preserve">Per share, perpetuity</w:t>
            </w:r>
          </w:p>
        </w:tc>
        <w:tc>
          <w:tcPr/>
          <w:p>
            <w:pPr>
              <w:pStyle w:val="Compact"/>
            </w:pPr>
            <w:r>
              <w:rPr>
                <w:rFonts w:ascii="Aptos" w:hAnsi="Aptos" w:cs="Aptos" w:eastAsia="Aptos"/>
                <w:color w:val="000000"/>
                <w:sz w:val="22"/>
              </w:rPr>
              <w:t xml:space="preserve">Per share, exit multiple</w:t>
            </w:r>
          </w:p>
        </w:tc>
        <w:tc>
          <w:tcPr/>
          <w:p>
            <w:pPr>
              <w:pStyle w:val="Compact"/>
            </w:pPr>
            <w:r>
              <w:rPr>
                <w:rFonts w:ascii="Aptos" w:hAnsi="Aptos" w:cs="Aptos" w:eastAsia="Aptos"/>
                <w:color w:val="000000"/>
                <w:sz w:val="22"/>
              </w:rPr>
              <w:t xml:space="preserve">What changes</w:t>
            </w:r>
          </w:p>
        </w:tc>
      </w:tr>
      <w:tr>
        <w:tc>
          <w:tcPr/>
          <w:p>
            <w:pPr>
              <w:pStyle w:val="Compact"/>
            </w:pPr>
            <w:r>
              <w:rPr>
                <w:rFonts w:ascii="Aptos" w:hAnsi="Aptos" w:cs="Aptos" w:eastAsia="Aptos"/>
                <w:color w:val="000000"/>
                <w:sz w:val="22"/>
              </w:rPr>
              <w:t xml:space="preserve">Bull</w:t>
            </w:r>
          </w:p>
        </w:tc>
        <w:tc>
          <w:tcPr/>
          <w:p>
            <w:pPr>
              <w:pStyle w:val="Compact"/>
            </w:pPr>
            <w:r>
              <w:rPr>
                <w:rFonts w:ascii="Aptos" w:hAnsi="Aptos" w:cs="Aptos" w:eastAsia="Aptos"/>
                <w:color w:val="000000"/>
                <w:sz w:val="22"/>
              </w:rPr>
              <w:t xml:space="preserve">25%</w:t>
            </w:r>
          </w:p>
        </w:tc>
        <w:tc>
          <w:tcPr/>
          <w:p>
            <w:pPr>
              <w:pStyle w:val="Compact"/>
            </w:pPr>
            <w:r>
              <w:rPr>
                <w:rFonts w:ascii="Aptos" w:hAnsi="Aptos" w:cs="Aptos" w:eastAsia="Aptos"/>
                <w:color w:val="000000"/>
                <w:sz w:val="22"/>
              </w:rPr>
              <w:t xml:space="preserve">$311.15</w:t>
            </w:r>
          </w:p>
        </w:tc>
        <w:tc>
          <w:tcPr/>
          <w:p>
            <w:pPr>
              <w:pStyle w:val="Compact"/>
            </w:pPr>
            <w:r>
              <w:rPr>
                <w:rFonts w:ascii="Aptos" w:hAnsi="Aptos" w:cs="Aptos" w:eastAsia="Aptos"/>
                <w:color w:val="000000"/>
                <w:sz w:val="22"/>
              </w:rPr>
              <w:t xml:space="preserve">$212.70</w:t>
            </w:r>
          </w:p>
        </w:tc>
        <w:tc>
          <w:tcPr/>
          <w:p>
            <w:pPr>
              <w:pStyle w:val="Compact"/>
            </w:pPr>
            <w:r>
              <w:rPr>
                <w:rFonts w:ascii="Aptos" w:hAnsi="Aptos" w:cs="Aptos" w:eastAsia="Aptos"/>
                <w:color w:val="000000"/>
                <w:sz w:val="22"/>
              </w:rPr>
              <w:t xml:space="preserve">Growth +1.0 pt, margin +1.5 pt, WACC 6.51%, g 3.5%</w:t>
            </w:r>
          </w:p>
        </w:tc>
      </w:tr>
      <w:tr>
        <w:tc>
          <w:tcPr/>
          <w:p>
            <w:pPr>
              <w:pStyle w:val="Compact"/>
            </w:pPr>
            <w:r>
              <w:rPr>
                <w:rFonts w:ascii="Aptos" w:hAnsi="Aptos" w:cs="Aptos" w:eastAsia="Aptos"/>
                <w:color w:val="000000"/>
                <w:sz w:val="22"/>
              </w:rPr>
              <w:t xml:space="preserve">Base</w:t>
            </w:r>
          </w:p>
        </w:tc>
        <w:tc>
          <w:tcPr/>
          <w:p>
            <w:pPr>
              <w:pStyle w:val="Compact"/>
            </w:pPr>
            <w:r>
              <w:rPr>
                <w:rFonts w:ascii="Aptos" w:hAnsi="Aptos" w:cs="Aptos" w:eastAsia="Aptos"/>
                <w:color w:val="000000"/>
                <w:sz w:val="22"/>
              </w:rPr>
              <w:t xml:space="preserve">50%</w:t>
            </w:r>
          </w:p>
        </w:tc>
        <w:tc>
          <w:tcPr/>
          <w:p>
            <w:pPr>
              <w:pStyle w:val="Compact"/>
            </w:pPr>
            <w:r>
              <w:rPr>
                <w:rFonts w:ascii="Aptos" w:hAnsi="Aptos" w:cs="Aptos" w:eastAsia="Aptos"/>
                <w:color w:val="000000"/>
                <w:sz w:val="22"/>
              </w:rPr>
              <w:t xml:space="preserve">$218.59</w:t>
            </w:r>
          </w:p>
        </w:tc>
        <w:tc>
          <w:tcPr/>
          <w:p>
            <w:pPr>
              <w:pStyle w:val="Compact"/>
            </w:pPr>
            <w:r>
              <w:rPr>
                <w:rFonts w:ascii="Aptos" w:hAnsi="Aptos" w:cs="Aptos" w:eastAsia="Aptos"/>
                <w:color w:val="000000"/>
                <w:sz w:val="22"/>
              </w:rPr>
              <w:t xml:space="preserve">$193.02</w:t>
            </w:r>
          </w:p>
        </w:tc>
        <w:tc>
          <w:tcPr/>
          <w:p>
            <w:pPr>
              <w:pStyle w:val="Compact"/>
            </w:pPr>
            <w:r>
              <w:rPr>
                <w:rFonts w:ascii="Aptos" w:hAnsi="Aptos" w:cs="Aptos" w:eastAsia="Aptos"/>
                <w:color w:val="000000"/>
                <w:sz w:val="22"/>
              </w:rPr>
              <w:t xml:space="preserve">The workbook</w:t>
            </w:r>
          </w:p>
        </w:tc>
      </w:tr>
      <w:tr>
        <w:tc>
          <w:tcPr/>
          <w:p>
            <w:pPr>
              <w:pStyle w:val="Compact"/>
            </w:pPr>
            <w:r>
              <w:rPr>
                <w:rFonts w:ascii="Aptos" w:hAnsi="Aptos" w:cs="Aptos" w:eastAsia="Aptos"/>
                <w:color w:val="000000"/>
                <w:sz w:val="22"/>
              </w:rPr>
              <w:t xml:space="preserve">Bear</w:t>
            </w:r>
          </w:p>
        </w:tc>
        <w:tc>
          <w:tcPr/>
          <w:p>
            <w:pPr>
              <w:pStyle w:val="Compact"/>
            </w:pPr>
            <w:r>
              <w:rPr>
                <w:rFonts w:ascii="Aptos" w:hAnsi="Aptos" w:cs="Aptos" w:eastAsia="Aptos"/>
                <w:color w:val="000000"/>
                <w:sz w:val="22"/>
              </w:rPr>
              <w:t xml:space="preserve">25%</w:t>
            </w:r>
          </w:p>
        </w:tc>
        <w:tc>
          <w:tcPr/>
          <w:p>
            <w:pPr>
              <w:pStyle w:val="Compact"/>
            </w:pPr>
            <w:r>
              <w:rPr>
                <w:rFonts w:ascii="Aptos" w:hAnsi="Aptos" w:cs="Aptos" w:eastAsia="Aptos"/>
                <w:color w:val="000000"/>
                <w:sz w:val="22"/>
              </w:rPr>
              <w:t xml:space="preserve">$124.84</w:t>
            </w:r>
          </w:p>
        </w:tc>
        <w:tc>
          <w:tcPr/>
          <w:p>
            <w:pPr>
              <w:pStyle w:val="Compact"/>
            </w:pPr>
            <w:r>
              <w:rPr>
                <w:rFonts w:ascii="Aptos" w:hAnsi="Aptos" w:cs="Aptos" w:eastAsia="Aptos"/>
                <w:color w:val="000000"/>
                <w:sz w:val="22"/>
              </w:rPr>
              <w:t xml:space="preserve">$158.38</w:t>
            </w:r>
          </w:p>
        </w:tc>
        <w:tc>
          <w:tcPr/>
          <w:p>
            <w:pPr>
              <w:pStyle w:val="Compact"/>
            </w:pPr>
            <w:r>
              <w:rPr>
                <w:rFonts w:ascii="Aptos" w:hAnsi="Aptos" w:cs="Aptos" w:eastAsia="Aptos"/>
                <w:color w:val="000000"/>
                <w:sz w:val="22"/>
              </w:rPr>
              <w:t xml:space="preserve">Growth −1.5 pt, margin −3.0 pt, WACC 7.56%, g 2.5%</w:t>
            </w:r>
          </w:p>
        </w:tc>
      </w:tr>
      <w:tr>
        <w:tc>
          <w:tcPr/>
          <w:p>
            <w:pPr>
              <w:pStyle w:val="Compact"/>
            </w:pPr>
            <w:r>
              <w:rPr>
                <w:rFonts w:ascii="Aptos" w:hAnsi="Aptos" w:cs="Aptos" w:eastAsia="Aptos"/>
                <w:b/>
                <w:bCs/>
                <w:color w:val="000000"/>
                <w:sz w:val="22"/>
              </w:rPr>
              <w:t xml:space="preserve">Weighted</w:t>
            </w:r>
          </w:p>
        </w:tc>
        <w:tc>
          <w:tcPr/>
          <w:p>
            <w:pPr>
              <w:pStyle w:val="Compact"/>
            </w:pPr>
            <w:r>
              <w:rPr>
                <w:rFonts w:ascii="Aptos" w:hAnsi="Aptos" w:cs="Aptos" w:eastAsia="Aptos"/>
                <w:b/>
                <w:bCs/>
                <w:color w:val="000000"/>
                <w:sz w:val="22"/>
              </w:rPr>
              <w:t xml:space="preserve">100%</w:t>
            </w:r>
          </w:p>
        </w:tc>
        <w:tc>
          <w:tcPr/>
          <w:p>
            <w:pPr>
              <w:pStyle w:val="Compact"/>
            </w:pPr>
            <w:r>
              <w:rPr>
                <w:rFonts w:ascii="Aptos" w:hAnsi="Aptos" w:cs="Aptos" w:eastAsia="Aptos"/>
                <w:b/>
                <w:bCs/>
                <w:color w:val="000000"/>
                <w:sz w:val="22"/>
              </w:rPr>
              <w:t xml:space="preserve">$218.29</w:t>
            </w:r>
          </w:p>
        </w:tc>
        <w:tc>
          <w:tcPr/>
          <w:p>
            <w:pPr>
              <w:pStyle w:val="Compact"/>
            </w:pPr>
            <w:r>
              <w:rPr>
                <w:rFonts w:ascii="Aptos" w:hAnsi="Aptos" w:cs="Aptos" w:eastAsia="Aptos"/>
                <w:b/>
                <w:bCs/>
                <w:color w:val="000000"/>
                <w:sz w:val="22"/>
              </w:rPr>
              <w:t xml:space="preserve">$189.28</w:t>
            </w:r>
          </w:p>
        </w:tc>
        <w:tc>
          <w:tcPr/>
          <w:p>
            <w:pPr>
              <w:pStyle w:val="Compact"/>
            </w:pPr>
          </w:p>
        </w:tc>
      </w:tr>
    </w:tbl>
    <w:p>
      <w:pPr>
        <w:pStyle w:val="BodyText"/>
      </w:pPr>
      <w:r>
        <w:rPr>
          <w:rFonts w:ascii="Aptos" w:hAnsi="Aptos" w:cs="Aptos" w:eastAsia="Aptos"/>
          <w:color w:val="000000"/>
          <w:sz w:val="24"/>
        </w:rPr>
        <w:t xml:space="preserve">The three cases are our Module 4 bull, base, and bear table (research/03 Drafts/Module 4 - Bull base bear), each computed by the site’s valuation engine from the workbook’s DCF tab and checked by hand in Module 4. The base case is the most likely, so it carries half the weight; we see the upside and downside as equally likely, so each carries a quarter. The weighted values sit almost on the base case because the bull and bear cases are close to symmetric around it.</w:t>
      </w:r>
    </w:p>
    <w:bookmarkEnd w:id="13"/>
    <w:bookmarkStart w:id="14" w:name="the-call"/>
    <w:p>
      <w:pPr>
        <w:pStyle w:val="Heading2"/>
      </w:pPr>
      <w:r>
        <w:rPr>
          <w:rFonts w:ascii="Aptos" w:hAnsi="Aptos" w:cs="Aptos" w:eastAsia="Aptos"/>
          <w:color w:val="000000"/>
          <w:sz w:val="28"/>
        </w:rPr>
        <w:t xml:space="preserve">6. The call</w:t>
      </w:r>
    </w:p>
    <w:p>
      <w:pPr>
        <w:pStyle w:val="FirstParagraph"/>
      </w:pPr>
      <w:r>
        <w:rPr>
          <w:rFonts w:ascii="Aptos" w:hAnsi="Aptos" w:cs="Aptos" w:eastAsia="Aptos"/>
          <w:b/>
          <w:bCs/>
          <w:color w:val="000000"/>
          <w:sz w:val="24"/>
        </w:rPr>
        <w:t xml:space="preserve">Buy below $189, avoid above $218.</w:t>
      </w:r>
      <w:r>
        <w:rPr>
          <w:rFonts w:ascii="Aptos" w:hAnsi="Aptos" w:cs="Aptos" w:eastAsia="Aptos"/>
          <w:color w:val="000000"/>
          <w:sz w:val="24"/>
        </w:rPr>
        <w:t xml:space="preserve"> </w:t>
      </w:r>
      <w:r>
        <w:rPr>
          <w:rFonts w:ascii="Aptos" w:hAnsi="Aptos" w:cs="Aptos" w:eastAsia="Aptos"/>
          <w:color w:val="000000"/>
          <w:sz w:val="24"/>
        </w:rPr>
        <w:t xml:space="preserve">$189 is the weighted value by exit multiple, the lower of our two; at a price below it, the stock is cheap even on the more conservative terminal value. $218 is the weighted value by growth in perpetuity; above it, there is no upside left on either method. At $160.19, Hershey is below both:</w:t>
      </w:r>
      <w:r>
        <w:rPr>
          <w:rFonts w:ascii="Aptos" w:hAnsi="Aptos" w:cs="Aptos" w:eastAsia="Aptos"/>
          <w:color w:val="000000"/>
          <w:sz w:val="24"/>
        </w:rPr>
        <w:t xml:space="preserve"> </w:t>
      </w:r>
      <w:r>
        <w:rPr>
          <w:rFonts w:ascii="Aptos" w:hAnsi="Aptos" w:cs="Aptos" w:eastAsia="Aptos"/>
          <w:b/>
          <w:bCs/>
          <w:color w:val="000000"/>
          <w:sz w:val="24"/>
        </w:rPr>
        <w:t xml:space="preserve">Buy</w:t>
      </w:r>
      <w:r>
        <w:rPr>
          <w:rFonts w:ascii="Aptos" w:hAnsi="Aptos" w:cs="Aptos" w:eastAsia="Aptos"/>
          <w:color w:val="000000"/>
          <w:sz w:val="24"/>
        </w:rPr>
        <w:t xml:space="preserve">. The site’s The Call section shows the weights as sliders, so a reader can see how the weighted value moves; our call is set at 25, 50, and 25.</w:t>
      </w:r>
    </w:p>
    <w:bookmarkEnd w:id="14"/>
    <w:bookmarkStart w:id="15" w:name="inputs-for-the-knowledge-bank"/>
    <w:p>
      <w:pPr>
        <w:pStyle w:val="Heading2"/>
      </w:pPr>
      <w:r>
        <w:rPr>
          <w:rFonts w:ascii="Aptos" w:hAnsi="Aptos" w:cs="Aptos" w:eastAsia="Aptos"/>
          <w:color w:val="000000"/>
          <w:sz w:val="28"/>
        </w:rPr>
        <w:t xml:space="preserve">Inputs for the Knowledge Bank</w:t>
      </w:r>
    </w:p>
    <w:tbl>
      <w:tblPr>
        <w:tblStyle w:val="Table"/>
        <w:tblW w:type="pct" w:w="5000"/>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on"/>
        </w:trPr>
        <w:tc>
          <w:tcPr/>
          <w:p>
            <w:pPr>
              <w:pStyle w:val="Compact"/>
            </w:pPr>
            <w:r>
              <w:rPr>
                <w:rFonts w:ascii="Aptos" w:hAnsi="Aptos" w:cs="Aptos" w:eastAsia="Aptos"/>
                <w:color w:val="000000"/>
                <w:sz w:val="22"/>
              </w:rPr>
              <w:t xml:space="preserve">Input</w:t>
            </w:r>
          </w:p>
        </w:tc>
        <w:tc>
          <w:tcPr/>
          <w:p>
            <w:pPr>
              <w:pStyle w:val="Compact"/>
            </w:pPr>
            <w:r>
              <w:rPr>
                <w:rFonts w:ascii="Aptos" w:hAnsi="Aptos" w:cs="Aptos" w:eastAsia="Aptos"/>
                <w:color w:val="000000"/>
                <w:sz w:val="22"/>
              </w:rPr>
              <w:t xml:space="preserve">Value</w:t>
            </w:r>
          </w:p>
        </w:tc>
        <w:tc>
          <w:tcPr/>
          <w:p>
            <w:pPr>
              <w:pStyle w:val="Compact"/>
            </w:pPr>
            <w:r>
              <w:rPr>
                <w:rFonts w:ascii="Aptos" w:hAnsi="Aptos" w:cs="Aptos" w:eastAsia="Aptos"/>
                <w:color w:val="000000"/>
                <w:sz w:val="22"/>
              </w:rPr>
              <w:t xml:space="preserve">Tier</w:t>
            </w:r>
          </w:p>
        </w:tc>
        <w:tc>
          <w:tcPr/>
          <w:p>
            <w:pPr>
              <w:pStyle w:val="Compact"/>
            </w:pPr>
            <w:r>
              <w:rPr>
                <w:rFonts w:ascii="Aptos" w:hAnsi="Aptos" w:cs="Aptos" w:eastAsia="Aptos"/>
                <w:color w:val="000000"/>
                <w:sz w:val="22"/>
              </w:rPr>
              <w:t xml:space="preserve">Source</w:t>
            </w:r>
          </w:p>
        </w:tc>
      </w:tr>
      <w:tr>
        <w:tc>
          <w:tcPr/>
          <w:p>
            <w:pPr>
              <w:pStyle w:val="Compact"/>
            </w:pPr>
            <w:r>
              <w:rPr>
                <w:rFonts w:ascii="Aptos" w:hAnsi="Aptos" w:cs="Aptos" w:eastAsia="Aptos"/>
                <w:color w:val="000000"/>
                <w:sz w:val="22"/>
              </w:rPr>
              <w:t xml:space="preserve">Hershey multiples (EV/EBITDA, P/E, EV/Sales)</w:t>
            </w:r>
          </w:p>
        </w:tc>
        <w:tc>
          <w:tcPr/>
          <w:p>
            <w:pPr>
              <w:pStyle w:val="Compact"/>
            </w:pPr>
            <w:r>
              <w:rPr>
                <w:rFonts w:ascii="Aptos" w:hAnsi="Aptos" w:cs="Aptos" w:eastAsia="Aptos"/>
                <w:color w:val="000000"/>
                <w:sz w:val="22"/>
              </w:rPr>
              <w:t xml:space="preserve">13.8x, 23.4x, 3.05x</w:t>
            </w:r>
          </w:p>
        </w:tc>
        <w:tc>
          <w:tcPr/>
          <w:p>
            <w:pPr>
              <w:pStyle w:val="Compact"/>
            </w:pPr>
            <w:r>
              <w:rPr>
                <w:rFonts w:ascii="Aptos" w:hAnsi="Aptos" w:cs="Aptos" w:eastAsia="Aptos"/>
                <w:color w:val="000000"/>
                <w:sz w:val="22"/>
              </w:rPr>
              <w:t xml:space="preserve">R</w:t>
            </w:r>
          </w:p>
        </w:tc>
        <w:tc>
          <w:tcPr/>
          <w:p>
            <w:pPr>
              <w:pStyle w:val="Compact"/>
            </w:pPr>
            <w:r>
              <w:rPr>
                <w:rFonts w:ascii="Aptos" w:hAnsi="Aptos" w:cs="Aptos" w:eastAsia="Aptos"/>
                <w:color w:val="000000"/>
                <w:sz w:val="22"/>
              </w:rPr>
              <w:t xml:space="preserve">S9</w:t>
            </w:r>
          </w:p>
        </w:tc>
      </w:tr>
      <w:tr>
        <w:tc>
          <w:tcPr/>
          <w:p>
            <w:pPr>
              <w:pStyle w:val="Compact"/>
            </w:pPr>
            <w:r>
              <w:rPr>
                <w:rFonts w:ascii="Aptos" w:hAnsi="Aptos" w:cs="Aptos" w:eastAsia="Aptos"/>
                <w:color w:val="000000"/>
                <w:sz w:val="22"/>
              </w:rPr>
              <w:t xml:space="preserve">Mondelez multiples</w:t>
            </w:r>
          </w:p>
        </w:tc>
        <w:tc>
          <w:tcPr/>
          <w:p>
            <w:pPr>
              <w:pStyle w:val="Compact"/>
            </w:pPr>
            <w:r>
              <w:rPr>
                <w:rFonts w:ascii="Aptos" w:hAnsi="Aptos" w:cs="Aptos" w:eastAsia="Aptos"/>
                <w:color w:val="000000"/>
                <w:sz w:val="22"/>
              </w:rPr>
              <w:t xml:space="preserve">12.22x, 21.34x, 2.36x</w:t>
            </w:r>
          </w:p>
        </w:tc>
        <w:tc>
          <w:tcPr/>
          <w:p>
            <w:pPr>
              <w:pStyle w:val="Compact"/>
            </w:pPr>
            <w:r>
              <w:rPr>
                <w:rFonts w:ascii="Aptos" w:hAnsi="Aptos" w:cs="Aptos" w:eastAsia="Aptos"/>
                <w:color w:val="000000"/>
                <w:sz w:val="22"/>
              </w:rPr>
              <w:t xml:space="preserve">R</w:t>
            </w:r>
          </w:p>
        </w:tc>
        <w:tc>
          <w:tcPr/>
          <w:p>
            <w:pPr>
              <w:pStyle w:val="Compact"/>
            </w:pPr>
            <w:r>
              <w:rPr>
                <w:rFonts w:ascii="Aptos" w:hAnsi="Aptos" w:cs="Aptos" w:eastAsia="Aptos"/>
                <w:color w:val="000000"/>
                <w:sz w:val="22"/>
              </w:rPr>
              <w:t xml:space="preserve">S9</w:t>
            </w:r>
          </w:p>
        </w:tc>
      </w:tr>
      <w:tr>
        <w:tc>
          <w:tcPr/>
          <w:p>
            <w:pPr>
              <w:pStyle w:val="Compact"/>
            </w:pPr>
            <w:r>
              <w:rPr>
                <w:rFonts w:ascii="Aptos" w:hAnsi="Aptos" w:cs="Aptos" w:eastAsia="Aptos"/>
                <w:color w:val="000000"/>
                <w:sz w:val="22"/>
              </w:rPr>
              <w:t xml:space="preserve">Lindt multiples</w:t>
            </w:r>
          </w:p>
        </w:tc>
        <w:tc>
          <w:tcPr/>
          <w:p>
            <w:pPr>
              <w:pStyle w:val="Compact"/>
            </w:pPr>
            <w:r>
              <w:rPr>
                <w:rFonts w:ascii="Aptos" w:hAnsi="Aptos" w:cs="Aptos" w:eastAsia="Aptos"/>
                <w:color w:val="000000"/>
                <w:sz w:val="22"/>
              </w:rPr>
              <w:t xml:space="preserve">19.08x, 23.79x, 4.16x</w:t>
            </w:r>
          </w:p>
        </w:tc>
        <w:tc>
          <w:tcPr/>
          <w:p>
            <w:pPr>
              <w:pStyle w:val="Compact"/>
            </w:pPr>
            <w:r>
              <w:rPr>
                <w:rFonts w:ascii="Aptos" w:hAnsi="Aptos" w:cs="Aptos" w:eastAsia="Aptos"/>
                <w:color w:val="000000"/>
                <w:sz w:val="22"/>
              </w:rPr>
              <w:t xml:space="preserve">R</w:t>
            </w:r>
          </w:p>
        </w:tc>
        <w:tc>
          <w:tcPr/>
          <w:p>
            <w:pPr>
              <w:pStyle w:val="Compact"/>
            </w:pPr>
            <w:r>
              <w:rPr>
                <w:rFonts w:ascii="Aptos" w:hAnsi="Aptos" w:cs="Aptos" w:eastAsia="Aptos"/>
                <w:color w:val="000000"/>
                <w:sz w:val="22"/>
              </w:rPr>
              <w:t xml:space="preserve">S9</w:t>
            </w:r>
          </w:p>
        </w:tc>
      </w:tr>
      <w:tr>
        <w:tc>
          <w:tcPr/>
          <w:p>
            <w:pPr>
              <w:pStyle w:val="Compact"/>
            </w:pPr>
            <w:r>
              <w:rPr>
                <w:rFonts w:ascii="Aptos" w:hAnsi="Aptos" w:cs="Aptos" w:eastAsia="Aptos"/>
                <w:color w:val="000000"/>
                <w:sz w:val="22"/>
              </w:rPr>
              <w:t xml:space="preserve">Tootsie Roll multiples</w:t>
            </w:r>
          </w:p>
        </w:tc>
        <w:tc>
          <w:tcPr/>
          <w:p>
            <w:pPr>
              <w:pStyle w:val="Compact"/>
            </w:pPr>
            <w:r>
              <w:rPr>
                <w:rFonts w:ascii="Aptos" w:hAnsi="Aptos" w:cs="Aptos" w:eastAsia="Aptos"/>
                <w:color w:val="000000"/>
                <w:sz w:val="22"/>
              </w:rPr>
              <w:t xml:space="preserve">25.31x, 29.87x, 3.74x</w:t>
            </w:r>
          </w:p>
        </w:tc>
        <w:tc>
          <w:tcPr/>
          <w:p>
            <w:pPr>
              <w:pStyle w:val="Compact"/>
            </w:pPr>
            <w:r>
              <w:rPr>
                <w:rFonts w:ascii="Aptos" w:hAnsi="Aptos" w:cs="Aptos" w:eastAsia="Aptos"/>
                <w:color w:val="000000"/>
                <w:sz w:val="22"/>
              </w:rPr>
              <w:t xml:space="preserve">R</w:t>
            </w:r>
          </w:p>
        </w:tc>
        <w:tc>
          <w:tcPr/>
          <w:p>
            <w:pPr>
              <w:pStyle w:val="Compact"/>
            </w:pPr>
            <w:r>
              <w:rPr>
                <w:rFonts w:ascii="Aptos" w:hAnsi="Aptos" w:cs="Aptos" w:eastAsia="Aptos"/>
                <w:color w:val="000000"/>
                <w:sz w:val="22"/>
              </w:rPr>
              <w:t xml:space="preserve">S9</w:t>
            </w:r>
          </w:p>
        </w:tc>
      </w:tr>
      <w:tr>
        <w:tc>
          <w:tcPr/>
          <w:p>
            <w:pPr>
              <w:pStyle w:val="Compact"/>
            </w:pPr>
            <w:r>
              <w:rPr>
                <w:rFonts w:ascii="Aptos" w:hAnsi="Aptos" w:cs="Aptos" w:eastAsia="Aptos"/>
                <w:color w:val="000000"/>
                <w:sz w:val="22"/>
              </w:rPr>
              <w:t xml:space="preserve">Peer average multiples</w:t>
            </w:r>
          </w:p>
        </w:tc>
        <w:tc>
          <w:tcPr/>
          <w:p>
            <w:pPr>
              <w:pStyle w:val="Compact"/>
            </w:pPr>
            <w:r>
              <w:rPr>
                <w:rFonts w:ascii="Aptos" w:hAnsi="Aptos" w:cs="Aptos" w:eastAsia="Aptos"/>
                <w:color w:val="000000"/>
                <w:sz w:val="22"/>
              </w:rPr>
              <w:t xml:space="preserve">18.87x, 25.0x, 3.42x</w:t>
            </w:r>
          </w:p>
        </w:tc>
        <w:tc>
          <w:tcPr/>
          <w:p>
            <w:pPr>
              <w:pStyle w:val="Compact"/>
            </w:pPr>
            <w:r>
              <w:rPr>
                <w:rFonts w:ascii="Aptos" w:hAnsi="Aptos" w:cs="Aptos" w:eastAsia="Aptos"/>
                <w:color w:val="000000"/>
                <w:sz w:val="22"/>
              </w:rPr>
              <w:t xml:space="preserve">D</w:t>
            </w:r>
          </w:p>
        </w:tc>
        <w:tc>
          <w:tcPr/>
          <w:p>
            <w:pPr>
              <w:pStyle w:val="Compact"/>
            </w:pPr>
            <w:r>
              <w:rPr>
                <w:rFonts w:ascii="Aptos" w:hAnsi="Aptos" w:cs="Aptos" w:eastAsia="Aptos"/>
                <w:color w:val="000000"/>
                <w:sz w:val="22"/>
              </w:rPr>
              <w:t xml:space="preserve">S9</w:t>
            </w:r>
          </w:p>
        </w:tc>
      </w:tr>
      <w:tr>
        <w:tc>
          <w:tcPr/>
          <w:p>
            <w:pPr>
              <w:pStyle w:val="Compact"/>
            </w:pPr>
            <w:r>
              <w:rPr>
                <w:rFonts w:ascii="Aptos" w:hAnsi="Aptos" w:cs="Aptos" w:eastAsia="Aptos"/>
                <w:color w:val="000000"/>
                <w:sz w:val="22"/>
              </w:rPr>
              <w:t xml:space="preserve">Hershey’s discount to the peer average</w:t>
            </w:r>
          </w:p>
        </w:tc>
        <w:tc>
          <w:tcPr/>
          <w:p>
            <w:pPr>
              <w:pStyle w:val="Compact"/>
            </w:pPr>
            <w:r>
              <w:rPr>
                <w:rFonts w:ascii="Aptos" w:hAnsi="Aptos" w:cs="Aptos" w:eastAsia="Aptos"/>
                <w:color w:val="000000"/>
                <w:sz w:val="22"/>
              </w:rPr>
              <w:t xml:space="preserve">(26.9%), (6.4%), (10.8%)</w:t>
            </w:r>
          </w:p>
        </w:tc>
        <w:tc>
          <w:tcPr/>
          <w:p>
            <w:pPr>
              <w:pStyle w:val="Compact"/>
            </w:pPr>
            <w:r>
              <w:rPr>
                <w:rFonts w:ascii="Aptos" w:hAnsi="Aptos" w:cs="Aptos" w:eastAsia="Aptos"/>
                <w:color w:val="000000"/>
                <w:sz w:val="22"/>
              </w:rPr>
              <w:t xml:space="preserve">D</w:t>
            </w:r>
          </w:p>
        </w:tc>
        <w:tc>
          <w:tcPr/>
          <w:p>
            <w:pPr>
              <w:pStyle w:val="Compact"/>
            </w:pPr>
            <w:r>
              <w:rPr>
                <w:rFonts w:ascii="Aptos" w:hAnsi="Aptos" w:cs="Aptos" w:eastAsia="Aptos"/>
                <w:color w:val="000000"/>
                <w:sz w:val="22"/>
              </w:rPr>
              <w:t xml:space="preserve">S9</w:t>
            </w:r>
          </w:p>
        </w:tc>
      </w:tr>
      <w:tr>
        <w:tc>
          <w:tcPr/>
          <w:p>
            <w:pPr>
              <w:pStyle w:val="Compact"/>
            </w:pPr>
            <w:r>
              <w:rPr>
                <w:rFonts w:ascii="Aptos" w:hAnsi="Aptos" w:cs="Aptos" w:eastAsia="Aptos"/>
                <w:color w:val="000000"/>
                <w:sz w:val="22"/>
              </w:rPr>
              <w:t xml:space="preserve">Implied value per share from peer multiples</w:t>
            </w:r>
          </w:p>
        </w:tc>
        <w:tc>
          <w:tcPr/>
          <w:p>
            <w:pPr>
              <w:pStyle w:val="Compact"/>
            </w:pPr>
            <w:r>
              <w:rPr>
                <w:rFonts w:ascii="Aptos" w:hAnsi="Aptos" w:cs="Aptos" w:eastAsia="Aptos"/>
                <w:color w:val="000000"/>
                <w:sz w:val="22"/>
              </w:rPr>
              <w:t xml:space="preserve">P/E $261.19, EV/EBITDA $323.76, EV/Sales $213.50</w:t>
            </w:r>
          </w:p>
        </w:tc>
        <w:tc>
          <w:tcPr/>
          <w:p>
            <w:pPr>
              <w:pStyle w:val="Compact"/>
            </w:pPr>
            <w:r>
              <w:rPr>
                <w:rFonts w:ascii="Aptos" w:hAnsi="Aptos" w:cs="Aptos" w:eastAsia="Aptos"/>
                <w:color w:val="000000"/>
                <w:sz w:val="22"/>
              </w:rPr>
              <w:t xml:space="preserve">D</w:t>
            </w:r>
          </w:p>
        </w:tc>
        <w:tc>
          <w:tcPr/>
          <w:p>
            <w:pPr>
              <w:pStyle w:val="Compact"/>
            </w:pPr>
            <w:r>
              <w:rPr>
                <w:rFonts w:ascii="Aptos" w:hAnsi="Aptos" w:cs="Aptos" w:eastAsia="Aptos"/>
                <w:color w:val="000000"/>
                <w:sz w:val="22"/>
              </w:rPr>
              <w:t xml:space="preserve">S9</w:t>
            </w:r>
          </w:p>
        </w:tc>
      </w:tr>
      <w:tr>
        <w:tc>
          <w:tcPr/>
          <w:p>
            <w:pPr>
              <w:pStyle w:val="Compact"/>
            </w:pPr>
            <w:r>
              <w:rPr>
                <w:rFonts w:ascii="Aptos" w:hAnsi="Aptos" w:cs="Aptos" w:eastAsia="Aptos"/>
                <w:color w:val="000000"/>
                <w:sz w:val="22"/>
              </w:rPr>
              <w:t xml:space="preserve">Peers kept and dropped from the AI-proposed set</w:t>
            </w:r>
          </w:p>
        </w:tc>
        <w:tc>
          <w:tcPr/>
          <w:p>
            <w:pPr>
              <w:pStyle w:val="Compact"/>
            </w:pPr>
            <w:r>
              <w:rPr>
                <w:rFonts w:ascii="Aptos" w:hAnsi="Aptos" w:cs="Aptos" w:eastAsia="Aptos"/>
                <w:color w:val="000000"/>
                <w:sz w:val="22"/>
              </w:rPr>
              <w:t xml:space="preserve">3 kept, 5 dropped</w:t>
            </w:r>
          </w:p>
        </w:tc>
        <w:tc>
          <w:tcPr/>
          <w:p>
            <w:pPr>
              <w:pStyle w:val="Compact"/>
            </w:pPr>
            <w:r>
              <w:rPr>
                <w:rFonts w:ascii="Aptos" w:hAnsi="Aptos" w:cs="Aptos" w:eastAsia="Aptos"/>
                <w:color w:val="000000"/>
                <w:sz w:val="22"/>
              </w:rPr>
              <w:t xml:space="preserve">E (Chris Lester)</w:t>
            </w:r>
          </w:p>
        </w:tc>
        <w:tc>
          <w:tcPr/>
          <w:p>
            <w:pPr>
              <w:pStyle w:val="Compact"/>
            </w:pPr>
            <w:r>
              <w:rPr>
                <w:rFonts w:ascii="Aptos" w:hAnsi="Aptos" w:cs="Aptos" w:eastAsia="Aptos"/>
                <w:color w:val="000000"/>
                <w:sz w:val="22"/>
              </w:rPr>
              <w:t xml:space="preserve">This memo, section 2</w:t>
            </w:r>
          </w:p>
        </w:tc>
      </w:tr>
      <w:tr>
        <w:tc>
          <w:tcPr/>
          <w:p>
            <w:pPr>
              <w:pStyle w:val="Compact"/>
            </w:pPr>
            <w:r>
              <w:rPr>
                <w:rFonts w:ascii="Aptos" w:hAnsi="Aptos" w:cs="Aptos" w:eastAsia="Aptos"/>
                <w:color w:val="000000"/>
                <w:sz w:val="22"/>
              </w:rPr>
              <w:t xml:space="preserve">Scenario weights, bull, base, bear</w:t>
            </w:r>
          </w:p>
        </w:tc>
        <w:tc>
          <w:tcPr/>
          <w:p>
            <w:pPr>
              <w:pStyle w:val="Compact"/>
            </w:pPr>
            <w:r>
              <w:rPr>
                <w:rFonts w:ascii="Aptos" w:hAnsi="Aptos" w:cs="Aptos" w:eastAsia="Aptos"/>
                <w:color w:val="000000"/>
                <w:sz w:val="22"/>
              </w:rPr>
              <w:t xml:space="preserve">25%, 50%, 25%</w:t>
            </w:r>
          </w:p>
        </w:tc>
        <w:tc>
          <w:tcPr/>
          <w:p>
            <w:pPr>
              <w:pStyle w:val="Compact"/>
            </w:pPr>
            <w:r>
              <w:rPr>
                <w:rFonts w:ascii="Aptos" w:hAnsi="Aptos" w:cs="Aptos" w:eastAsia="Aptos"/>
                <w:color w:val="000000"/>
                <w:sz w:val="22"/>
              </w:rPr>
              <w:t xml:space="preserve">E (Chris Lester)</w:t>
            </w:r>
          </w:p>
        </w:tc>
        <w:tc>
          <w:tcPr/>
          <w:p>
            <w:pPr>
              <w:pStyle w:val="Compact"/>
            </w:pPr>
            <w:r>
              <w:rPr>
                <w:rFonts w:ascii="Aptos" w:hAnsi="Aptos" w:cs="Aptos" w:eastAsia="Aptos"/>
                <w:color w:val="000000"/>
                <w:sz w:val="22"/>
              </w:rPr>
              <w:t xml:space="preserve">This memo</w:t>
            </w:r>
          </w:p>
        </w:tc>
      </w:tr>
      <w:tr>
        <w:tc>
          <w:tcPr/>
          <w:p>
            <w:pPr>
              <w:pStyle w:val="Compact"/>
            </w:pPr>
            <w:r>
              <w:rPr>
                <w:rFonts w:ascii="Aptos" w:hAnsi="Aptos" w:cs="Aptos" w:eastAsia="Aptos"/>
                <w:color w:val="000000"/>
                <w:sz w:val="22"/>
              </w:rPr>
              <w:t xml:space="preserve">Bull and bear values per share</w:t>
            </w:r>
          </w:p>
        </w:tc>
        <w:tc>
          <w:tcPr/>
          <w:p>
            <w:pPr>
              <w:pStyle w:val="Compact"/>
            </w:pPr>
            <w:r>
              <w:rPr>
                <w:rFonts w:ascii="Aptos" w:hAnsi="Aptos" w:cs="Aptos" w:eastAsia="Aptos"/>
                <w:color w:val="000000"/>
                <w:sz w:val="22"/>
              </w:rPr>
              <w:t xml:space="preserve">Bull $311.15 and $212.70; bear $124.84 and $158.38</w:t>
            </w:r>
          </w:p>
        </w:tc>
        <w:tc>
          <w:tcPr/>
          <w:p>
            <w:pPr>
              <w:pStyle w:val="Compact"/>
            </w:pPr>
            <w:r>
              <w:rPr>
                <w:rFonts w:ascii="Aptos" w:hAnsi="Aptos" w:cs="Aptos" w:eastAsia="Aptos"/>
                <w:color w:val="000000"/>
                <w:sz w:val="22"/>
              </w:rPr>
              <w:t xml:space="preserve">D</w:t>
            </w:r>
          </w:p>
        </w:tc>
        <w:tc>
          <w:tcPr/>
          <w:p>
            <w:pPr>
              <w:pStyle w:val="Compact"/>
            </w:pPr>
            <w:r>
              <w:rPr>
                <w:rFonts w:ascii="Aptos" w:hAnsi="Aptos" w:cs="Aptos" w:eastAsia="Aptos"/>
                <w:color w:val="000000"/>
                <w:sz w:val="22"/>
              </w:rPr>
              <w:t xml:space="preserve">S9</w:t>
            </w:r>
          </w:p>
        </w:tc>
      </w:tr>
      <w:tr>
        <w:tc>
          <w:tcPr/>
          <w:p>
            <w:pPr>
              <w:pStyle w:val="Compact"/>
            </w:pPr>
            <w:r>
              <w:rPr>
                <w:rFonts w:ascii="Aptos" w:hAnsi="Aptos" w:cs="Aptos" w:eastAsia="Aptos"/>
                <w:color w:val="000000"/>
                <w:sz w:val="22"/>
              </w:rPr>
              <w:t xml:space="preserve">Probability-weighted value per share</w:t>
            </w:r>
          </w:p>
        </w:tc>
        <w:tc>
          <w:tcPr/>
          <w:p>
            <w:pPr>
              <w:pStyle w:val="Compact"/>
            </w:pPr>
            <w:r>
              <w:rPr>
                <w:rFonts w:ascii="Aptos" w:hAnsi="Aptos" w:cs="Aptos" w:eastAsia="Aptos"/>
                <w:color w:val="000000"/>
                <w:sz w:val="22"/>
              </w:rPr>
              <w:t xml:space="preserve">$218.29 perpetuity, $189.28 exit multiple</w:t>
            </w:r>
          </w:p>
        </w:tc>
        <w:tc>
          <w:tcPr/>
          <w:p>
            <w:pPr>
              <w:pStyle w:val="Compact"/>
            </w:pPr>
            <w:r>
              <w:rPr>
                <w:rFonts w:ascii="Aptos" w:hAnsi="Aptos" w:cs="Aptos" w:eastAsia="Aptos"/>
                <w:color w:val="000000"/>
                <w:sz w:val="22"/>
              </w:rPr>
              <w:t xml:space="preserve">D</w:t>
            </w:r>
          </w:p>
        </w:tc>
        <w:tc>
          <w:tcPr/>
          <w:p>
            <w:pPr>
              <w:pStyle w:val="Compact"/>
            </w:pPr>
            <w:r>
              <w:rPr>
                <w:rFonts w:ascii="Aptos" w:hAnsi="Aptos" w:cs="Aptos" w:eastAsia="Aptos"/>
                <w:color w:val="000000"/>
                <w:sz w:val="22"/>
              </w:rPr>
              <w:t xml:space="preserve">S9</w:t>
            </w:r>
          </w:p>
        </w:tc>
      </w:tr>
      <w:tr>
        <w:tc>
          <w:tcPr/>
          <w:p>
            <w:pPr>
              <w:pStyle w:val="Compact"/>
            </w:pPr>
            <w:r>
              <w:rPr>
                <w:rFonts w:ascii="Aptos" w:hAnsi="Aptos" w:cs="Aptos" w:eastAsia="Aptos"/>
                <w:color w:val="000000"/>
                <w:sz w:val="22"/>
              </w:rPr>
              <w:t xml:space="preserve">The call</w:t>
            </w:r>
          </w:p>
        </w:tc>
        <w:tc>
          <w:tcPr/>
          <w:p>
            <w:pPr>
              <w:pStyle w:val="Compact"/>
            </w:pPr>
            <w:r>
              <w:rPr>
                <w:rFonts w:ascii="Aptos" w:hAnsi="Aptos" w:cs="Aptos" w:eastAsia="Aptos"/>
                <w:color w:val="000000"/>
                <w:sz w:val="22"/>
              </w:rPr>
              <w:t xml:space="preserve">Buy below $189, avoid above $218</w:t>
            </w:r>
          </w:p>
        </w:tc>
        <w:tc>
          <w:tcPr/>
          <w:p>
            <w:pPr>
              <w:pStyle w:val="Compact"/>
            </w:pPr>
            <w:r>
              <w:rPr>
                <w:rFonts w:ascii="Aptos" w:hAnsi="Aptos" w:cs="Aptos" w:eastAsia="Aptos"/>
                <w:color w:val="000000"/>
                <w:sz w:val="22"/>
              </w:rPr>
              <w:t xml:space="preserve">E (Chris Lester)</w:t>
            </w:r>
          </w:p>
        </w:tc>
        <w:tc>
          <w:tcPr/>
          <w:p>
            <w:pPr>
              <w:pStyle w:val="Compact"/>
            </w:pPr>
            <w:r>
              <w:rPr>
                <w:rFonts w:ascii="Aptos" w:hAnsi="Aptos" w:cs="Aptos" w:eastAsia="Aptos"/>
                <w:color w:val="000000"/>
                <w:sz w:val="22"/>
              </w:rPr>
              <w:t xml:space="preserve">This memo</w:t>
            </w:r>
          </w:p>
        </w:tc>
      </w:tr>
    </w:tbl>
    <w:bookmarkEnd w:id="15"/>
    <w:bookmarkStart w:id="16" w:name="sources"/>
    <w:p>
      <w:pPr>
        <w:pStyle w:val="Heading2"/>
      </w:pPr>
      <w:r>
        <w:rPr>
          <w:rFonts w:ascii="Aptos" w:hAnsi="Aptos" w:cs="Aptos" w:eastAsia="Aptos"/>
          <w:color w:val="000000"/>
          <w:sz w:val="28"/>
        </w:rPr>
        <w:t xml:space="preserve">Sources</w:t>
      </w:r>
    </w:p>
    <w:tbl>
      <w:tblPr>
        <w:tblStyle w:val="Table"/>
        <w:tblW w:type="pct" w:w="5000"/>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on"/>
        </w:trPr>
        <w:tc>
          <w:tcPr/>
          <w:p>
            <w:pPr>
              <w:pStyle w:val="Compact"/>
            </w:pPr>
            <w:r>
              <w:rPr>
                <w:rFonts w:ascii="Aptos" w:hAnsi="Aptos" w:cs="Aptos" w:eastAsia="Aptos"/>
                <w:color w:val="000000"/>
                <w:sz w:val="22"/>
              </w:rPr>
              <w:t xml:space="preserve">id</w:t>
            </w:r>
          </w:p>
        </w:tc>
        <w:tc>
          <w:tcPr/>
          <w:p>
            <w:pPr>
              <w:pStyle w:val="Compact"/>
            </w:pPr>
            <w:r>
              <w:rPr>
                <w:rFonts w:ascii="Aptos" w:hAnsi="Aptos" w:cs="Aptos" w:eastAsia="Aptos"/>
                <w:color w:val="000000"/>
                <w:sz w:val="22"/>
              </w:rPr>
              <w:t xml:space="preserve">Source</w:t>
            </w:r>
          </w:p>
        </w:tc>
        <w:tc>
          <w:tcPr/>
          <w:p>
            <w:pPr>
              <w:pStyle w:val="Compact"/>
            </w:pPr>
            <w:r>
              <w:rPr>
                <w:rFonts w:ascii="Aptos" w:hAnsi="Aptos" w:cs="Aptos" w:eastAsia="Aptos"/>
                <w:color w:val="000000"/>
                <w:sz w:val="22"/>
              </w:rPr>
              <w:t xml:space="preserve">Publisher</w:t>
            </w:r>
          </w:p>
        </w:tc>
        <w:tc>
          <w:tcPr/>
          <w:p>
            <w:pPr>
              <w:pStyle w:val="Compact"/>
            </w:pPr>
            <w:r>
              <w:rPr>
                <w:rFonts w:ascii="Aptos" w:hAnsi="Aptos" w:cs="Aptos" w:eastAsia="Aptos"/>
                <w:color w:val="000000"/>
                <w:sz w:val="22"/>
              </w:rPr>
              <w:t xml:space="preserve">Date</w:t>
            </w:r>
          </w:p>
        </w:tc>
        <w:tc>
          <w:tcPr/>
          <w:p>
            <w:pPr>
              <w:pStyle w:val="Compact"/>
            </w:pPr>
            <w:r>
              <w:rPr>
                <w:rFonts w:ascii="Aptos" w:hAnsi="Aptos" w:cs="Aptos" w:eastAsia="Aptos"/>
                <w:color w:val="000000"/>
                <w:sz w:val="22"/>
              </w:rPr>
              <w:t xml:space="preserve">Link</w:t>
            </w:r>
          </w:p>
        </w:tc>
      </w:tr>
      <w:tr>
        <w:tc>
          <w:tcPr/>
          <w:p>
            <w:pPr>
              <w:pStyle w:val="Compact"/>
            </w:pPr>
            <w:r>
              <w:rPr>
                <w:rFonts w:ascii="Aptos" w:hAnsi="Aptos" w:cs="Aptos" w:eastAsia="Aptos"/>
                <w:color w:val="000000"/>
                <w:sz w:val="22"/>
              </w:rPr>
              <w:t xml:space="preserve">S1</w:t>
            </w:r>
          </w:p>
        </w:tc>
        <w:tc>
          <w:tcPr/>
          <w:p>
            <w:pPr>
              <w:pStyle w:val="Compact"/>
            </w:pPr>
            <w:r>
              <w:rPr>
                <w:rFonts w:ascii="Aptos" w:hAnsi="Aptos" w:cs="Aptos" w:eastAsia="Aptos"/>
                <w:color w:val="000000"/>
                <w:sz w:val="22"/>
              </w:rPr>
              <w:t xml:space="preserve">The Hershey Company Form 10-K for fiscal 2025, accession 0001628280-26-008586</w:t>
            </w:r>
          </w:p>
        </w:tc>
        <w:tc>
          <w:tcPr/>
          <w:p>
            <w:pPr>
              <w:pStyle w:val="Compact"/>
            </w:pPr>
            <w:r>
              <w:rPr>
                <w:rFonts w:ascii="Aptos" w:hAnsi="Aptos" w:cs="Aptos" w:eastAsia="Aptos"/>
                <w:color w:val="000000"/>
                <w:sz w:val="22"/>
              </w:rPr>
              <w:t xml:space="preserve">SEC EDGAR</w:t>
            </w:r>
          </w:p>
        </w:tc>
        <w:tc>
          <w:tcPr/>
          <w:p>
            <w:pPr>
              <w:pStyle w:val="Compact"/>
            </w:pPr>
            <w:r>
              <w:rPr>
                <w:rFonts w:ascii="Aptos" w:hAnsi="Aptos" w:cs="Aptos" w:eastAsia="Aptos"/>
                <w:color w:val="000000"/>
                <w:sz w:val="22"/>
              </w:rPr>
              <w:t xml:space="preserve">2026-02-17</w:t>
            </w:r>
          </w:p>
        </w:tc>
        <w:tc>
          <w:tcPr/>
          <w:p>
            <w:pPr>
              <w:pStyle w:val="Compact"/>
            </w:pPr>
            <w:r>
              <w:rPr>
                <w:rFonts w:ascii="Aptos" w:hAnsi="Aptos" w:cs="Aptos" w:eastAsia="Aptos"/>
                <w:color w:val="000000"/>
                <w:sz w:val="22"/>
              </w:rPr>
              <w:t xml:space="preserve">https://www.sec.gov/Archives/edgar/data/47111/000162828026008586/hsy-20251231.htm</w:t>
            </w:r>
          </w:p>
        </w:tc>
      </w:tr>
      <w:tr>
        <w:tc>
          <w:tcPr/>
          <w:p>
            <w:pPr>
              <w:pStyle w:val="Compact"/>
            </w:pPr>
            <w:r>
              <w:rPr>
                <w:rFonts w:ascii="Aptos" w:hAnsi="Aptos" w:cs="Aptos" w:eastAsia="Aptos"/>
                <w:color w:val="000000"/>
                <w:sz w:val="22"/>
              </w:rPr>
              <w:t xml:space="preserve">S3</w:t>
            </w:r>
          </w:p>
        </w:tc>
        <w:tc>
          <w:tcPr/>
          <w:p>
            <w:pPr>
              <w:pStyle w:val="Compact"/>
            </w:pPr>
            <w:r>
              <w:rPr>
                <w:rFonts w:ascii="Aptos" w:hAnsi="Aptos" w:cs="Aptos" w:eastAsia="Aptos"/>
                <w:color w:val="000000"/>
                <w:sz w:val="22"/>
              </w:rPr>
              <w:t xml:space="preserve">Hershey (HSY) Q2 2026 earnings call transcript</w:t>
            </w:r>
          </w:p>
        </w:tc>
        <w:tc>
          <w:tcPr/>
          <w:p>
            <w:pPr>
              <w:pStyle w:val="Compact"/>
            </w:pPr>
            <w:r>
              <w:rPr>
                <w:rFonts w:ascii="Aptos" w:hAnsi="Aptos" w:cs="Aptos" w:eastAsia="Aptos"/>
                <w:color w:val="000000"/>
                <w:sz w:val="22"/>
              </w:rPr>
              <w:t xml:space="preserve">The Motley Fool</w:t>
            </w:r>
          </w:p>
        </w:tc>
        <w:tc>
          <w:tcPr/>
          <w:p>
            <w:pPr>
              <w:pStyle w:val="Compact"/>
            </w:pPr>
            <w:r>
              <w:rPr>
                <w:rFonts w:ascii="Aptos" w:hAnsi="Aptos" w:cs="Aptos" w:eastAsia="Aptos"/>
                <w:color w:val="000000"/>
                <w:sz w:val="22"/>
              </w:rPr>
              <w:t xml:space="preserve">2026-07-30</w:t>
            </w:r>
          </w:p>
        </w:tc>
        <w:tc>
          <w:tcPr/>
          <w:p>
            <w:pPr>
              <w:pStyle w:val="Compact"/>
            </w:pPr>
            <w:r>
              <w:rPr>
                <w:rFonts w:ascii="Aptos" w:hAnsi="Aptos" w:cs="Aptos" w:eastAsia="Aptos"/>
                <w:color w:val="000000"/>
                <w:sz w:val="22"/>
              </w:rPr>
              <w:t xml:space="preserve">https://www.fool.com/earnings/call-transcripts/2026/07/30/hershey-hsy-q2-2026-earnings-call-transcript/</w:t>
            </w:r>
          </w:p>
        </w:tc>
      </w:tr>
      <w:tr>
        <w:tc>
          <w:tcPr/>
          <w:p>
            <w:pPr>
              <w:pStyle w:val="Compact"/>
            </w:pPr>
            <w:r>
              <w:rPr>
                <w:rFonts w:ascii="Aptos" w:hAnsi="Aptos" w:cs="Aptos" w:eastAsia="Aptos"/>
                <w:color w:val="000000"/>
                <w:sz w:val="22"/>
              </w:rPr>
              <w:t xml:space="preserve">S9</w:t>
            </w:r>
          </w:p>
        </w:tc>
        <w:tc>
          <w:tcPr/>
          <w:p>
            <w:pPr>
              <w:pStyle w:val="Compact"/>
            </w:pPr>
            <w:r>
              <w:rPr>
                <w:rFonts w:ascii="Aptos" w:hAnsi="Aptos" w:cs="Aptos" w:eastAsia="Aptos"/>
                <w:color w:val="000000"/>
                <w:sz w:val="22"/>
              </w:rPr>
              <w:t xml:space="preserve">Team Q&amp;D workbook for Hershey, Relative Valuation and DCF 1-Pager tabs</w:t>
            </w:r>
          </w:p>
        </w:tc>
        <w:tc>
          <w:tcPr/>
          <w:p>
            <w:pPr>
              <w:pStyle w:val="Compact"/>
            </w:pPr>
            <w:r>
              <w:rPr>
                <w:rFonts w:ascii="Aptos" w:hAnsi="Aptos" w:cs="Aptos" w:eastAsia="Aptos"/>
                <w:color w:val="000000"/>
                <w:sz w:val="22"/>
              </w:rPr>
              <w:t xml:space="preserve">FIN 5370 HSY team</w:t>
            </w:r>
          </w:p>
        </w:tc>
        <w:tc>
          <w:tcPr/>
          <w:p>
            <w:pPr>
              <w:pStyle w:val="Compact"/>
            </w:pPr>
            <w:r>
              <w:rPr>
                <w:rFonts w:ascii="Aptos" w:hAnsi="Aptos" w:cs="Aptos" w:eastAsia="Aptos"/>
                <w:color w:val="000000"/>
                <w:sz w:val="22"/>
              </w:rPr>
              <w:t xml:space="preserve">2026-10-07</w:t>
            </w:r>
          </w:p>
        </w:tc>
        <w:tc>
          <w:tcPr/>
          <w:p>
            <w:pPr>
              <w:pStyle w:val="Compact"/>
            </w:pPr>
            <w:r>
              <w:rPr>
                <w:rFonts w:ascii="Aptos" w:hAnsi="Aptos" w:cs="Aptos" w:eastAsia="Aptos"/>
                <w:color w:val="000000"/>
                <w:sz w:val="22"/>
              </w:rPr>
              <w:t xml:space="preserve">workbook/QD-HSY.xlsx</w:t>
            </w:r>
          </w:p>
        </w:tc>
      </w:tr>
    </w:tbl>
    <w:bookmarkEnd w:id="16"/>
    <w:bookmarkStart w:id="17" w:name="numbers-we-still-need"/>
    <w:p>
      <w:pPr>
        <w:pStyle w:val="Heading2"/>
      </w:pPr>
      <w:r>
        <w:rPr>
          <w:rFonts w:ascii="Aptos" w:hAnsi="Aptos" w:cs="Aptos" w:eastAsia="Aptos"/>
          <w:color w:val="000000"/>
          <w:sz w:val="28"/>
        </w:rPr>
        <w:t xml:space="preserve">Numbers we still need</w:t>
      </w:r>
    </w:p>
    <w:p>
      <w:pPr>
        <w:pStyle w:val="Compact"/>
        <w:numPr>
          <w:ilvl w:val="0"/>
          <w:numId w:val="1003"/>
        </w:numPr>
      </w:pPr>
      <w:r>
        <w:rPr>
          <w:rFonts w:ascii="Aptos" w:hAnsi="Aptos" w:cs="Aptos" w:eastAsia="Aptos"/>
          <w:color w:val="000000"/>
          <w:sz w:val="24"/>
        </w:rPr>
        <w:t xml:space="preserve">None.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color w:val="000000"/>
    </w:rPr>
  </w:style>
  <w:style w:styleId="BodyText" w:type="paragraph">
    <w:name w:val="Body Text"/>
    <w:basedOn w:val="Normal"/>
    <w:link w:val="BodyTextChar"/>
    <w:qFormat/>
    <w:pPr>
      <w:spacing w:after="180" w:before="180"/>
    </w:pPr>
    <w:rPr>
      <w:rFonts w:ascii="Aptos" w:hAnsi="Aptos"/>
      <w:color w:val="000000"/>
    </w:rPr>
  </w:style>
  <w:style w:customStyle="1" w:styleId="FirstParagraph" w:type="paragraph">
    <w:name w:val="First Paragraph"/>
    <w:basedOn w:val="BodyText"/>
    <w:next w:val="BodyText"/>
    <w:qFormat/>
    <w:rPr>
      <w:rFonts w:ascii="Aptos" w:hAnsi="Aptos"/>
      <w:color w:val="000000"/>
    </w:rPr>
  </w:style>
  <w:style w:customStyle="1" w:styleId="Compact" w:type="paragraph">
    <w:name w:val="Compact"/>
    <w:basedOn w:val="BodyText"/>
    <w:qFormat/>
    <w:pPr>
      <w:spacing w:after="36" w:before="36"/>
    </w:pPr>
    <w:rPr>
      <w:rFonts w:ascii="Aptos" w:hAnsi="Aptos"/>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ptos" w:hAnsi="Aptos"/>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Aptos" w:hAnsi="Aptos"/>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Aptos" w:hAnsi="Aptos"/>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Aptos" w:hAnsi="Aptos"/>
      <w:color w:val="000000"/>
      <w:spacing w:val="15"/>
      <w:sz w:val="28"/>
      <w:szCs w:val="28"/>
    </w:rPr>
  </w:style>
  <w:style w:customStyle="1" w:styleId="Author" w:type="paragraph">
    <w:name w:val="Author"/>
    <w:basedOn w:val="Title"/>
    <w:next w:val="BodyText"/>
    <w:qFormat/>
    <w:pPr>
      <w:keepNext/>
      <w:keepLines/>
    </w:pPr>
    <w:rPr>
      <w:rFonts w:ascii="Aptos" w:hAnsi="Aptos"/>
      <w:color w:val="000000"/>
      <w:sz w:val="24"/>
      <w:szCs w:val="24"/>
    </w:rPr>
  </w:style>
  <w:style w:styleId="Date" w:type="paragraph">
    <w:name w:val="Date"/>
    <w:basedOn w:val="Title"/>
    <w:next w:val="BodyText"/>
    <w:qFormat/>
    <w:pPr>
      <w:keepNext/>
      <w:keepLines/>
    </w:pPr>
    <w:rPr>
      <w:rFonts w:ascii="Aptos" w:hAnsi="Aptos"/>
      <w:color w:val="000000"/>
      <w:sz w:val="24"/>
      <w:szCs w:val="24"/>
    </w:rPr>
  </w:style>
  <w:style w:customStyle="1" w:styleId="AbstractTitle" w:type="paragraph">
    <w:name w:val="Abstract Title"/>
    <w:basedOn w:val="Normal"/>
    <w:next w:val="Abstract"/>
    <w:qFormat/>
    <w:pPr>
      <w:keepNext/>
      <w:keepLines/>
      <w:spacing w:after="0" w:before="300"/>
      <w:jc w:val="center"/>
    </w:pPr>
    <w:rPr>
      <w:rFonts w:ascii="Aptos" w:hAnsi="Aptos"/>
      <w:b/>
      <w:color w:val="000000"/>
      <w:sz w:val="20"/>
      <w:szCs w:val="20"/>
    </w:rPr>
  </w:style>
  <w:style w:customStyle="1" w:styleId="Abstract" w:type="paragraph">
    <w:name w:val="Abstract"/>
    <w:basedOn w:val="Normal"/>
    <w:next w:val="BodyText"/>
    <w:qFormat/>
    <w:pPr>
      <w:keepNext/>
      <w:keepLines/>
      <w:spacing w:after="300" w:before="100"/>
    </w:pPr>
    <w:rPr>
      <w:rFonts w:ascii="Aptos" w:hAnsi="Aptos"/>
      <w:color w:val="000000"/>
      <w:sz w:val="20"/>
      <w:szCs w:val="20"/>
    </w:rPr>
  </w:style>
  <w:style w:styleId="Bibliography" w:type="paragraph">
    <w:name w:val="Bibliography"/>
    <w:basedOn w:val="Normal"/>
    <w:next w:val="Bibliography"/>
    <w:qFormat/>
    <w:pPr/>
    <w:rPr>
      <w:rFonts w:ascii="Aptos" w:hAnsi="Aptos"/>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ptos" w:hAnsi="Aptos"/>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ptos" w:hAnsi="Aptos"/>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ptos" w:hAnsi="Apto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Aptos" w:hAnsi="Aptos"/>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Aptos" w:hAnsi="Aptos"/>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Aptos" w:hAnsi="Aptos"/>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Aptos" w:hAnsi="Aptos"/>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Aptos" w:hAnsi="Aptos"/>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Aptos" w:hAnsi="Aptos"/>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Aptos" w:hAnsi="Aptos"/>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Aptos" w:hAnsi="Aptos"/>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Aptos" w:hAnsi="Aptos"/>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Aptos" w:hAnsi="Aptos"/>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Aptos" w:hAnsi="Aptos"/>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Aptos" w:hAnsi="Aptos"/>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Aptos" w:hAnsi="Aptos"/>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Aptos" w:hAnsi="Aptos"/>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Aptos" w:hAnsi="Aptos"/>
      <w:color w:val="000000"/>
    </w:rPr>
  </w:style>
  <w:style w:styleId="BlockText" w:type="paragraph">
    <w:name w:val="Block Text"/>
    <w:basedOn w:val="BodyText"/>
    <w:next w:val="BodyText"/>
    <w:uiPriority w:val="9"/>
    <w:unhideWhenUsed/>
    <w:qFormat/>
    <w:pPr>
      <w:spacing w:after="100" w:before="100"/>
      <w:ind w:firstLine="0" w:left="480" w:right="480"/>
    </w:pPr>
    <w:rPr>
      <w:rFonts w:ascii="Aptos" w:hAnsi="Aptos"/>
      <w:color w:val="000000"/>
    </w:rPr>
  </w:style>
  <w:style w:styleId="FootnoteText" w:type="paragraph">
    <w:name w:val="Footnote Text"/>
    <w:basedOn w:val="Normal"/>
    <w:next w:val="FootnoteText"/>
    <w:uiPriority w:val="9"/>
    <w:unhideWhenUsed/>
    <w:qFormat/>
    <w:rPr>
      <w:rFonts w:ascii="Aptos" w:hAnsi="Aptos"/>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Aptos" w:hAnsi="Aptos"/>
      <w:color w:val="000000"/>
    </w:rPr>
  </w:style>
  <w:style w:default="1" w:styleId="DefaultParagraphFont" w:type="character">
    <w:name w:val="Default Paragraph Font"/>
    <w:semiHidden/>
    <w:unhideWhenUsed/>
    <w:rPr>
      <w:rFonts w:ascii="Aptos" w:hAnsi="Aptos"/>
      <w:color w:val="000000"/>
    </w:rPr>
  </w:style>
  <w:style w:default="1" w:styleId="Table" w:type="table">
    <w:name w:val="Table"/>
    <w:basedOn w:val="TableNormal"/>
    <w:semiHidden/>
    <w:unhideWhenUsed/>
    <w:qFormat/>
    <w:rPr>
      <w:rFonts w:ascii="Aptos" w:hAnsi="Aptos"/>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ptos" w:hAnsi="Aptos"/>
      <w:b/>
      <w:color w:val="000000"/>
    </w:rPr>
  </w:style>
  <w:style w:customStyle="1" w:styleId="Definition" w:type="paragraph">
    <w:name w:val="Definition"/>
    <w:basedOn w:val="Normal"/>
    <w:rPr>
      <w:rFonts w:ascii="Aptos" w:hAnsi="Aptos"/>
      <w:color w:val="000000"/>
    </w:rPr>
  </w:style>
  <w:style w:styleId="Caption" w:type="paragraph">
    <w:name w:val="Caption"/>
    <w:basedOn w:val="Normal"/>
    <w:link w:val="BodyTextChar"/>
    <w:pPr>
      <w:spacing w:after="120" w:before="0"/>
    </w:pPr>
    <w:rPr>
      <w:rFonts w:ascii="Aptos" w:hAnsi="Aptos"/>
      <w:i/>
      <w:color w:val="000000"/>
    </w:rPr>
  </w:style>
  <w:style w:customStyle="1" w:styleId="TableCaption" w:type="paragraph">
    <w:name w:val="Table Caption"/>
    <w:basedOn w:val="Caption"/>
    <w:pPr>
      <w:keepNext/>
    </w:pPr>
    <w:rPr>
      <w:rFonts w:ascii="Aptos" w:hAnsi="Aptos"/>
      <w:color w:val="000000"/>
    </w:rPr>
  </w:style>
  <w:style w:customStyle="1" w:styleId="ImageCaption" w:type="paragraph">
    <w:name w:val="Image Caption"/>
    <w:basedOn w:val="Caption"/>
    <w:rPr>
      <w:rFonts w:ascii="Aptos" w:hAnsi="Aptos"/>
      <w:color w:val="000000"/>
    </w:rPr>
  </w:style>
  <w:style w:customStyle="1" w:styleId="Figure" w:type="paragraph">
    <w:name w:val="Figure"/>
    <w:basedOn w:val="Normal"/>
    <w:rPr>
      <w:rFonts w:ascii="Aptos" w:hAnsi="Aptos"/>
      <w:color w:val="000000"/>
    </w:rPr>
  </w:style>
  <w:style w:customStyle="1" w:styleId="CaptionedFigure" w:type="paragraph">
    <w:name w:val="Captioned Figure"/>
    <w:basedOn w:val="Figure"/>
    <w:pPr>
      <w:keepNext/>
    </w:pPr>
    <w:rPr>
      <w:rFonts w:ascii="Aptos" w:hAnsi="Aptos"/>
      <w:color w:val="000000"/>
    </w:rPr>
  </w:style>
  <w:style w:customStyle="1" w:styleId="BodyTextChar" w:type="character">
    <w:name w:val="Body Text Char"/>
    <w:basedOn w:val="DefaultParagraphFont"/>
    <w:link w:val="BodyText"/>
    <w:rPr>
      <w:rFonts w:ascii="Aptos" w:hAnsi="Aptos"/>
      <w:color w:val="000000"/>
    </w:rPr>
  </w:style>
  <w:style w:customStyle="1" w:styleId="VerbatimChar" w:type="character">
    <w:name w:val="Verbatim Char"/>
    <w:basedOn w:val="BodyTextChar"/>
    <w:rPr>
      <w:rFonts w:ascii="Aptos" w:hAnsi="Aptos"/>
      <w:color w:val="000000"/>
      <w:sz w:val="22"/>
    </w:rPr>
  </w:style>
  <w:style w:customStyle="1" w:styleId="SectionNumber" w:type="character">
    <w:name w:val="Section Number"/>
    <w:basedOn w:val="BodyTextChar"/>
    <w:rPr>
      <w:rFonts w:ascii="Aptos" w:hAnsi="Aptos"/>
      <w:color w:val="000000"/>
    </w:rPr>
  </w:style>
  <w:style w:styleId="FootnoteReference" w:type="character">
    <w:name w:val="Footnote Reference"/>
    <w:basedOn w:val="BodyTextChar"/>
    <w:rPr>
      <w:rFonts w:ascii="Aptos" w:hAnsi="Aptos"/>
      <w:color w:val="000000"/>
      <w:vertAlign w:val="superscript"/>
    </w:rPr>
  </w:style>
  <w:style w:styleId="Hyperlink" w:type="character">
    <w:name w:val="Hyperlink"/>
    <w:basedOn w:val="BodyTextChar"/>
    <w:rPr>
      <w:rFonts w:ascii="Aptos" w:hAnsi="Aptos"/>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ptos" w:hAnsi="Aptos"/>
      <w:b w:val="0"/>
      <w:bCs w:val="0"/>
      <w:color w:val="000000"/>
    </w:rPr>
  </w:style>
  <w:style w:type="paragraph" w:customStyle="1" w:styleId="SourceCode">
    <w:name w:val="Source Code"/>
    <w:basedOn w:val="Normal"/>
    <w:link w:val="VerbatimChar"/>
    <w:pPr>
      <w:wordWrap w:val="off"/>
    </w:pPr>
    <w:rPr>
      <w:rFonts w:ascii="Aptos" w:hAnsi="Aptos"/>
      <w:color w:val="000000"/>
    </w:rPr>
  </w:style>
  <w:style w:type="character" w:customStyle="1" w:styleId="KeywordTok">
    <w:name w:val="KeywordTok"/>
    <w:basedOn w:val="VerbatimChar"/>
    <w:rPr>
      <w:rFonts w:ascii="Aptos" w:hAnsi="Aptos"/>
      <w:b/>
      <w:color w:val="000000"/>
    </w:rPr>
  </w:style>
  <w:style w:type="character" w:customStyle="1" w:styleId="DataTypeTok">
    <w:name w:val="DataTypeTok"/>
    <w:basedOn w:val="VerbatimChar"/>
    <w:rPr>
      <w:rFonts w:ascii="Aptos" w:hAnsi="Aptos"/>
      <w:color w:val="000000"/>
    </w:rPr>
  </w:style>
  <w:style w:type="character" w:customStyle="1" w:styleId="DecValTok">
    <w:name w:val="DecValTok"/>
    <w:basedOn w:val="VerbatimChar"/>
    <w:rPr>
      <w:rFonts w:ascii="Aptos" w:hAnsi="Aptos"/>
      <w:color w:val="000000"/>
    </w:rPr>
  </w:style>
  <w:style w:type="character" w:customStyle="1" w:styleId="BaseNTok">
    <w:name w:val="BaseNTok"/>
    <w:basedOn w:val="VerbatimChar"/>
    <w:rPr>
      <w:rFonts w:ascii="Aptos" w:hAnsi="Aptos"/>
      <w:color w:val="000000"/>
    </w:rPr>
  </w:style>
  <w:style w:type="character" w:customStyle="1" w:styleId="FloatTok">
    <w:name w:val="FloatTok"/>
    <w:basedOn w:val="VerbatimChar"/>
    <w:rPr>
      <w:rFonts w:ascii="Aptos" w:hAnsi="Aptos"/>
      <w:color w:val="000000"/>
    </w:rPr>
  </w:style>
  <w:style w:type="character" w:customStyle="1" w:styleId="ConstantTok">
    <w:name w:val="ConstantTok"/>
    <w:basedOn w:val="VerbatimChar"/>
    <w:rPr>
      <w:rFonts w:ascii="Aptos" w:hAnsi="Aptos"/>
      <w:color w:val="000000"/>
    </w:rPr>
  </w:style>
  <w:style w:type="character" w:customStyle="1" w:styleId="CharTok">
    <w:name w:val="CharTok"/>
    <w:basedOn w:val="VerbatimChar"/>
    <w:rPr>
      <w:rFonts w:ascii="Aptos" w:hAnsi="Aptos"/>
      <w:color w:val="000000"/>
    </w:rPr>
  </w:style>
  <w:style w:type="character" w:customStyle="1" w:styleId="SpecialCharTok">
    <w:name w:val="SpecialCharTok"/>
    <w:basedOn w:val="VerbatimChar"/>
    <w:rPr>
      <w:rFonts w:ascii="Aptos" w:hAnsi="Aptos"/>
      <w:color w:val="000000"/>
    </w:rPr>
  </w:style>
  <w:style w:type="character" w:customStyle="1" w:styleId="StringTok">
    <w:name w:val="StringTok"/>
    <w:basedOn w:val="VerbatimChar"/>
    <w:rPr>
      <w:rFonts w:ascii="Aptos" w:hAnsi="Aptos"/>
      <w:color w:val="000000"/>
    </w:rPr>
  </w:style>
  <w:style w:type="character" w:customStyle="1" w:styleId="VerbatimStringTok">
    <w:name w:val="VerbatimStringTok"/>
    <w:basedOn w:val="VerbatimChar"/>
    <w:rPr>
      <w:rFonts w:ascii="Aptos" w:hAnsi="Aptos"/>
      <w:color w:val="000000"/>
    </w:rPr>
  </w:style>
  <w:style w:type="character" w:customStyle="1" w:styleId="SpecialStringTok">
    <w:name w:val="SpecialStringTok"/>
    <w:basedOn w:val="VerbatimChar"/>
    <w:rPr>
      <w:rFonts w:ascii="Aptos" w:hAnsi="Aptos"/>
      <w:color w:val="000000"/>
    </w:rPr>
  </w:style>
  <w:style w:type="character" w:customStyle="1" w:styleId="ImportTok">
    <w:name w:val="ImportTok"/>
    <w:basedOn w:val="VerbatimChar"/>
    <w:rPr>
      <w:rFonts w:ascii="Aptos" w:hAnsi="Aptos"/>
      <w:b/>
      <w:color w:val="000000"/>
    </w:rPr>
  </w:style>
  <w:style w:type="character" w:customStyle="1" w:styleId="CommentTok">
    <w:name w:val="CommentTok"/>
    <w:basedOn w:val="VerbatimChar"/>
    <w:rPr>
      <w:rFonts w:ascii="Aptos" w:hAnsi="Aptos"/>
      <w:i/>
      <w:color w:val="000000"/>
    </w:rPr>
  </w:style>
  <w:style w:type="character" w:customStyle="1" w:styleId="DocumentationTok">
    <w:name w:val="DocumentationTok"/>
    <w:basedOn w:val="VerbatimChar"/>
    <w:rPr>
      <w:rFonts w:ascii="Aptos" w:hAnsi="Aptos"/>
      <w:i/>
      <w:color w:val="000000"/>
    </w:rPr>
  </w:style>
  <w:style w:type="character" w:customStyle="1" w:styleId="AnnotationTok">
    <w:name w:val="AnnotationTok"/>
    <w:basedOn w:val="VerbatimChar"/>
    <w:rPr>
      <w:rFonts w:ascii="Aptos" w:hAnsi="Aptos"/>
      <w:b/>
      <w:i/>
      <w:color w:val="000000"/>
    </w:rPr>
  </w:style>
  <w:style w:type="character" w:customStyle="1" w:styleId="CommentVarTok">
    <w:name w:val="CommentVarTok"/>
    <w:basedOn w:val="VerbatimChar"/>
    <w:rPr>
      <w:rFonts w:ascii="Aptos" w:hAnsi="Aptos"/>
      <w:b/>
      <w:i/>
      <w:color w:val="000000"/>
    </w:rPr>
  </w:style>
  <w:style w:type="character" w:customStyle="1" w:styleId="OtherTok">
    <w:name w:val="OtherTok"/>
    <w:basedOn w:val="VerbatimChar"/>
    <w:rPr>
      <w:rFonts w:ascii="Aptos" w:hAnsi="Aptos"/>
      <w:color w:val="000000"/>
    </w:rPr>
  </w:style>
  <w:style w:type="character" w:customStyle="1" w:styleId="FunctionTok">
    <w:name w:val="FunctionTok"/>
    <w:basedOn w:val="VerbatimChar"/>
    <w:rPr>
      <w:rFonts w:ascii="Aptos" w:hAnsi="Aptos"/>
      <w:color w:val="000000"/>
    </w:rPr>
  </w:style>
  <w:style w:type="character" w:customStyle="1" w:styleId="VariableTok">
    <w:name w:val="VariableTok"/>
    <w:basedOn w:val="VerbatimChar"/>
    <w:rPr>
      <w:rFonts w:ascii="Aptos" w:hAnsi="Aptos"/>
      <w:color w:val="000000"/>
    </w:rPr>
  </w:style>
  <w:style w:type="character" w:customStyle="1" w:styleId="ControlFlowTok">
    <w:name w:val="ControlFlowTok"/>
    <w:basedOn w:val="VerbatimChar"/>
    <w:rPr>
      <w:rFonts w:ascii="Aptos" w:hAnsi="Aptos"/>
      <w:b/>
      <w:color w:val="000000"/>
    </w:rPr>
  </w:style>
  <w:style w:type="character" w:customStyle="1" w:styleId="OperatorTok">
    <w:name w:val="OperatorTok"/>
    <w:basedOn w:val="VerbatimChar"/>
    <w:rPr>
      <w:rFonts w:ascii="Aptos" w:hAnsi="Aptos"/>
      <w:color w:val="000000"/>
    </w:rPr>
  </w:style>
  <w:style w:type="character" w:customStyle="1" w:styleId="BuiltInTok">
    <w:name w:val="BuiltInTok"/>
    <w:basedOn w:val="VerbatimChar"/>
    <w:rPr>
      <w:rFonts w:ascii="Aptos" w:hAnsi="Aptos"/>
      <w:color w:val="000000"/>
    </w:rPr>
  </w:style>
  <w:style w:type="character" w:customStyle="1" w:styleId="ExtensionTok">
    <w:name w:val="ExtensionTok"/>
    <w:basedOn w:val="VerbatimChar"/>
    <w:rPr>
      <w:rFonts w:ascii="Aptos" w:hAnsi="Aptos"/>
      <w:color w:val="000000"/>
    </w:rPr>
  </w:style>
  <w:style w:type="character" w:customStyle="1" w:styleId="PreprocessorTok">
    <w:name w:val="PreprocessorTok"/>
    <w:basedOn w:val="VerbatimChar"/>
    <w:rPr>
      <w:rFonts w:ascii="Aptos" w:hAnsi="Aptos"/>
      <w:color w:val="000000"/>
    </w:rPr>
  </w:style>
  <w:style w:type="character" w:customStyle="1" w:styleId="AttributeTok">
    <w:name w:val="AttributeTok"/>
    <w:basedOn w:val="VerbatimChar"/>
    <w:rPr>
      <w:rFonts w:ascii="Aptos" w:hAnsi="Aptos"/>
      <w:color w:val="000000"/>
    </w:rPr>
  </w:style>
  <w:style w:type="character" w:customStyle="1" w:styleId="RegionMarkerTok">
    <w:name w:val="RegionMarkerTok"/>
    <w:basedOn w:val="VerbatimChar"/>
    <w:rPr>
      <w:rFonts w:ascii="Aptos" w:hAnsi="Aptos"/>
      <w:color w:val="000000"/>
    </w:rPr>
  </w:style>
  <w:style w:type="character" w:customStyle="1" w:styleId="InformationTok">
    <w:name w:val="InformationTok"/>
    <w:basedOn w:val="VerbatimChar"/>
    <w:rPr>
      <w:rFonts w:ascii="Aptos" w:hAnsi="Aptos"/>
      <w:b/>
      <w:i/>
      <w:color w:val="000000"/>
    </w:rPr>
  </w:style>
  <w:style w:type="character" w:customStyle="1" w:styleId="WarningTok">
    <w:name w:val="WarningTok"/>
    <w:basedOn w:val="VerbatimChar"/>
    <w:rPr>
      <w:rFonts w:ascii="Aptos" w:hAnsi="Aptos"/>
      <w:b/>
      <w:i/>
      <w:color w:val="000000"/>
    </w:rPr>
  </w:style>
  <w:style w:type="character" w:customStyle="1" w:styleId="AlertTok">
    <w:name w:val="AlertTok"/>
    <w:basedOn w:val="VerbatimChar"/>
    <w:rPr>
      <w:rFonts w:ascii="Aptos" w:hAnsi="Aptos"/>
      <w:b/>
      <w:color w:val="000000"/>
    </w:rPr>
  </w:style>
  <w:style w:type="character" w:customStyle="1" w:styleId="ErrorTok">
    <w:name w:val="ErrorTok"/>
    <w:basedOn w:val="VerbatimChar"/>
    <w:rPr>
      <w:rFonts w:ascii="Aptos" w:hAnsi="Aptos"/>
      <w:b/>
      <w:color w:val="000000"/>
    </w:rPr>
  </w:style>
  <w:style w:type="character" w:customStyle="1" w:styleId="NormalTok">
    <w:name w:val="NormalTok"/>
    <w:basedOn w:val="VerbatimChar"/>
    <w:rPr>
      <w:rFonts w:ascii="Aptos" w:hAnsi="Aptos"/>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2026-10-07T22:24:52Z</dcterms:created>
  <dcterms:modified xsi:type="dcterms:W3CDTF">2026-10-07T22:24:52Z</dcterms:modified>
</cp:coreProperties>
</file>

<file path=docProps/custom.xml><?xml version="1.0" encoding="utf-8"?>
<Properties xmlns="http://schemas.openxmlformats.org/officeDocument/2006/custom-properties" xmlns:vt="http://schemas.openxmlformats.org/officeDocument/2006/docPropsVTypes"/>
</file>