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project-milestone-3-cost-of-capital-memo"/>
    <w:p>
      <w:pPr>
        <w:pStyle w:val="Heading1"/>
      </w:pPr>
      <w:r>
        <w:t xml:space="preserve">Project Milestone 3: Cost of Capital Memo</w:t>
      </w:r>
    </w:p>
    <w:p>
      <w:pPr>
        <w:pStyle w:val="FirstParagraph"/>
      </w:pPr>
      <w:r>
        <w:rPr>
          <w:b/>
          <w:bCs/>
        </w:rPr>
        <w:t xml:space="preserve">Company:</w:t>
      </w:r>
      <w:r>
        <w:t xml:space="preserve"> </w:t>
      </w:r>
      <w:r>
        <w:t xml:space="preserve">The Hershey Company (NYSE: HSY)</w:t>
      </w:r>
      <w:r>
        <w:t xml:space="preserve"> </w:t>
      </w:r>
      <w:r>
        <w:rPr>
          <w:b/>
          <w:bCs/>
        </w:rPr>
        <w:t xml:space="preserve">Team:</w:t>
      </w:r>
      <w:r>
        <w:t xml:space="preserve"> </w:t>
      </w:r>
      <w:r>
        <w:t xml:space="preserve">Chris Lester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2026-10-05</w:t>
      </w:r>
      <w:r>
        <w:t xml:space="preserve"> </w:t>
      </w:r>
      <w:r>
        <w:rPr>
          <w:b/>
          <w:bCs/>
        </w:rPr>
        <w:t xml:space="preserve">Conclusion:</w:t>
      </w:r>
      <w:r>
        <w:t xml:space="preserve"> </w:t>
      </w:r>
      <w:r>
        <w:t xml:space="preserve">Hershey’s weighted average cost of capital is 6.78 percent: a 7.11 percent cost of equity on 87.4 percent of the capital and a 4.49 percent after-tax cost of debt on 12.6 percent. No size, private-firm, or country risk adjustment applies. The inputs are on the WACC calculation tab of our Q&amp;D workbook [S9], and each one below is tagged Reported (R), Derived (D), or Estimate (E).</w:t>
      </w:r>
    </w:p>
    <w:bookmarkStart w:id="9" w:name="cost-of-equity-7.11-percent"/>
    <w:p>
      <w:pPr>
        <w:pStyle w:val="Heading2"/>
      </w:pPr>
      <w:r>
        <w:t xml:space="preserve">1. Cost of equity: 7.11 percent</w:t>
      </w:r>
    </w:p>
    <w:p>
      <w:pPr>
        <w:pStyle w:val="FirstParagraph"/>
      </w:pPr>
      <w:r>
        <w:t xml:space="preserve">Cost of equity = risk-free rate + beta x equity risk premium = 5.28% + 0.4102 x 4.46% = 7.11%.</w:t>
      </w:r>
    </w:p>
    <w:p>
      <w:pPr>
        <w:pStyle w:val="BodyText"/>
      </w:pPr>
      <w:r>
        <w:rPr>
          <w:b/>
          <w:bCs/>
        </w:rPr>
        <w:t xml:space="preserve">Risk-free rate, 5.28 percent (R).</w:t>
      </w:r>
      <w:r>
        <w:t xml:space="preserve"> </w:t>
      </w:r>
      <w:r>
        <w:t xml:space="preserve">The 10-year US Treasury par yield on October 2, 2026 [S13]. Our cash flows are in US dollars, so a US Treasury rate is the default-free rate that matches them.</w:t>
      </w:r>
    </w:p>
    <w:p>
      <w:pPr>
        <w:pStyle w:val="BodyText"/>
      </w:pPr>
      <w:r>
        <w:rPr>
          <w:b/>
          <w:bCs/>
        </w:rPr>
        <w:t xml:space="preserve">Equity risk premium, 4.46 percent (R).</w:t>
      </w:r>
      <w:r>
        <w:t xml:space="preserve"> </w:t>
      </w:r>
      <w:r>
        <w:t xml:space="preserve">Damodaran’s total equity risk premium for the United States, January 2026 [S12]. It is his implied premium for the S&amp;P 500 and already includes the US country default spread of 0.23 percent.</w:t>
      </w:r>
    </w:p>
    <w:p>
      <w:pPr>
        <w:pStyle w:val="BodyText"/>
      </w:pPr>
      <w:r>
        <w:rPr>
          <w:b/>
          <w:bCs/>
        </w:rPr>
        <w:t xml:space="preserve">Beta, 0.4102 (E).</w:t>
      </w:r>
      <w:r>
        <w:t xml:space="preserve"> </w:t>
      </w:r>
      <w:r>
        <w:t xml:space="preserve">We ran a regression of Hershey’s monthly excess returns on the S&amp;P 500’s (SPY), with BIL as the risk-free return, over the 60 months from September 2021 to August 2026 [S14]. The raw beta is 0.1153 (D). Its standard error is 0.195 and the R-squared is 0.006, so the raw figure cannot be told apart from zero. We therefore use the adjusted beta, (2/3) x 0.1153 + (1/3) x 1 = 0.4102, which pulls a noisy estimate toward the market average of 1. This is our judgment (Chris Lester). A defensive consumer staple should have a low beta, but not one near zero.</w:t>
      </w:r>
    </w:p>
    <w:p>
      <w:pPr>
        <w:pStyle w:val="BodyText"/>
      </w:pPr>
      <w:r>
        <w:rPr>
          <w:b/>
          <w:bCs/>
        </w:rPr>
        <w:t xml:space="preserve">Cross-checks on the WACC tab.</w:t>
      </w:r>
      <w:r>
        <w:t xml:space="preserve"> </w:t>
      </w:r>
      <w:r>
        <w:t xml:space="preserve">Hamada’s method gives 0.35 (D): Damodaran’s food processing average beta of 0.61, at a 43.73 percent debt-to-equity ratio and a 10.37 percent tax rate [S10], unlevered and then relevered at Hershey’s debt-to-equity of 14.37 percent and our 22.96 percent tax rate. FactSet’s beta is 0.34 (R) [S8]. All three methods put Hershey far below the market’s beta of 1, as a defensive consumer staple should be. We use the adjusted regression beta, the highest of the three, which keeps the cost of equity conservative.</w:t>
      </w:r>
    </w:p>
    <w:bookmarkEnd w:id="9"/>
    <w:bookmarkStart w:id="10" w:name="Xdfc1b1226ed596c7d135583ca7520308a390ebe"/>
    <w:p>
      <w:pPr>
        <w:pStyle w:val="Heading2"/>
      </w:pPr>
      <w:r>
        <w:t xml:space="preserve">2. Cost of debt: 5.83 percent before tax, 4.49 percent after tax</w:t>
      </w:r>
    </w:p>
    <w:p>
      <w:pPr>
        <w:pStyle w:val="FirstParagraph"/>
      </w:pPr>
      <w:r>
        <w:rPr>
          <w:b/>
          <w:bCs/>
        </w:rPr>
        <w:t xml:space="preserve">Interest coverage, 7.58 (D).</w:t>
      </w:r>
      <w:r>
        <w:t xml:space="preserve"> </w:t>
      </w:r>
      <w:r>
        <w:t xml:space="preserve">FY2025 operating income of 1,441.5 divided by net interest expense of 190.2 [S1, pages 27 and 53].</w:t>
      </w:r>
    </w:p>
    <w:p>
      <w:pPr>
        <w:pStyle w:val="BodyText"/>
      </w:pPr>
      <w:r>
        <w:rPr>
          <w:b/>
          <w:bCs/>
        </w:rPr>
        <w:t xml:space="preserve">Synthetic rating and spread, Aa2/AA and 0.55 percent (R).</w:t>
      </w:r>
      <w:r>
        <w:t xml:space="preserve"> </w:t>
      </w:r>
      <w:r>
        <w:t xml:space="preserve">For large non-financial firms, Damodaran’s table maps coverage between 6.5 and 8.5 to Aa2/AA with a 0.55 percent default spread (January 2026) [S11].</w:t>
      </w:r>
    </w:p>
    <w:p>
      <w:pPr>
        <w:pStyle w:val="BodyText"/>
      </w:pPr>
      <w:r>
        <w:rPr>
          <w:b/>
          <w:bCs/>
        </w:rPr>
        <w:t xml:space="preserve">Pre-tax cost of debt, 5.83 percent (D).</w:t>
      </w:r>
      <w:r>
        <w:t xml:space="preserve"> </w:t>
      </w:r>
      <w:r>
        <w:t xml:space="preserve">5.28% + 0.55%. Hershey’s notes due 2028 to 2035, sold in February 2025, carry coupons of 4.55 to 5.10 percent, so the estimate is in line with what the company actually pays [S1].</w:t>
      </w:r>
    </w:p>
    <w:p>
      <w:pPr>
        <w:pStyle w:val="BodyText"/>
      </w:pPr>
      <w:r>
        <w:rPr>
          <w:b/>
          <w:bCs/>
        </w:rPr>
        <w:t xml:space="preserve">Tax rate, 22.96 percent (D).</w:t>
      </w:r>
      <w:r>
        <w:t xml:space="preserve"> </w:t>
      </w:r>
      <w:r>
        <w:t xml:space="preserve">FY2025 income taxes of 330.9 divided by operating income of 1,441.5 [S1].</w:t>
      </w:r>
      <w:r>
        <w:t xml:space="preserve"> </w:t>
      </w:r>
      <w:r>
        <w:rPr>
          <w:b/>
          <w:bCs/>
        </w:rPr>
        <w:t xml:space="preserve">After-tax cost of debt: 5.83% x (1 - 0.2296) = 4.49 percent (D).</w:t>
      </w:r>
    </w:p>
    <w:bookmarkEnd w:id="10"/>
    <w:bookmarkStart w:id="11" w:name="wacc-6.78-percent"/>
    <w:p>
      <w:pPr>
        <w:pStyle w:val="Heading2"/>
      </w:pPr>
      <w:r>
        <w:t xml:space="preserve">3. WACC: 6.78 percent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value of equity</w:t>
            </w:r>
          </w:p>
        </w:tc>
        <w:tc>
          <w:tcPr/>
          <w:p>
            <w:pPr>
              <w:pStyle w:val="Compact"/>
            </w:pPr>
            <w:r>
              <w:t xml:space="preserve">32,582.6 (203.4 million diluted shares x $160.19, close on October 2, 2026)</w:t>
            </w:r>
          </w:p>
        </w:tc>
        <w:tc>
          <w:tcPr/>
          <w:p>
            <w:pPr>
              <w:pStyle w:val="Compact"/>
            </w:pPr>
            <w:r>
              <w:t xml:space="preserve">87.4%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Debt</w:t>
            </w:r>
          </w:p>
        </w:tc>
        <w:tc>
          <w:tcPr/>
          <w:p>
            <w:pPr>
              <w:pStyle w:val="Compact"/>
            </w:pPr>
            <w:r>
              <w:t xml:space="preserve">4,681 (long-term debt, December 31, 2025)</w:t>
            </w:r>
          </w:p>
        </w:tc>
        <w:tc>
          <w:tcPr/>
          <w:p>
            <w:pPr>
              <w:pStyle w:val="Compact"/>
            </w:pPr>
            <w:r>
              <w:t xml:space="preserve">12.6%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capital</w:t>
            </w:r>
          </w:p>
        </w:tc>
        <w:tc>
          <w:tcPr/>
          <w:p>
            <w:pPr>
              <w:pStyle w:val="Compact"/>
            </w:pPr>
            <w:r>
              <w:t xml:space="preserve">37,263.6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</w:tr>
    </w:tbl>
    <w:p>
      <w:pPr>
        <w:pStyle w:val="BodyText"/>
      </w:pPr>
      <w:r>
        <w:t xml:space="preserve">WACC = 87.4% x 7.11% + 12.6% x 4.49% = 6.78 percent (D). Dollars are in millions [S9, S1].</w:t>
      </w:r>
    </w:p>
    <w:p>
      <w:pPr>
        <w:pStyle w:val="BodyText"/>
      </w:pPr>
      <w:r>
        <w:rPr>
          <w:b/>
          <w:bCs/>
        </w:rPr>
        <w:t xml:space="preserve">Book value for debt (E).</w:t>
      </w:r>
      <w:r>
        <w:t xml:space="preserve"> </w:t>
      </w:r>
      <w:r>
        <w:t xml:space="preserve">We use the book value of long-term debt as the estimate of its market value. Hershey’s long-term debt is fixed-rate notes, so book value is a reasonable stand-in (Chris Lester).</w:t>
      </w:r>
    </w:p>
    <w:bookmarkEnd w:id="11"/>
    <w:bookmarkStart w:id="12" w:name="risk-adjustments-none"/>
    <w:p>
      <w:pPr>
        <w:pStyle w:val="Heading2"/>
      </w:pPr>
      <w:r>
        <w:t xml:space="preserve">4. Risk adjustments: none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At a 32.6 billion dollar market capitalization, Hershey is a large-cap company. A small-cap premium does not apply.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Private firm.</w:t>
      </w:r>
      <w:r>
        <w:t xml:space="preserve"> </w:t>
      </w:r>
      <w:r>
        <w:t xml:space="preserve">Hershey trades on the NYSE, so no illiquidity or marketability discount applies.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Country.</w:t>
      </w:r>
      <w:r>
        <w:t xml:space="preserve"> </w:t>
      </w:r>
      <w:r>
        <w:t xml:space="preserve">United States net sales were 10,251.6 of 11,692.6 in FY2025, or 87.7 percent [S1, page 93]. The International segment was 941.6, or 8.1 percent [S1, page 29]. The US equity risk premium we use already contains the US country spread [S12]. Only the remaining 12.3 percent of sales could carry a higher country premium, and we judge that too small to change the WACC (E, Chris Lester), so we do not adjust. We take the same position, a single US premium, in this module’s discussion of blended country risk.</w:t>
      </w:r>
    </w:p>
    <w:bookmarkEnd w:id="12"/>
    <w:bookmarkStart w:id="13" w:name="how-we-verified-each-input"/>
    <w:p>
      <w:pPr>
        <w:pStyle w:val="Heading2"/>
      </w:pPr>
      <w:r>
        <w:t xml:space="preserve">5. How we verified each input</w:t>
      </w:r>
    </w:p>
    <w:p>
      <w:pPr>
        <w:pStyle w:val="FirstParagraph"/>
      </w:pPr>
      <w:r>
        <w:t xml:space="preserve">We asked Claude to find each input on the WACC tab in its primary source and show us where it appears. The table lists what it found.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beta 0.1153</w:t>
            </w:r>
          </w:p>
        </w:tc>
        <w:tc>
          <w:tcPr/>
          <w:p>
            <w:pPr>
              <w:pStyle w:val="Compact"/>
            </w:pPr>
            <w:r>
              <w:t xml:space="preserve">Reran the 60-month regression with the same method (yfinance, statsmodels)</w:t>
            </w:r>
          </w:p>
        </w:tc>
        <w:tc>
          <w:tcPr/>
          <w:p>
            <w:pPr>
              <w:pStyle w:val="Compact"/>
            </w:pPr>
            <w:r>
              <w:t xml:space="preserve">Matches for September 2021 to August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Equity risk premium 4.46%</w:t>
            </w:r>
          </w:p>
        </w:tc>
        <w:tc>
          <w:tcPr/>
          <w:p>
            <w:pPr>
              <w:pStyle w:val="Compact"/>
            </w:pPr>
            <w:r>
              <w:t xml:space="preserve">Damodaran country premium table, US row [S12]</w:t>
            </w:r>
          </w:p>
        </w:tc>
        <w:tc>
          <w:tcPr/>
          <w:p>
            <w:pPr>
              <w:pStyle w:val="Compact"/>
            </w:pPr>
            <w:r>
              <w:t xml:space="preserve">Matches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Industry beta, D/E, tax rate</w:t>
            </w:r>
          </w:p>
        </w:tc>
        <w:tc>
          <w:tcPr/>
          <w:p>
            <w:pPr>
              <w:pStyle w:val="Compact"/>
            </w:pPr>
            <w:r>
              <w:t xml:space="preserve">Damodaran betas by sector, Food Processing row [S10]</w:t>
            </w:r>
          </w:p>
        </w:tc>
        <w:tc>
          <w:tcPr/>
          <w:p>
            <w:pPr>
              <w:pStyle w:val="Compact"/>
            </w:pPr>
            <w:r>
              <w:t xml:space="preserve">0.61, 43.73%, 10.37% 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spread 0.55%</w:t>
            </w:r>
          </w:p>
        </w:tc>
        <w:tc>
          <w:tcPr/>
          <w:p>
            <w:pPr>
              <w:pStyle w:val="Compact"/>
            </w:pPr>
            <w:r>
              <w:t xml:space="preserve">Damodaran ratings table, coverage 6.5 to 8.5 [S11]</w:t>
            </w:r>
          </w:p>
        </w:tc>
        <w:tc>
          <w:tcPr/>
          <w:p>
            <w:pPr>
              <w:pStyle w:val="Compact"/>
            </w:pPr>
            <w:r>
              <w:t xml:space="preserve">Matches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Risk-free rate 5.28%</w:t>
            </w:r>
          </w:p>
        </w:tc>
        <w:tc>
          <w:tcPr/>
          <w:p>
            <w:pPr>
              <w:pStyle w:val="Compact"/>
            </w:pPr>
            <w:r>
              <w:t xml:space="preserve">Treasury daily par yield curve, October 2, 2026 [S13]</w:t>
            </w:r>
          </w:p>
        </w:tc>
        <w:tc>
          <w:tcPr/>
          <w:p>
            <w:pPr>
              <w:pStyle w:val="Compact"/>
            </w:pPr>
            <w:r>
              <w:t xml:space="preserve">Matches the 10-year yield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Interest coverage 7.58</w:t>
            </w:r>
          </w:p>
        </w:tc>
        <w:tc>
          <w:tcPr/>
          <w:p>
            <w:pPr>
              <w:pStyle w:val="Compact"/>
            </w:pPr>
            <w:r>
              <w:t xml:space="preserve">FY2025 operating income and net interest expense in the 10-K [S1]</w:t>
            </w:r>
          </w:p>
        </w:tc>
        <w:tc>
          <w:tcPr/>
          <w:p>
            <w:pPr>
              <w:pStyle w:val="Compact"/>
            </w:pPr>
            <w:r>
              <w:t xml:space="preserve">Matches</w:t>
            </w:r>
          </w:p>
        </w:tc>
      </w:tr>
    </w:tbl>
    <w:bookmarkEnd w:id="13"/>
    <w:bookmarkStart w:id="14" w:name="inputs-for-the-knowledge-bank"/>
    <w:p>
      <w:pPr>
        <w:pStyle w:val="Heading2"/>
      </w:pPr>
      <w:r>
        <w:t xml:space="preserve">Inputs for the Knowledge Bank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Risk-free rate (10-year Treasury, 2026-10-02)</w:t>
            </w:r>
          </w:p>
        </w:tc>
        <w:tc>
          <w:tcPr/>
          <w:p>
            <w:pPr>
              <w:pStyle w:val="Compact"/>
            </w:pPr>
            <w:r>
              <w:t xml:space="preserve">5.28%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Equity risk premium (US, January 2026)</w:t>
            </w:r>
          </w:p>
        </w:tc>
        <w:tc>
          <w:tcPr/>
          <w:p>
            <w:pPr>
              <w:pStyle w:val="Compact"/>
            </w:pPr>
            <w:r>
              <w:t xml:space="preserve">4.46%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regression beta (60 months)</w:t>
            </w:r>
          </w:p>
        </w:tc>
        <w:tc>
          <w:tcPr/>
          <w:p>
            <w:pPr>
              <w:pStyle w:val="Compact"/>
            </w:pPr>
            <w:r>
              <w:t xml:space="preserve">0.1153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beta</w:t>
            </w:r>
          </w:p>
        </w:tc>
        <w:tc>
          <w:tcPr/>
          <w:p>
            <w:pPr>
              <w:pStyle w:val="Compact"/>
            </w:pPr>
            <w:r>
              <w:t xml:space="preserve">0.4102</w:t>
            </w:r>
          </w:p>
        </w:tc>
        <w:tc>
          <w:tcPr/>
          <w:p>
            <w:pPr>
              <w:pStyle w:val="Compact"/>
            </w:pPr>
            <w:r>
              <w:t xml:space="preserve">E (Chris Lester)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Hamada beta, cross-check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S10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FactSet beta, cross-check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of equity</w:t>
            </w:r>
          </w:p>
        </w:tc>
        <w:tc>
          <w:tcPr/>
          <w:p>
            <w:pPr>
              <w:pStyle w:val="Compact"/>
            </w:pPr>
            <w:r>
              <w:t xml:space="preserve">7.11%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S9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Interest coverage, FY2025</w:t>
            </w:r>
          </w:p>
        </w:tc>
        <w:tc>
          <w:tcPr/>
          <w:p>
            <w:pPr>
              <w:pStyle w:val="Compact"/>
            </w:pPr>
            <w:r>
              <w:t xml:space="preserve">7.58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rating and default spread</w:t>
            </w:r>
          </w:p>
        </w:tc>
        <w:tc>
          <w:tcPr/>
          <w:p>
            <w:pPr>
              <w:pStyle w:val="Compact"/>
            </w:pPr>
            <w:r>
              <w:t xml:space="preserve">Aa2/AA, 0.55%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Pre-tax cost of debt</w:t>
            </w:r>
          </w:p>
        </w:tc>
        <w:tc>
          <w:tcPr/>
          <w:p>
            <w:pPr>
              <w:pStyle w:val="Compact"/>
            </w:pPr>
            <w:r>
              <w:t xml:space="preserve">5.83%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S9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 rate</w:t>
            </w:r>
          </w:p>
        </w:tc>
        <w:tc>
          <w:tcPr/>
          <w:p>
            <w:pPr>
              <w:pStyle w:val="Compact"/>
            </w:pPr>
            <w:r>
              <w:t xml:space="preserve">22.96%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After-tax cost of debt</w:t>
            </w:r>
          </w:p>
        </w:tc>
        <w:tc>
          <w:tcPr/>
          <w:p>
            <w:pPr>
              <w:pStyle w:val="Compact"/>
            </w:pPr>
            <w:r>
              <w:t xml:space="preserve">4.49%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S9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Equity weight</w:t>
            </w:r>
          </w:p>
        </w:tc>
        <w:tc>
          <w:tcPr/>
          <w:p>
            <w:pPr>
              <w:pStyle w:val="Compact"/>
            </w:pPr>
            <w:r>
              <w:t xml:space="preserve">87.4%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S9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Debt weight</w:t>
            </w:r>
          </w:p>
        </w:tc>
        <w:tc>
          <w:tcPr/>
          <w:p>
            <w:pPr>
              <w:pStyle w:val="Compact"/>
            </w:pPr>
            <w:r>
              <w:t xml:space="preserve">12.6%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S1, S9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WACC</w:t>
            </w:r>
          </w:p>
        </w:tc>
        <w:tc>
          <w:tcPr/>
          <w:p>
            <w:pPr>
              <w:pStyle w:val="Compact"/>
            </w:pPr>
            <w:r>
              <w:t xml:space="preserve">6.78%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S9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 share of net sales, FY2025</w:t>
            </w:r>
          </w:p>
        </w:tc>
        <w:tc>
          <w:tcPr/>
          <w:p>
            <w:pPr>
              <w:pStyle w:val="Compact"/>
            </w:pPr>
            <w:r>
              <w:t xml:space="preserve">87.7%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</w:tr>
    </w:tbl>
    <w:bookmarkEnd w:id="14"/>
    <w:bookmarkStart w:id="15" w:name="sources"/>
    <w:p>
      <w:pPr>
        <w:pStyle w:val="Heading2"/>
      </w:pPr>
      <w:r>
        <w:t xml:space="preserve">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Publisher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The Hershey Company Form 10-K for fiscal 2025, accession 0001628280-26-008586</w:t>
            </w:r>
          </w:p>
        </w:tc>
        <w:tc>
          <w:tcPr/>
          <w:p>
            <w:pPr>
              <w:pStyle w:val="Compact"/>
            </w:pPr>
            <w:r>
              <w:t xml:space="preserve">SEC EDGAR</w:t>
            </w:r>
          </w:p>
        </w:tc>
        <w:tc>
          <w:tcPr/>
          <w:p>
            <w:pPr>
              <w:pStyle w:val="Compact"/>
            </w:pPr>
            <w: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t xml:space="preserve">https://www.sec.gov/Archives/edgar/data/47111/000162828026008586/hsy-20251231.htm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FactSet consensus estimates and beta for Hershey</w:t>
            </w:r>
          </w:p>
        </w:tc>
        <w:tc>
          <w:tcPr/>
          <w:p>
            <w:pPr>
              <w:pStyle w:val="Compact"/>
            </w:pPr>
            <w:r>
              <w:t xml:space="preserve">FactSet</w:t>
            </w:r>
          </w:p>
        </w:tc>
        <w:tc>
          <w:tcPr/>
          <w:p>
            <w:pPr>
              <w:pStyle w:val="Compact"/>
            </w:pPr>
            <w:r>
              <w:t xml:space="preserve">2026-10-04</w:t>
            </w:r>
          </w:p>
        </w:tc>
        <w:tc>
          <w:tcPr/>
          <w:p>
            <w:pPr>
              <w:pStyle w:val="Compact"/>
            </w:pPr>
            <w:r>
              <w:t xml:space="preserve">FactSet terminal (licensed; not linked)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Team Q&amp;D workbook for Hershey, WACC calculation tab</w:t>
            </w:r>
          </w:p>
        </w:tc>
        <w:tc>
          <w:tcPr/>
          <w:p>
            <w:pPr>
              <w:pStyle w:val="Compact"/>
            </w:pPr>
            <w:r>
              <w:t xml:space="preserve">FIN 5370 HSY team</w:t>
            </w:r>
          </w:p>
        </w:tc>
        <w:tc>
          <w:tcPr/>
          <w:p>
            <w:pPr>
              <w:pStyle w:val="Compact"/>
            </w:pPr>
            <w:r>
              <w:t xml:space="preserve">2026-10-05</w:t>
            </w:r>
          </w:p>
        </w:tc>
        <w:tc>
          <w:tcPr/>
          <w:p>
            <w:pPr>
              <w:pStyle w:val="Compact"/>
            </w:pPr>
            <w:r>
              <w:t xml:space="preserve">workbook/QD-HSY.xlsx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Betas by Sector (US)</w:t>
            </w:r>
          </w:p>
        </w:tc>
        <w:tc>
          <w:tcPr/>
          <w:p>
            <w:pPr>
              <w:pStyle w:val="Compact"/>
            </w:pPr>
            <w:r>
              <w:t xml:space="preserve">Aswath Damodaran, NYU Stern</w:t>
            </w:r>
          </w:p>
        </w:tc>
        <w:tc>
          <w:tcPr/>
          <w:p>
            <w:pPr>
              <w:pStyle w:val="Compact"/>
            </w:pPr>
            <w:r>
              <w:t xml:space="preserve">January 2026</w:t>
            </w:r>
          </w:p>
        </w:tc>
        <w:tc>
          <w:tcPr/>
          <w:p>
            <w:pPr>
              <w:pStyle w:val="Compact"/>
            </w:pPr>
            <w:r>
              <w:t xml:space="preserve">https://pages.stern.nyu.edu/~adamodar/New_Home_Page/datafile/Betas.html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Ratings, Interest Coverage Ratios and Default Spread</w:t>
            </w:r>
          </w:p>
        </w:tc>
        <w:tc>
          <w:tcPr/>
          <w:p>
            <w:pPr>
              <w:pStyle w:val="Compact"/>
            </w:pPr>
            <w:r>
              <w:t xml:space="preserve">Aswath Damodaran, NYU Stern</w:t>
            </w:r>
          </w:p>
        </w:tc>
        <w:tc>
          <w:tcPr/>
          <w:p>
            <w:pPr>
              <w:pStyle w:val="Compact"/>
            </w:pPr>
            <w:r>
              <w:t xml:space="preserve">January 2026</w:t>
            </w:r>
          </w:p>
        </w:tc>
        <w:tc>
          <w:tcPr/>
          <w:p>
            <w:pPr>
              <w:pStyle w:val="Compact"/>
            </w:pPr>
            <w:r>
              <w:t xml:space="preserve">https://pages.stern.nyu.edu/~adamodar/New_Home_Page/datafile/ratings.html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Country Default Spreads and Risk Premiums</w:t>
            </w:r>
          </w:p>
        </w:tc>
        <w:tc>
          <w:tcPr/>
          <w:p>
            <w:pPr>
              <w:pStyle w:val="Compact"/>
            </w:pPr>
            <w:r>
              <w:t xml:space="preserve">Aswath Damodaran, NYU Stern</w:t>
            </w:r>
          </w:p>
        </w:tc>
        <w:tc>
          <w:tcPr/>
          <w:p>
            <w:pPr>
              <w:pStyle w:val="Compact"/>
            </w:pPr>
            <w:r>
              <w:t xml:space="preserve">2026-01-05</w:t>
            </w:r>
          </w:p>
        </w:tc>
        <w:tc>
          <w:tcPr/>
          <w:p>
            <w:pPr>
              <w:pStyle w:val="Compact"/>
            </w:pPr>
            <w:r>
              <w:t xml:space="preserve">https://pages.stern.nyu.edu/~adamodar/New_Home_Page/datafile/ctryprem.html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Daily Treasury Par Yield Curve Rates, 2026</w:t>
            </w:r>
          </w:p>
        </w:tc>
        <w:tc>
          <w:tcPr/>
          <w:p>
            <w:pPr>
              <w:pStyle w:val="Compact"/>
            </w:pPr>
            <w:r>
              <w:t xml:space="preserve">US Department of the Treasury</w:t>
            </w:r>
          </w:p>
        </w:tc>
        <w:tc>
          <w:tcPr/>
          <w:p>
            <w:pPr>
              <w:pStyle w:val="Compact"/>
            </w:pPr>
            <w:r>
              <w:t xml:space="preserve">2026-10-02</w:t>
            </w:r>
          </w:p>
        </w:tc>
        <w:tc>
          <w:tcPr/>
          <w:p>
            <w:pPr>
              <w:pStyle w:val="Compact"/>
            </w:pPr>
            <w:r>
              <w:t xml:space="preserve">https://home.treasury.gov/resource-center/data-chart-center/interest-rates/TextView?type=daily_treasury_yield_curve&amp;field_tdr_date_value=2026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Monthly adjusted prices for HSY, SPY, and BIL, September 2021 to August 2026, pulled with yfinance</w:t>
            </w:r>
          </w:p>
        </w:tc>
        <w:tc>
          <w:tcPr/>
          <w:p>
            <w:pPr>
              <w:pStyle w:val="Compact"/>
            </w:pPr>
            <w:r>
              <w:t xml:space="preserve">Yahoo Finance</w:t>
            </w:r>
          </w:p>
        </w:tc>
        <w:tc>
          <w:tcPr/>
          <w:p>
            <w:pPr>
              <w:pStyle w:val="Compact"/>
            </w:pPr>
            <w:r>
              <w:t xml:space="preserve">accessed 2026-10-05</w:t>
            </w:r>
          </w:p>
        </w:tc>
        <w:tc>
          <w:tcPr/>
          <w:p>
            <w:pPr>
              <w:pStyle w:val="Compact"/>
            </w:pPr>
            <w:r>
              <w:t xml:space="preserve">https://finance.yahoo.com/quote/HSY/history</w:t>
            </w:r>
          </w:p>
        </w:tc>
      </w:tr>
    </w:tbl>
    <w:bookmarkEnd w:id="15"/>
    <w:bookmarkStart w:id="16" w:name="numbers-we-still-need"/>
    <w:p>
      <w:pPr>
        <w:pStyle w:val="Heading2"/>
      </w:pPr>
      <w:r>
        <w:t xml:space="preserve">Numbers we still need</w:t>
      </w:r>
    </w:p>
    <w:p>
      <w:pPr>
        <w:pStyle w:val="Compact"/>
        <w:numPr>
          <w:ilvl w:val="0"/>
          <w:numId w:val="1002"/>
        </w:numPr>
      </w:pPr>
      <w:r>
        <w:t xml:space="preserve">None.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2026-10-05T17:20:48Z</dcterms:created>
  <dcterms:modified xsi:type="dcterms:W3CDTF">2026-10-05T17:20:48Z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