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commentRangeStart w:id="0"/>
      <w:r w:rsidDel="00000000" w:rsidR="00000000" w:rsidRPr="00000000">
        <w:rPr>
          <w:sz w:val="36"/>
          <w:szCs w:val="36"/>
          <w:rtl w:val="0"/>
        </w:rPr>
        <w:t xml:space="preserve">Securing Kubernetes and your Cloud-native Applications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color w:val="0b5394"/>
          <w:sz w:val="24"/>
          <w:szCs w:val="24"/>
        </w:rPr>
      </w:pPr>
      <w:r w:rsidDel="00000000" w:rsidR="00000000" w:rsidRPr="00000000">
        <w:rPr>
          <w:color w:val="0b5394"/>
          <w:sz w:val="24"/>
          <w:szCs w:val="24"/>
          <w:rtl w:val="0"/>
        </w:rPr>
        <w:t xml:space="preserve">with the industry’s only Kubernetes-native container security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b w:val="1"/>
          <w:sz w:val="18"/>
          <w:szCs w:val="18"/>
        </w:rPr>
      </w:pPr>
      <w:r w:rsidDel="00000000" w:rsidR="00000000" w:rsidRPr="00000000">
        <w:rPr>
          <w:sz w:val="18"/>
          <w:szCs w:val="18"/>
          <w:rtl w:val="0"/>
        </w:rPr>
        <w:t xml:space="preserve">Protecting cloud-native apps requires significant changes in how we approach security – we must apply controls earlier in the application development life cycle, leverage the infrastructure itself to apply controls, and keep up with ever-faster release schedules.</w:t>
      </w: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 </w:t>
      </w:r>
    </w:p>
    <w:p w:rsidR="00000000" w:rsidDel="00000000" w:rsidP="00000000" w:rsidRDefault="00000000" w:rsidRPr="00000000" w14:paraId="00000006">
      <w:pPr>
        <w:rPr>
          <w:sz w:val="18"/>
          <w:szCs w:val="18"/>
        </w:rPr>
      </w:pPr>
      <w:r w:rsidDel="00000000" w:rsidR="00000000" w:rsidRPr="00000000">
        <w:rPr>
          <w:sz w:val="18"/>
          <w:szCs w:val="18"/>
          <w:rtl w:val="0"/>
        </w:rPr>
        <w:t xml:space="preserve">The StackRox Kubernetes Security Platform protects your vital applications across build, deploy, and runtime. Our software deploys in your infrastructure and integrates with your DevOps tooling and workflows to deliver frictionless security and compliance. The StackRox Policy Engine includes hundreds of built-in controls to enforce DevOps and security best practices, industry standards such as CIS Benchmarks and NIST, configuration management of both containers and Kubernetes, and runtime security.</w:t>
      </w:r>
    </w:p>
    <w:p w:rsidR="00000000" w:rsidDel="00000000" w:rsidP="00000000" w:rsidRDefault="00000000" w:rsidRPr="00000000" w14:paraId="00000007">
      <w:pPr>
        <w:rPr/>
      </w:pPr>
      <w:r w:rsidDel="00000000" w:rsidR="00000000" w:rsidRPr="00000000">
        <w:rPr>
          <w:rtl w:val="0"/>
        </w:rPr>
      </w:r>
    </w:p>
    <w:tbl>
      <w:tblPr>
        <w:tblStyle w:val="Table1"/>
        <w:tblW w:w="10800.0" w:type="dxa"/>
        <w:jc w:val="left"/>
        <w:tblInd w:w="0.0" w:type="pct"/>
        <w:tblLayout w:type="fixed"/>
        <w:tblLook w:val="0600"/>
      </w:tblPr>
      <w:tblGrid>
        <w:gridCol w:w="2760"/>
        <w:gridCol w:w="8040"/>
        <w:tblGridChange w:id="0">
          <w:tblGrid>
            <w:gridCol w:w="2760"/>
            <w:gridCol w:w="804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08">
            <w:pPr>
              <w:rPr>
                <w:sz w:val="24"/>
                <w:szCs w:val="24"/>
              </w:rPr>
            </w:pPr>
            <w:commentRangeStart w:id="1"/>
            <w:r w:rsidDel="00000000" w:rsidR="00000000" w:rsidRPr="00000000">
              <w:rPr>
                <w:sz w:val="24"/>
                <w:szCs w:val="24"/>
                <w:rtl w:val="0"/>
              </w:rPr>
              <w:t xml:space="preserve">Only StackRox provides a Kubernetes-native architecture for container security, enabling DevOps and InfoSec teams to operationalize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drawing>
                <wp:inline distB="114300" distT="114300" distL="114300" distR="114300">
                  <wp:extent cx="4889239" cy="2224088"/>
                  <wp:effectExtent b="0" l="0" r="0" t="0"/>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89239" cy="22240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tbl>
      <w:tblPr>
        <w:tblStyle w:val="Table2"/>
        <w:tblW w:w="10800.0" w:type="dxa"/>
        <w:jc w:val="left"/>
        <w:tblInd w:w="100.0" w:type="pct"/>
        <w:tblLayout w:type="fixed"/>
        <w:tblLook w:val="0600"/>
      </w:tblPr>
      <w:tblGrid>
        <w:gridCol w:w="5430"/>
        <w:gridCol w:w="5370"/>
        <w:tblGridChange w:id="0">
          <w:tblGrid>
            <w:gridCol w:w="5430"/>
            <w:gridCol w:w="5370"/>
          </w:tblGrid>
        </w:tblGridChange>
      </w:tblGrid>
      <w:tr>
        <w:tc>
          <w:tcPr>
            <w:tcBorders>
              <w:top w:color="000000" w:space="0" w:sz="0" w:val="nil"/>
              <w:left w:color="000000" w:space="0" w:sz="0" w:val="nil"/>
              <w:bottom w:color="000000" w:space="0" w:sz="0" w:val="nil"/>
              <w:right w:color="0b539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sz w:val="24"/>
                <w:szCs w:val="24"/>
              </w:rPr>
            </w:pPr>
            <w:commentRangeStart w:id="2"/>
            <w:r w:rsidDel="00000000" w:rsidR="00000000" w:rsidRPr="00000000">
              <w:rPr>
                <w:sz w:val="24"/>
                <w:szCs w:val="24"/>
                <w:rtl w:val="0"/>
              </w:rPr>
              <w:t xml:space="preserve">Our deep integrations with Kubernetes give you</w:t>
            </w:r>
          </w:p>
        </w:tc>
        <w:tc>
          <w:tcPr>
            <w:tcBorders>
              <w:left w:color="0b539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sz w:val="18"/>
                <w:szCs w:val="18"/>
              </w:rPr>
            </w:pPr>
            <w:r w:rsidDel="00000000" w:rsidR="00000000" w:rsidRPr="00000000">
              <w:rPr>
                <w:sz w:val="24"/>
                <w:szCs w:val="24"/>
                <w:rtl w:val="0"/>
              </w:rPr>
              <w:t xml:space="preserve">Get the peace of mind your peers enjoy</w:t>
            </w:r>
            <w:r w:rsidDel="00000000" w:rsidR="00000000" w:rsidRPr="00000000">
              <w:rPr>
                <w:rtl w:val="0"/>
              </w:rPr>
            </w:r>
          </w:p>
        </w:tc>
      </w:tr>
      <w:tr>
        <w:trPr>
          <w:trHeight w:val="1230" w:hRule="atLeast"/>
        </w:trPr>
        <w:tc>
          <w:tcPr>
            <w:tcBorders>
              <w:top w:color="000000" w:space="0" w:sz="0" w:val="nil"/>
              <w:left w:color="000000" w:space="0" w:sz="0" w:val="nil"/>
              <w:bottom w:color="000000" w:space="0" w:sz="0" w:val="nil"/>
              <w:right w:color="0b539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0b5394"/>
              </w:rPr>
            </w:pPr>
            <w:commentRangeEnd w:id="2"/>
            <w:r w:rsidDel="00000000" w:rsidR="00000000" w:rsidRPr="00000000">
              <w:commentReference w:id="2"/>
            </w:r>
            <w:r w:rsidDel="00000000" w:rsidR="00000000" w:rsidRPr="00000000">
              <w:rPr>
                <w:b w:val="1"/>
                <w:color w:val="0b5394"/>
                <w:rtl w:val="0"/>
              </w:rPr>
              <w:t xml:space="preserve">Rich context</w:t>
            </w:r>
          </w:p>
          <w:p w:rsidR="00000000" w:rsidDel="00000000" w:rsidP="00000000" w:rsidRDefault="00000000" w:rsidRPr="00000000" w14:paraId="0000000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0">
            <w:pPr>
              <w:rPr>
                <w:b w:val="1"/>
                <w:color w:val="0b5394"/>
                <w:sz w:val="18"/>
                <w:szCs w:val="18"/>
              </w:rPr>
            </w:pPr>
            <w:r w:rsidDel="00000000" w:rsidR="00000000" w:rsidRPr="00000000">
              <w:rPr>
                <w:sz w:val="18"/>
                <w:szCs w:val="18"/>
                <w:rtl w:val="0"/>
              </w:rPr>
              <w:t xml:space="preserve">StackRox pulls declarative data from Kubernetes to improve every security use case from visibility to configuration management to risk profiling.</w:t>
            </w:r>
            <w:r w:rsidDel="00000000" w:rsidR="00000000" w:rsidRPr="00000000">
              <w:rPr>
                <w:rtl w:val="0"/>
              </w:rPr>
            </w:r>
          </w:p>
        </w:tc>
        <w:tc>
          <w:tcPr>
            <w:tcBorders>
              <w:left w:color="0b539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color w:val="0b5394"/>
                <w:sz w:val="18"/>
                <w:szCs w:val="18"/>
              </w:rPr>
            </w:pPr>
            <w:r w:rsidDel="00000000" w:rsidR="00000000" w:rsidRPr="00000000">
              <w:rPr>
                <w:b w:val="1"/>
                <w:color w:val="0b5394"/>
                <w:sz w:val="18"/>
                <w:szCs w:val="18"/>
              </w:rPr>
              <w:drawing>
                <wp:inline distB="114300" distT="114300" distL="114300" distR="114300">
                  <wp:extent cx="752475" cy="1905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752475" cy="190500"/>
                          </a:xfrm>
                          <a:prstGeom prst="rect"/>
                          <a:ln/>
                        </pic:spPr>
                      </pic:pic>
                    </a:graphicData>
                  </a:graphic>
                </wp:inline>
              </w:drawing>
            </w:r>
            <w:r w:rsidDel="00000000" w:rsidR="00000000" w:rsidRPr="00000000">
              <w:rPr>
                <w:b w:val="1"/>
                <w:color w:val="0b5394"/>
                <w:sz w:val="18"/>
                <w:szCs w:val="18"/>
                <w:rtl w:val="0"/>
              </w:rPr>
              <w:t xml:space="preserve"> </w:t>
            </w:r>
            <w:r w:rsidDel="00000000" w:rsidR="00000000" w:rsidRPr="00000000">
              <w:rPr>
                <w:b w:val="1"/>
                <w:color w:val="0b5394"/>
                <w:sz w:val="18"/>
                <w:szCs w:val="18"/>
              </w:rPr>
              <w:drawing>
                <wp:inline distB="114300" distT="114300" distL="114300" distR="114300">
                  <wp:extent cx="496957" cy="1905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6957" cy="190500"/>
                          </a:xfrm>
                          <a:prstGeom prst="rect"/>
                          <a:ln/>
                        </pic:spPr>
                      </pic:pic>
                    </a:graphicData>
                  </a:graphic>
                </wp:inline>
              </w:drawing>
            </w:r>
            <w:r w:rsidDel="00000000" w:rsidR="00000000" w:rsidRPr="00000000">
              <w:rPr>
                <w:b w:val="1"/>
                <w:color w:val="0b5394"/>
                <w:sz w:val="18"/>
                <w:szCs w:val="18"/>
              </w:rPr>
              <w:drawing>
                <wp:inline distB="114300" distT="114300" distL="114300" distR="114300">
                  <wp:extent cx="619125" cy="190500"/>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9125" cy="190500"/>
                          </a:xfrm>
                          <a:prstGeom prst="rect"/>
                          <a:ln/>
                        </pic:spPr>
                      </pic:pic>
                    </a:graphicData>
                  </a:graphic>
                </wp:inline>
              </w:drawing>
            </w:r>
            <w:r w:rsidDel="00000000" w:rsidR="00000000" w:rsidRPr="00000000">
              <w:rPr>
                <w:b w:val="1"/>
                <w:color w:val="0b5394"/>
                <w:sz w:val="18"/>
                <w:szCs w:val="18"/>
              </w:rPr>
              <w:drawing>
                <wp:inline distB="114300" distT="114300" distL="114300" distR="114300">
                  <wp:extent cx="374650" cy="280988"/>
                  <wp:effectExtent b="0" l="0" r="0" t="0"/>
                  <wp:docPr id="1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74650" cy="280988"/>
                          </a:xfrm>
                          <a:prstGeom prst="rect"/>
                          <a:ln/>
                        </pic:spPr>
                      </pic:pic>
                    </a:graphicData>
                  </a:graphic>
                </wp:inline>
              </w:drawing>
            </w:r>
            <w:r w:rsidDel="00000000" w:rsidR="00000000" w:rsidRPr="00000000">
              <w:rPr>
                <w:b w:val="1"/>
                <w:color w:val="0b5394"/>
                <w:sz w:val="18"/>
                <w:szCs w:val="18"/>
              </w:rPr>
              <w:drawing>
                <wp:inline distB="114300" distT="114300" distL="114300" distR="114300">
                  <wp:extent cx="557213" cy="199004"/>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7213" cy="199004"/>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b539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0b5394"/>
              </w:rPr>
            </w:pPr>
            <w:r w:rsidDel="00000000" w:rsidR="00000000" w:rsidRPr="00000000">
              <w:rPr>
                <w:b w:val="1"/>
                <w:color w:val="0b5394"/>
                <w:rtl w:val="0"/>
              </w:rPr>
              <w:t xml:space="preserve">Kubernetes-native controls</w:t>
            </w:r>
          </w:p>
          <w:p w:rsidR="00000000" w:rsidDel="00000000" w:rsidP="00000000" w:rsidRDefault="00000000" w:rsidRPr="00000000" w14:paraId="0000001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4">
            <w:pPr>
              <w:rPr>
                <w:b w:val="1"/>
                <w:color w:val="0b5394"/>
                <w:sz w:val="18"/>
                <w:szCs w:val="18"/>
              </w:rPr>
            </w:pPr>
            <w:r w:rsidDel="00000000" w:rsidR="00000000" w:rsidRPr="00000000">
              <w:rPr>
                <w:sz w:val="18"/>
                <w:szCs w:val="18"/>
                <w:rtl w:val="0"/>
              </w:rPr>
              <w:t xml:space="preserve">StackRox taps the controls built into Kubernetes to enforce security policies, from admission control to network segmentation to scaling services to zero.</w:t>
            </w:r>
            <w:r w:rsidDel="00000000" w:rsidR="00000000" w:rsidRPr="00000000">
              <w:rPr>
                <w:rtl w:val="0"/>
              </w:rPr>
            </w:r>
          </w:p>
        </w:tc>
        <w:tc>
          <w:tcPr>
            <w:tcBorders>
              <w:left w:color="0b539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color w:val="0b5394"/>
                <w:sz w:val="18"/>
                <w:szCs w:val="18"/>
              </w:rPr>
            </w:pPr>
            <w:r w:rsidDel="00000000" w:rsidR="00000000" w:rsidRPr="00000000">
              <w:rPr>
                <w:b w:val="1"/>
                <w:color w:val="0b5394"/>
                <w:sz w:val="18"/>
                <w:szCs w:val="18"/>
              </w:rPr>
              <w:drawing>
                <wp:inline distB="114300" distT="114300" distL="114300" distR="114300">
                  <wp:extent cx="614363" cy="207672"/>
                  <wp:effectExtent b="0" l="0" r="0" t="0"/>
                  <wp:docPr id="1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14363" cy="207672"/>
                          </a:xfrm>
                          <a:prstGeom prst="rect"/>
                          <a:ln/>
                        </pic:spPr>
                      </pic:pic>
                    </a:graphicData>
                  </a:graphic>
                </wp:inline>
              </w:drawing>
            </w:r>
            <w:r w:rsidDel="00000000" w:rsidR="00000000" w:rsidRPr="00000000">
              <w:rPr>
                <w:b w:val="1"/>
                <w:color w:val="0b5394"/>
                <w:sz w:val="18"/>
                <w:szCs w:val="18"/>
                <w:rtl w:val="0"/>
              </w:rPr>
              <w:t xml:space="preserve"> </w:t>
            </w:r>
            <w:r w:rsidDel="00000000" w:rsidR="00000000" w:rsidRPr="00000000">
              <w:rPr>
                <w:b w:val="1"/>
                <w:color w:val="0b5394"/>
                <w:sz w:val="18"/>
                <w:szCs w:val="18"/>
              </w:rPr>
              <w:drawing>
                <wp:inline distB="114300" distT="114300" distL="114300" distR="114300">
                  <wp:extent cx="428625" cy="214313"/>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28625" cy="214313"/>
                          </a:xfrm>
                          <a:prstGeom prst="rect"/>
                          <a:ln/>
                        </pic:spPr>
                      </pic:pic>
                    </a:graphicData>
                  </a:graphic>
                </wp:inline>
              </w:drawing>
            </w:r>
            <w:r w:rsidDel="00000000" w:rsidR="00000000" w:rsidRPr="00000000">
              <w:rPr>
                <w:b w:val="1"/>
                <w:color w:val="0b5394"/>
                <w:sz w:val="18"/>
                <w:szCs w:val="18"/>
                <w:rtl w:val="0"/>
              </w:rPr>
              <w:t xml:space="preserve"> </w:t>
            </w:r>
            <w:r w:rsidDel="00000000" w:rsidR="00000000" w:rsidRPr="00000000">
              <w:rPr>
                <w:b w:val="1"/>
                <w:color w:val="0b5394"/>
                <w:sz w:val="18"/>
                <w:szCs w:val="18"/>
              </w:rPr>
              <w:drawing>
                <wp:inline distB="114300" distT="114300" distL="114300" distR="114300">
                  <wp:extent cx="757134" cy="338138"/>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57134" cy="338138"/>
                          </a:xfrm>
                          <a:prstGeom prst="rect"/>
                          <a:ln/>
                        </pic:spPr>
                      </pic:pic>
                    </a:graphicData>
                  </a:graphic>
                </wp:inline>
              </w:drawing>
            </w:r>
            <w:r w:rsidDel="00000000" w:rsidR="00000000" w:rsidRPr="00000000">
              <w:rPr>
                <w:b w:val="1"/>
                <w:color w:val="0b5394"/>
                <w:sz w:val="18"/>
                <w:szCs w:val="18"/>
              </w:rPr>
              <w:drawing>
                <wp:inline distB="114300" distT="114300" distL="114300" distR="114300">
                  <wp:extent cx="609600" cy="13335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09600" cy="133350"/>
                          </a:xfrm>
                          <a:prstGeom prst="rect"/>
                          <a:ln/>
                        </pic:spPr>
                      </pic:pic>
                    </a:graphicData>
                  </a:graphic>
                </wp:inline>
              </w:drawing>
            </w:r>
            <w:r w:rsidDel="00000000" w:rsidR="00000000" w:rsidRPr="00000000">
              <w:rPr>
                <w:b w:val="1"/>
                <w:color w:val="0b5394"/>
                <w:sz w:val="18"/>
                <w:szCs w:val="18"/>
              </w:rPr>
              <w:drawing>
                <wp:inline distB="114300" distT="114300" distL="114300" distR="114300">
                  <wp:extent cx="304800" cy="304800"/>
                  <wp:effectExtent b="0" l="0" r="0" t="0"/>
                  <wp:docPr id="1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b539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0b5394"/>
              </w:rPr>
            </w:pPr>
            <w:r w:rsidDel="00000000" w:rsidR="00000000" w:rsidRPr="00000000">
              <w:rPr>
                <w:b w:val="1"/>
                <w:color w:val="0b5394"/>
                <w:rtl w:val="0"/>
              </w:rPr>
              <w:t xml:space="preserve">Scale and portability</w:t>
            </w:r>
          </w:p>
          <w:p w:rsidR="00000000" w:rsidDel="00000000" w:rsidP="00000000" w:rsidRDefault="00000000" w:rsidRPr="00000000" w14:paraId="0000001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8">
            <w:pPr>
              <w:rPr>
                <w:b w:val="1"/>
                <w:color w:val="0b5394"/>
                <w:sz w:val="18"/>
                <w:szCs w:val="18"/>
              </w:rPr>
            </w:pPr>
            <w:r w:rsidDel="00000000" w:rsidR="00000000" w:rsidRPr="00000000">
              <w:rPr>
                <w:sz w:val="18"/>
                <w:szCs w:val="18"/>
                <w:rtl w:val="0"/>
              </w:rPr>
              <w:t xml:space="preserve">Just as Kubernetes enables portability across all your environments, the StackRox platform ensures you apply security policies consistently.</w:t>
            </w:r>
            <w:r w:rsidDel="00000000" w:rsidR="00000000" w:rsidRPr="00000000">
              <w:rPr>
                <w:rtl w:val="0"/>
              </w:rPr>
            </w:r>
          </w:p>
        </w:tc>
        <w:tc>
          <w:tcPr>
            <w:tcBorders>
              <w:left w:color="0b5394"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0b5394"/>
                <w:sz w:val="18"/>
                <w:szCs w:val="18"/>
              </w:rPr>
            </w:pPr>
            <w:r w:rsidDel="00000000" w:rsidR="00000000" w:rsidRPr="00000000">
              <w:rPr>
                <w:b w:val="1"/>
                <w:color w:val="0b5394"/>
                <w:sz w:val="18"/>
                <w:szCs w:val="18"/>
              </w:rPr>
              <w:drawing>
                <wp:inline distB="114300" distT="114300" distL="114300" distR="114300">
                  <wp:extent cx="486781" cy="585788"/>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86781" cy="585788"/>
                          </a:xfrm>
                          <a:prstGeom prst="rect"/>
                          <a:ln/>
                        </pic:spPr>
                      </pic:pic>
                    </a:graphicData>
                  </a:graphic>
                </wp:inline>
              </w:drawing>
            </w:r>
            <w:r w:rsidDel="00000000" w:rsidR="00000000" w:rsidRPr="00000000">
              <w:rPr>
                <w:b w:val="1"/>
                <w:color w:val="0b5394"/>
                <w:sz w:val="18"/>
                <w:szCs w:val="18"/>
                <w:rtl w:val="0"/>
              </w:rPr>
              <w:t xml:space="preserve"> </w:t>
            </w:r>
            <w:r w:rsidDel="00000000" w:rsidR="00000000" w:rsidRPr="00000000">
              <w:rPr>
                <w:b w:val="1"/>
                <w:color w:val="0b5394"/>
                <w:sz w:val="18"/>
                <w:szCs w:val="18"/>
              </w:rPr>
              <w:drawing>
                <wp:inline distB="114300" distT="114300" distL="114300" distR="114300">
                  <wp:extent cx="512713" cy="328136"/>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12713" cy="328136"/>
                          </a:xfrm>
                          <a:prstGeom prst="rect"/>
                          <a:ln/>
                        </pic:spPr>
                      </pic:pic>
                    </a:graphicData>
                  </a:graphic>
                </wp:inline>
              </w:drawing>
            </w:r>
            <w:r w:rsidDel="00000000" w:rsidR="00000000" w:rsidRPr="00000000">
              <w:rPr>
                <w:b w:val="1"/>
                <w:color w:val="0b5394"/>
                <w:sz w:val="18"/>
                <w:szCs w:val="18"/>
              </w:rPr>
              <w:drawing>
                <wp:inline distB="114300" distT="114300" distL="114300" distR="114300">
                  <wp:extent cx="620007" cy="452438"/>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20007" cy="452438"/>
                          </a:xfrm>
                          <a:prstGeom prst="rect"/>
                          <a:ln/>
                        </pic:spPr>
                      </pic:pic>
                    </a:graphicData>
                  </a:graphic>
                </wp:inline>
              </w:drawing>
            </w:r>
            <w:r w:rsidDel="00000000" w:rsidR="00000000" w:rsidRPr="00000000">
              <w:rPr>
                <w:b w:val="1"/>
                <w:color w:val="0b5394"/>
                <w:sz w:val="18"/>
                <w:szCs w:val="18"/>
              </w:rPr>
              <w:drawing>
                <wp:inline distB="114300" distT="114300" distL="114300" distR="114300">
                  <wp:extent cx="596868" cy="423863"/>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6868" cy="423863"/>
                          </a:xfrm>
                          <a:prstGeom prst="rect"/>
                          <a:ln/>
                        </pic:spPr>
                      </pic:pic>
                    </a:graphicData>
                  </a:graphic>
                </wp:inline>
              </w:drawing>
            </w:r>
            <w:r w:rsidDel="00000000" w:rsidR="00000000" w:rsidRPr="00000000">
              <w:rPr>
                <w:b w:val="1"/>
                <w:color w:val="0b5394"/>
                <w:sz w:val="18"/>
                <w:szCs w:val="18"/>
              </w:rPr>
              <w:drawing>
                <wp:inline distB="114300" distT="114300" distL="114300" distR="114300">
                  <wp:extent cx="676275" cy="234917"/>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76275" cy="2349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sz w:val="36"/>
          <w:szCs w:val="36"/>
          <w:rtl w:val="0"/>
        </w:rPr>
        <w:t xml:space="preserve">Build, deploy, and run securely. With StackRox.</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tbl>
      <w:tblPr>
        <w:tblStyle w:val="Table3"/>
        <w:tblW w:w="10800.0" w:type="dxa"/>
        <w:jc w:val="left"/>
        <w:tblInd w:w="100.80000000000001" w:type="pct"/>
        <w:tblLayout w:type="fixed"/>
        <w:tblLook w:val="0600"/>
      </w:tblPr>
      <w:tblGrid>
        <w:gridCol w:w="5400"/>
        <w:gridCol w:w="5400"/>
        <w:tblGridChange w:id="0">
          <w:tblGrid>
            <w:gridCol w:w="5400"/>
            <w:gridCol w:w="5400"/>
          </w:tblGrid>
        </w:tblGridChange>
      </w:tblGrid>
      <w:tr>
        <w:trPr>
          <w:trHeight w:val="440" w:hRule="atLeast"/>
        </w:trPr>
        <w:tc>
          <w:tcPr>
            <w:vMerge w:val="restart"/>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C">
            <w:pPr>
              <w:widowControl w:val="0"/>
              <w:spacing w:line="276" w:lineRule="auto"/>
              <w:ind w:left="0" w:firstLine="0"/>
              <w:rPr>
                <w:color w:val="0b5394"/>
              </w:rPr>
            </w:pPr>
            <w:r w:rsidDel="00000000" w:rsidR="00000000" w:rsidRPr="00000000">
              <w:rPr>
                <w:b w:val="1"/>
                <w:color w:val="0b5394"/>
                <w:rtl w:val="0"/>
              </w:rPr>
              <w:t xml:space="preserve">Visibility</w:t>
            </w:r>
            <w:r w:rsidDel="00000000" w:rsidR="00000000" w:rsidRPr="00000000">
              <w:rPr>
                <w:rtl w:val="0"/>
              </w:rPr>
            </w:r>
          </w:p>
          <w:p w:rsidR="00000000" w:rsidDel="00000000" w:rsidP="00000000" w:rsidRDefault="00000000" w:rsidRPr="00000000" w14:paraId="0000001D">
            <w:pPr>
              <w:widowControl w:val="0"/>
              <w:numPr>
                <w:ilvl w:val="0"/>
                <w:numId w:val="2"/>
              </w:numPr>
              <w:spacing w:line="276" w:lineRule="auto"/>
              <w:ind w:left="270" w:hanging="270"/>
              <w:rPr>
                <w:sz w:val="16"/>
                <w:szCs w:val="16"/>
                <w:u w:val="none"/>
              </w:rPr>
            </w:pPr>
            <w:r w:rsidDel="00000000" w:rsidR="00000000" w:rsidRPr="00000000">
              <w:rPr>
                <w:sz w:val="16"/>
                <w:szCs w:val="16"/>
                <w:rtl w:val="0"/>
              </w:rPr>
              <w:t xml:space="preserve">Delivers a comprehensive view of your deployments, including images, pods, and configurations</w:t>
            </w:r>
          </w:p>
          <w:p w:rsidR="00000000" w:rsidDel="00000000" w:rsidP="00000000" w:rsidRDefault="00000000" w:rsidRPr="00000000" w14:paraId="0000001E">
            <w:pPr>
              <w:widowControl w:val="0"/>
              <w:numPr>
                <w:ilvl w:val="0"/>
                <w:numId w:val="4"/>
              </w:numPr>
              <w:ind w:left="270" w:hanging="270"/>
              <w:rPr>
                <w:sz w:val="16"/>
                <w:szCs w:val="16"/>
                <w:u w:val="none"/>
              </w:rPr>
            </w:pPr>
            <w:r w:rsidDel="00000000" w:rsidR="00000000" w:rsidRPr="00000000">
              <w:rPr>
                <w:sz w:val="16"/>
                <w:szCs w:val="16"/>
                <w:rtl w:val="0"/>
              </w:rPr>
              <w:t xml:space="preserve">Discovers and displays network traffic in all clusters spanning namespaces, deployments, and pods</w:t>
            </w:r>
          </w:p>
          <w:p w:rsidR="00000000" w:rsidDel="00000000" w:rsidP="00000000" w:rsidRDefault="00000000" w:rsidRPr="00000000" w14:paraId="0000001F">
            <w:pPr>
              <w:widowControl w:val="0"/>
              <w:numPr>
                <w:ilvl w:val="0"/>
                <w:numId w:val="4"/>
              </w:numPr>
              <w:ind w:left="270" w:hanging="270"/>
              <w:rPr>
                <w:sz w:val="16"/>
                <w:szCs w:val="16"/>
                <w:u w:val="none"/>
              </w:rPr>
            </w:pPr>
            <w:r w:rsidDel="00000000" w:rsidR="00000000" w:rsidRPr="00000000">
              <w:rPr>
                <w:sz w:val="16"/>
                <w:szCs w:val="16"/>
                <w:rtl w:val="0"/>
              </w:rPr>
              <w:t xml:space="preserve">Captures all system-level events in each container</w:t>
            </w:r>
          </w:p>
          <w:p w:rsidR="00000000" w:rsidDel="00000000" w:rsidP="00000000" w:rsidRDefault="00000000" w:rsidRPr="00000000" w14:paraId="00000020">
            <w:pPr>
              <w:widowControl w:val="0"/>
              <w:rPr>
                <w:sz w:val="16"/>
                <w:szCs w:val="16"/>
              </w:rPr>
            </w:pPr>
            <w:r w:rsidDel="00000000" w:rsidR="00000000" w:rsidRPr="00000000">
              <w:rPr>
                <w:rtl w:val="0"/>
              </w:rPr>
            </w:r>
          </w:p>
          <w:p w:rsidR="00000000" w:rsidDel="00000000" w:rsidP="00000000" w:rsidRDefault="00000000" w:rsidRPr="00000000" w14:paraId="00000021">
            <w:pPr>
              <w:widowControl w:val="0"/>
              <w:spacing w:line="276" w:lineRule="auto"/>
              <w:rPr>
                <w:b w:val="1"/>
                <w:color w:val="0b5394"/>
              </w:rPr>
            </w:pPr>
            <w:r w:rsidDel="00000000" w:rsidR="00000000" w:rsidRPr="00000000">
              <w:rPr>
                <w:b w:val="1"/>
                <w:color w:val="0b5394"/>
                <w:rtl w:val="0"/>
              </w:rPr>
              <w:t xml:space="preserve">Vulnerability management</w:t>
            </w:r>
          </w:p>
          <w:p w:rsidR="00000000" w:rsidDel="00000000" w:rsidP="00000000" w:rsidRDefault="00000000" w:rsidRPr="00000000" w14:paraId="00000022">
            <w:pPr>
              <w:widowControl w:val="0"/>
              <w:numPr>
                <w:ilvl w:val="0"/>
                <w:numId w:val="8"/>
              </w:numPr>
              <w:spacing w:line="276" w:lineRule="auto"/>
              <w:ind w:left="270" w:hanging="270"/>
              <w:rPr>
                <w:sz w:val="16"/>
                <w:szCs w:val="16"/>
                <w:u w:val="none"/>
              </w:rPr>
            </w:pPr>
            <w:r w:rsidDel="00000000" w:rsidR="00000000" w:rsidRPr="00000000">
              <w:rPr>
                <w:sz w:val="16"/>
                <w:szCs w:val="16"/>
                <w:rtl w:val="0"/>
              </w:rPr>
              <w:t xml:space="preserve">Scans images for known vulnerabilities based on specific languages and packages and by image layer</w:t>
            </w:r>
          </w:p>
          <w:p w:rsidR="00000000" w:rsidDel="00000000" w:rsidP="00000000" w:rsidRDefault="00000000" w:rsidRPr="00000000" w14:paraId="00000023">
            <w:pPr>
              <w:widowControl w:val="0"/>
              <w:numPr>
                <w:ilvl w:val="0"/>
                <w:numId w:val="9"/>
              </w:numPr>
              <w:ind w:left="270" w:hanging="270"/>
              <w:rPr>
                <w:sz w:val="16"/>
                <w:szCs w:val="16"/>
                <w:u w:val="none"/>
              </w:rPr>
            </w:pPr>
            <w:r w:rsidDel="00000000" w:rsidR="00000000" w:rsidRPr="00000000">
              <w:rPr>
                <w:sz w:val="16"/>
                <w:szCs w:val="16"/>
                <w:rtl w:val="0"/>
              </w:rPr>
              <w:t xml:space="preserve">Correlates vulnerabilities to running deployments, not just images</w:t>
            </w:r>
          </w:p>
          <w:p w:rsidR="00000000" w:rsidDel="00000000" w:rsidP="00000000" w:rsidRDefault="00000000" w:rsidRPr="00000000" w14:paraId="00000024">
            <w:pPr>
              <w:widowControl w:val="0"/>
              <w:numPr>
                <w:ilvl w:val="0"/>
                <w:numId w:val="9"/>
              </w:numPr>
              <w:ind w:left="270" w:hanging="270"/>
              <w:rPr>
                <w:sz w:val="16"/>
                <w:szCs w:val="16"/>
                <w:u w:val="none"/>
              </w:rPr>
            </w:pPr>
            <w:r w:rsidDel="00000000" w:rsidR="00000000" w:rsidRPr="00000000">
              <w:rPr>
                <w:sz w:val="16"/>
                <w:szCs w:val="16"/>
                <w:rtl w:val="0"/>
              </w:rPr>
              <w:t xml:space="preserve">Enforces policies based on vulnerability details–at build time using CI/CD integrations, at deploy time using dynamic admission controls, and at runtime using native K8s controls </w:t>
            </w:r>
          </w:p>
          <w:p w:rsidR="00000000" w:rsidDel="00000000" w:rsidP="00000000" w:rsidRDefault="00000000" w:rsidRPr="00000000" w14:paraId="00000025">
            <w:pPr>
              <w:widowControl w:val="0"/>
              <w:rPr>
                <w:sz w:val="16"/>
                <w:szCs w:val="16"/>
              </w:rPr>
            </w:pPr>
            <w:r w:rsidDel="00000000" w:rsidR="00000000" w:rsidRPr="00000000">
              <w:rPr>
                <w:rtl w:val="0"/>
              </w:rPr>
            </w:r>
          </w:p>
          <w:p w:rsidR="00000000" w:rsidDel="00000000" w:rsidP="00000000" w:rsidRDefault="00000000" w:rsidRPr="00000000" w14:paraId="00000026">
            <w:pPr>
              <w:widowControl w:val="0"/>
              <w:spacing w:line="276" w:lineRule="auto"/>
              <w:rPr>
                <w:b w:val="1"/>
              </w:rPr>
            </w:pPr>
            <w:r w:rsidDel="00000000" w:rsidR="00000000" w:rsidRPr="00000000">
              <w:rPr>
                <w:b w:val="1"/>
                <w:color w:val="0b5394"/>
                <w:rtl w:val="0"/>
              </w:rPr>
              <w:t xml:space="preserve">Compliance</w:t>
            </w:r>
            <w:r w:rsidDel="00000000" w:rsidR="00000000" w:rsidRPr="00000000">
              <w:rPr>
                <w:rtl w:val="0"/>
              </w:rPr>
            </w:r>
          </w:p>
          <w:p w:rsidR="00000000" w:rsidDel="00000000" w:rsidP="00000000" w:rsidRDefault="00000000" w:rsidRPr="00000000" w14:paraId="00000027">
            <w:pPr>
              <w:widowControl w:val="0"/>
              <w:numPr>
                <w:ilvl w:val="0"/>
                <w:numId w:val="1"/>
              </w:numPr>
              <w:spacing w:line="276" w:lineRule="auto"/>
              <w:ind w:left="270" w:hanging="270"/>
              <w:rPr>
                <w:sz w:val="16"/>
                <w:szCs w:val="16"/>
                <w:u w:val="none"/>
              </w:rPr>
            </w:pPr>
            <w:r w:rsidDel="00000000" w:rsidR="00000000" w:rsidRPr="00000000">
              <w:rPr>
                <w:sz w:val="16"/>
                <w:szCs w:val="16"/>
                <w:rtl w:val="0"/>
              </w:rPr>
              <w:t xml:space="preserve">Assesses compliance across hundreds of controls for CIS Benchmarks, PCI, HIPAA, and NIST SP 800-190</w:t>
            </w:r>
          </w:p>
          <w:p w:rsidR="00000000" w:rsidDel="00000000" w:rsidP="00000000" w:rsidRDefault="00000000" w:rsidRPr="00000000" w14:paraId="00000028">
            <w:pPr>
              <w:widowControl w:val="0"/>
              <w:numPr>
                <w:ilvl w:val="0"/>
                <w:numId w:val="1"/>
              </w:numPr>
              <w:ind w:left="270" w:hanging="270"/>
              <w:rPr>
                <w:sz w:val="16"/>
                <w:szCs w:val="16"/>
                <w:u w:val="none"/>
              </w:rPr>
            </w:pPr>
            <w:r w:rsidDel="00000000" w:rsidR="00000000" w:rsidRPr="00000000">
              <w:rPr>
                <w:sz w:val="16"/>
                <w:szCs w:val="16"/>
                <w:rtl w:val="0"/>
              </w:rPr>
              <w:t xml:space="preserve">Delivers at-a-glance dashboards of overall compliance across each standard’s controls with evidence export to meet auditors’ needs</w:t>
            </w:r>
          </w:p>
          <w:p w:rsidR="00000000" w:rsidDel="00000000" w:rsidP="00000000" w:rsidRDefault="00000000" w:rsidRPr="00000000" w14:paraId="00000029">
            <w:pPr>
              <w:widowControl w:val="0"/>
              <w:numPr>
                <w:ilvl w:val="0"/>
                <w:numId w:val="1"/>
              </w:numPr>
              <w:ind w:left="270" w:hanging="270"/>
              <w:rPr>
                <w:sz w:val="16"/>
                <w:szCs w:val="16"/>
                <w:u w:val="none"/>
              </w:rPr>
            </w:pPr>
            <w:r w:rsidDel="00000000" w:rsidR="00000000" w:rsidRPr="00000000">
              <w:rPr>
                <w:sz w:val="16"/>
                <w:szCs w:val="16"/>
                <w:rtl w:val="0"/>
              </w:rPr>
              <w:t xml:space="preserve">Enables drill down into compliance details to pinpoint non-compliant clusters, nodes, or namespaces with specific standards and controls</w:t>
              <w:br w:type="textWrapping"/>
            </w:r>
          </w:p>
          <w:p w:rsidR="00000000" w:rsidDel="00000000" w:rsidP="00000000" w:rsidRDefault="00000000" w:rsidRPr="00000000" w14:paraId="0000002A">
            <w:pPr>
              <w:widowControl w:val="0"/>
              <w:spacing w:line="276" w:lineRule="auto"/>
              <w:rPr>
                <w:b w:val="1"/>
              </w:rPr>
            </w:pPr>
            <w:r w:rsidDel="00000000" w:rsidR="00000000" w:rsidRPr="00000000">
              <w:rPr>
                <w:b w:val="1"/>
                <w:color w:val="0b5394"/>
                <w:rtl w:val="0"/>
              </w:rPr>
              <w:t xml:space="preserve">Network segmentation </w:t>
            </w:r>
            <w:r w:rsidDel="00000000" w:rsidR="00000000" w:rsidRPr="00000000">
              <w:rPr>
                <w:rtl w:val="0"/>
              </w:rPr>
            </w:r>
          </w:p>
          <w:p w:rsidR="00000000" w:rsidDel="00000000" w:rsidP="00000000" w:rsidRDefault="00000000" w:rsidRPr="00000000" w14:paraId="0000002B">
            <w:pPr>
              <w:widowControl w:val="0"/>
              <w:numPr>
                <w:ilvl w:val="0"/>
                <w:numId w:val="5"/>
              </w:numPr>
              <w:spacing w:line="276" w:lineRule="auto"/>
              <w:ind w:left="270" w:hanging="270"/>
              <w:rPr>
                <w:sz w:val="16"/>
                <w:szCs w:val="16"/>
                <w:u w:val="none"/>
              </w:rPr>
            </w:pPr>
            <w:r w:rsidDel="00000000" w:rsidR="00000000" w:rsidRPr="00000000">
              <w:rPr>
                <w:sz w:val="16"/>
                <w:szCs w:val="16"/>
                <w:rtl w:val="0"/>
              </w:rPr>
              <w:t xml:space="preserve">Visualizes allowed vs. active traffic between namespaces, deployments, and pods, including showing external exposures</w:t>
            </w:r>
          </w:p>
          <w:p w:rsidR="00000000" w:rsidDel="00000000" w:rsidP="00000000" w:rsidRDefault="00000000" w:rsidRPr="00000000" w14:paraId="0000002C">
            <w:pPr>
              <w:widowControl w:val="0"/>
              <w:numPr>
                <w:ilvl w:val="0"/>
                <w:numId w:val="5"/>
              </w:numPr>
              <w:ind w:left="270" w:hanging="270"/>
              <w:rPr>
                <w:sz w:val="16"/>
                <w:szCs w:val="16"/>
                <w:u w:val="none"/>
              </w:rPr>
            </w:pPr>
            <w:r w:rsidDel="00000000" w:rsidR="00000000" w:rsidRPr="00000000">
              <w:rPr>
                <w:sz w:val="16"/>
                <w:szCs w:val="16"/>
                <w:rtl w:val="0"/>
              </w:rPr>
              <w:t xml:space="preserve">Simulates network policy changes before they’re implemented to minimize operational risk to the environment</w:t>
            </w:r>
          </w:p>
          <w:p w:rsidR="00000000" w:rsidDel="00000000" w:rsidP="00000000" w:rsidRDefault="00000000" w:rsidRPr="00000000" w14:paraId="0000002D">
            <w:pPr>
              <w:widowControl w:val="0"/>
              <w:numPr>
                <w:ilvl w:val="0"/>
                <w:numId w:val="5"/>
              </w:numPr>
              <w:ind w:left="270" w:hanging="270"/>
              <w:rPr>
                <w:sz w:val="16"/>
                <w:szCs w:val="16"/>
                <w:u w:val="none"/>
              </w:rPr>
            </w:pPr>
            <w:r w:rsidDel="00000000" w:rsidR="00000000" w:rsidRPr="00000000">
              <w:rPr>
                <w:sz w:val="16"/>
                <w:szCs w:val="16"/>
                <w:rtl w:val="0"/>
              </w:rPr>
              <w:t xml:space="preserve">Baselines network activity and recommends new Kubernetes network policies to remove unnecessary network connections</w:t>
            </w:r>
          </w:p>
          <w:p w:rsidR="00000000" w:rsidDel="00000000" w:rsidP="00000000" w:rsidRDefault="00000000" w:rsidRPr="00000000" w14:paraId="0000002E">
            <w:pPr>
              <w:widowControl w:val="0"/>
              <w:numPr>
                <w:ilvl w:val="0"/>
                <w:numId w:val="5"/>
              </w:numPr>
              <w:ind w:left="270" w:hanging="270"/>
              <w:rPr>
                <w:sz w:val="16"/>
                <w:szCs w:val="16"/>
                <w:u w:val="none"/>
              </w:rPr>
            </w:pPr>
            <w:r w:rsidDel="00000000" w:rsidR="00000000" w:rsidRPr="00000000">
              <w:rPr>
                <w:sz w:val="16"/>
                <w:szCs w:val="16"/>
                <w:rtl w:val="0"/>
              </w:rPr>
              <w:t xml:space="preserve">Leverages network enforcement capabilities built into Kubernetes to ensure consistent, portable, and scalable segmentation</w:t>
            </w:r>
          </w:p>
        </w:tc>
        <w:tc>
          <w:tcPr>
            <w:vMerge w:val="restart"/>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2F">
            <w:pPr>
              <w:widowControl w:val="0"/>
              <w:spacing w:line="276" w:lineRule="auto"/>
              <w:rPr>
                <w:sz w:val="16"/>
                <w:szCs w:val="16"/>
              </w:rPr>
            </w:pPr>
            <w:r w:rsidDel="00000000" w:rsidR="00000000" w:rsidRPr="00000000">
              <w:rPr>
                <w:b w:val="1"/>
                <w:color w:val="0b5394"/>
                <w:rtl w:val="0"/>
              </w:rPr>
              <w:t xml:space="preserve">Risk profiling</w:t>
            </w:r>
            <w:r w:rsidDel="00000000" w:rsidR="00000000" w:rsidRPr="00000000">
              <w:rPr>
                <w:rtl w:val="0"/>
              </w:rPr>
            </w:r>
          </w:p>
          <w:p w:rsidR="00000000" w:rsidDel="00000000" w:rsidP="00000000" w:rsidRDefault="00000000" w:rsidRPr="00000000" w14:paraId="00000030">
            <w:pPr>
              <w:widowControl w:val="0"/>
              <w:numPr>
                <w:ilvl w:val="0"/>
                <w:numId w:val="10"/>
              </w:numPr>
              <w:spacing w:line="276" w:lineRule="auto"/>
              <w:ind w:left="270" w:hanging="270"/>
              <w:rPr>
                <w:sz w:val="16"/>
                <w:szCs w:val="16"/>
                <w:u w:val="none"/>
              </w:rPr>
            </w:pPr>
            <w:r w:rsidDel="00000000" w:rsidR="00000000" w:rsidRPr="00000000">
              <w:rPr>
                <w:sz w:val="16"/>
                <w:szCs w:val="16"/>
                <w:rtl w:val="0"/>
              </w:rPr>
              <w:t xml:space="preserve">Ranks your running deployments according to their security risk, leveraging Kubernetes data to prioritize vulnerabilities using configuration or deployment details as well as runtime activity</w:t>
            </w:r>
          </w:p>
          <w:p w:rsidR="00000000" w:rsidDel="00000000" w:rsidP="00000000" w:rsidRDefault="00000000" w:rsidRPr="00000000" w14:paraId="00000031">
            <w:pPr>
              <w:widowControl w:val="0"/>
              <w:numPr>
                <w:ilvl w:val="0"/>
                <w:numId w:val="10"/>
              </w:numPr>
              <w:ind w:left="270" w:hanging="270"/>
              <w:rPr>
                <w:sz w:val="16"/>
                <w:szCs w:val="16"/>
                <w:u w:val="none"/>
              </w:rPr>
            </w:pPr>
            <w:r w:rsidDel="00000000" w:rsidR="00000000" w:rsidRPr="00000000">
              <w:rPr>
                <w:sz w:val="16"/>
                <w:szCs w:val="16"/>
                <w:rtl w:val="0"/>
              </w:rPr>
              <w:t xml:space="preserve">Tracks improvements in your security posture of your Kubernetes deployments to validate the impact of your security team’s actions </w:t>
            </w:r>
          </w:p>
          <w:p w:rsidR="00000000" w:rsidDel="00000000" w:rsidP="00000000" w:rsidRDefault="00000000" w:rsidRPr="00000000" w14:paraId="00000032">
            <w:pPr>
              <w:widowControl w:val="0"/>
              <w:rPr>
                <w:sz w:val="16"/>
                <w:szCs w:val="16"/>
              </w:rPr>
            </w:pPr>
            <w:r w:rsidDel="00000000" w:rsidR="00000000" w:rsidRPr="00000000">
              <w:rPr>
                <w:rtl w:val="0"/>
              </w:rPr>
            </w:r>
          </w:p>
          <w:p w:rsidR="00000000" w:rsidDel="00000000" w:rsidP="00000000" w:rsidRDefault="00000000" w:rsidRPr="00000000" w14:paraId="00000033">
            <w:pPr>
              <w:widowControl w:val="0"/>
              <w:spacing w:line="276" w:lineRule="auto"/>
              <w:rPr>
                <w:b w:val="1"/>
              </w:rPr>
            </w:pPr>
            <w:r w:rsidDel="00000000" w:rsidR="00000000" w:rsidRPr="00000000">
              <w:rPr>
                <w:b w:val="1"/>
                <w:color w:val="0b5394"/>
                <w:rtl w:val="0"/>
              </w:rPr>
              <w:t xml:space="preserve">Configuration management</w:t>
            </w:r>
            <w:r w:rsidDel="00000000" w:rsidR="00000000" w:rsidRPr="00000000">
              <w:rPr>
                <w:rtl w:val="0"/>
              </w:rPr>
            </w:r>
          </w:p>
          <w:p w:rsidR="00000000" w:rsidDel="00000000" w:rsidP="00000000" w:rsidRDefault="00000000" w:rsidRPr="00000000" w14:paraId="00000034">
            <w:pPr>
              <w:widowControl w:val="0"/>
              <w:numPr>
                <w:ilvl w:val="0"/>
                <w:numId w:val="6"/>
              </w:numPr>
              <w:spacing w:line="276" w:lineRule="auto"/>
              <w:ind w:left="270" w:hanging="270"/>
              <w:rPr>
                <w:sz w:val="16"/>
                <w:szCs w:val="16"/>
                <w:u w:val="none"/>
              </w:rPr>
            </w:pPr>
            <w:r w:rsidDel="00000000" w:rsidR="00000000" w:rsidRPr="00000000">
              <w:rPr>
                <w:sz w:val="16"/>
                <w:szCs w:val="16"/>
                <w:rtl w:val="0"/>
              </w:rPr>
              <w:t xml:space="preserve">Delivers pre-built DevOps and Security policies to identify configuration violations related to network exposures, privileged containers, processes running as root, and compliance with industry standards </w:t>
            </w:r>
          </w:p>
          <w:p w:rsidR="00000000" w:rsidDel="00000000" w:rsidP="00000000" w:rsidRDefault="00000000" w:rsidRPr="00000000" w14:paraId="00000035">
            <w:pPr>
              <w:widowControl w:val="0"/>
              <w:numPr>
                <w:ilvl w:val="0"/>
                <w:numId w:val="6"/>
              </w:numPr>
              <w:ind w:left="270" w:hanging="270"/>
              <w:rPr>
                <w:sz w:val="16"/>
                <w:szCs w:val="16"/>
                <w:u w:val="none"/>
              </w:rPr>
            </w:pPr>
            <w:r w:rsidDel="00000000" w:rsidR="00000000" w:rsidRPr="00000000">
              <w:rPr>
                <w:sz w:val="16"/>
                <w:szCs w:val="16"/>
                <w:rtl w:val="0"/>
              </w:rPr>
              <w:t xml:space="preserve">Analyzes Kubernetes RBAC settings to determine user or service account privileges and misconfigurations</w:t>
            </w:r>
          </w:p>
          <w:p w:rsidR="00000000" w:rsidDel="00000000" w:rsidP="00000000" w:rsidRDefault="00000000" w:rsidRPr="00000000" w14:paraId="00000036">
            <w:pPr>
              <w:widowControl w:val="0"/>
              <w:numPr>
                <w:ilvl w:val="0"/>
                <w:numId w:val="6"/>
              </w:numPr>
              <w:ind w:left="270" w:hanging="270"/>
              <w:rPr>
                <w:sz w:val="16"/>
                <w:szCs w:val="16"/>
                <w:u w:val="none"/>
              </w:rPr>
            </w:pPr>
            <w:r w:rsidDel="00000000" w:rsidR="00000000" w:rsidRPr="00000000">
              <w:rPr>
                <w:sz w:val="16"/>
                <w:szCs w:val="16"/>
                <w:rtl w:val="0"/>
              </w:rPr>
              <w:t xml:space="preserve">Tracks secrets and which deployments use them to limit access</w:t>
            </w:r>
          </w:p>
          <w:p w:rsidR="00000000" w:rsidDel="00000000" w:rsidP="00000000" w:rsidRDefault="00000000" w:rsidRPr="00000000" w14:paraId="00000037">
            <w:pPr>
              <w:widowControl w:val="0"/>
              <w:numPr>
                <w:ilvl w:val="0"/>
                <w:numId w:val="6"/>
              </w:numPr>
              <w:ind w:left="270" w:hanging="270"/>
              <w:rPr>
                <w:sz w:val="16"/>
                <w:szCs w:val="16"/>
                <w:u w:val="none"/>
              </w:rPr>
            </w:pPr>
            <w:r w:rsidDel="00000000" w:rsidR="00000000" w:rsidRPr="00000000">
              <w:rPr>
                <w:sz w:val="16"/>
                <w:szCs w:val="16"/>
                <w:rtl w:val="0"/>
              </w:rPr>
              <w:t xml:space="preserve">Enforces configuration policies – at build time with CI/CD integration and at deploy time using dynamic admission control</w:t>
            </w:r>
          </w:p>
          <w:p w:rsidR="00000000" w:rsidDel="00000000" w:rsidP="00000000" w:rsidRDefault="00000000" w:rsidRPr="00000000" w14:paraId="00000038">
            <w:pPr>
              <w:widowControl w:val="0"/>
              <w:rPr>
                <w:sz w:val="16"/>
                <w:szCs w:val="16"/>
              </w:rPr>
            </w:pPr>
            <w:r w:rsidDel="00000000" w:rsidR="00000000" w:rsidRPr="00000000">
              <w:rPr>
                <w:rtl w:val="0"/>
              </w:rPr>
            </w:r>
          </w:p>
          <w:p w:rsidR="00000000" w:rsidDel="00000000" w:rsidP="00000000" w:rsidRDefault="00000000" w:rsidRPr="00000000" w14:paraId="00000039">
            <w:pPr>
              <w:widowControl w:val="0"/>
              <w:spacing w:line="276" w:lineRule="auto"/>
              <w:rPr>
                <w:b w:val="1"/>
              </w:rPr>
            </w:pPr>
            <w:r w:rsidDel="00000000" w:rsidR="00000000" w:rsidRPr="00000000">
              <w:rPr>
                <w:b w:val="1"/>
                <w:color w:val="0b5394"/>
                <w:rtl w:val="0"/>
              </w:rPr>
              <w:t xml:space="preserve">Runtime detection and response</w:t>
            </w:r>
            <w:r w:rsidDel="00000000" w:rsidR="00000000" w:rsidRPr="00000000">
              <w:rPr>
                <w:rtl w:val="0"/>
              </w:rPr>
            </w:r>
          </w:p>
          <w:p w:rsidR="00000000" w:rsidDel="00000000" w:rsidP="00000000" w:rsidRDefault="00000000" w:rsidRPr="00000000" w14:paraId="0000003A">
            <w:pPr>
              <w:widowControl w:val="0"/>
              <w:numPr>
                <w:ilvl w:val="0"/>
                <w:numId w:val="7"/>
              </w:numPr>
              <w:spacing w:line="276" w:lineRule="auto"/>
              <w:ind w:left="270" w:hanging="270"/>
              <w:rPr>
                <w:sz w:val="16"/>
                <w:szCs w:val="16"/>
                <w:u w:val="none"/>
              </w:rPr>
            </w:pPr>
            <w:r w:rsidDel="00000000" w:rsidR="00000000" w:rsidRPr="00000000">
              <w:rPr>
                <w:sz w:val="16"/>
                <w:szCs w:val="16"/>
                <w:rtl w:val="0"/>
              </w:rPr>
              <w:t xml:space="preserve">Monitors system-level events within containers to detect anomalous activity indicative of a threat with automated response using Kubernetes-native controls</w:t>
            </w:r>
          </w:p>
          <w:p w:rsidR="00000000" w:rsidDel="00000000" w:rsidP="00000000" w:rsidRDefault="00000000" w:rsidRPr="00000000" w14:paraId="0000003B">
            <w:pPr>
              <w:widowControl w:val="0"/>
              <w:numPr>
                <w:ilvl w:val="0"/>
                <w:numId w:val="7"/>
              </w:numPr>
              <w:ind w:left="270" w:hanging="270"/>
              <w:rPr>
                <w:sz w:val="16"/>
                <w:szCs w:val="16"/>
                <w:u w:val="none"/>
              </w:rPr>
            </w:pPr>
            <w:r w:rsidDel="00000000" w:rsidR="00000000" w:rsidRPr="00000000">
              <w:rPr>
                <w:sz w:val="16"/>
                <w:szCs w:val="16"/>
                <w:rtl w:val="0"/>
              </w:rPr>
              <w:t xml:space="preserve">Baselines process activity in containers to automatically whitelist processes, eliminating the need to manually whitelist</w:t>
            </w:r>
          </w:p>
          <w:p w:rsidR="00000000" w:rsidDel="00000000" w:rsidP="00000000" w:rsidRDefault="00000000" w:rsidRPr="00000000" w14:paraId="0000003C">
            <w:pPr>
              <w:widowControl w:val="0"/>
              <w:numPr>
                <w:ilvl w:val="0"/>
                <w:numId w:val="7"/>
              </w:numPr>
              <w:ind w:left="270" w:hanging="270"/>
              <w:rPr>
                <w:sz w:val="16"/>
                <w:szCs w:val="16"/>
                <w:u w:val="none"/>
              </w:rPr>
            </w:pPr>
            <w:r w:rsidDel="00000000" w:rsidR="00000000" w:rsidRPr="00000000">
              <w:rPr>
                <w:sz w:val="16"/>
                <w:szCs w:val="16"/>
                <w:rtl w:val="0"/>
              </w:rPr>
              <w:t xml:space="preserve">Leverages pre-built policies to detect crypto mining, privilege escalation and various exploits</w:t>
            </w:r>
          </w:p>
          <w:p w:rsidR="00000000" w:rsidDel="00000000" w:rsidP="00000000" w:rsidRDefault="00000000" w:rsidRPr="00000000" w14:paraId="0000003D">
            <w:pPr>
              <w:widowControl w:val="0"/>
              <w:numPr>
                <w:ilvl w:val="0"/>
                <w:numId w:val="7"/>
              </w:numPr>
              <w:ind w:left="270" w:hanging="270"/>
              <w:rPr>
                <w:sz w:val="16"/>
                <w:szCs w:val="16"/>
                <w:u w:val="none"/>
              </w:rPr>
            </w:pPr>
            <w:r w:rsidDel="00000000" w:rsidR="00000000" w:rsidRPr="00000000">
              <w:rPr>
                <w:sz w:val="16"/>
                <w:szCs w:val="16"/>
                <w:rtl w:val="0"/>
              </w:rPr>
              <w:t xml:space="preserve">Enables flexible system-level data collection using either eBPF or a kernel module across every major Linux distribution</w:t>
            </w:r>
          </w:p>
          <w:p w:rsidR="00000000" w:rsidDel="00000000" w:rsidP="00000000" w:rsidRDefault="00000000" w:rsidRPr="00000000" w14:paraId="0000003E">
            <w:pPr>
              <w:widowControl w:val="0"/>
              <w:rPr>
                <w:sz w:val="16"/>
                <w:szCs w:val="16"/>
              </w:rPr>
            </w:pPr>
            <w:r w:rsidDel="00000000" w:rsidR="00000000" w:rsidRPr="00000000">
              <w:rPr>
                <w:rtl w:val="0"/>
              </w:rPr>
            </w:r>
          </w:p>
          <w:p w:rsidR="00000000" w:rsidDel="00000000" w:rsidP="00000000" w:rsidRDefault="00000000" w:rsidRPr="00000000" w14:paraId="0000003F">
            <w:pPr>
              <w:widowControl w:val="0"/>
              <w:spacing w:line="276" w:lineRule="auto"/>
              <w:rPr>
                <w:b w:val="1"/>
                <w:color w:val="0b5394"/>
              </w:rPr>
            </w:pPr>
            <w:r w:rsidDel="00000000" w:rsidR="00000000" w:rsidRPr="00000000">
              <w:rPr>
                <w:b w:val="1"/>
                <w:color w:val="0b5394"/>
                <w:rtl w:val="0"/>
              </w:rPr>
              <w:t xml:space="preserve">Integrations</w:t>
            </w:r>
          </w:p>
          <w:p w:rsidR="00000000" w:rsidDel="00000000" w:rsidP="00000000" w:rsidRDefault="00000000" w:rsidRPr="00000000" w14:paraId="00000040">
            <w:pPr>
              <w:widowControl w:val="0"/>
              <w:numPr>
                <w:ilvl w:val="0"/>
                <w:numId w:val="3"/>
              </w:numPr>
              <w:spacing w:line="276" w:lineRule="auto"/>
              <w:ind w:left="270" w:hanging="270"/>
              <w:rPr>
                <w:sz w:val="16"/>
                <w:szCs w:val="16"/>
                <w:u w:val="none"/>
              </w:rPr>
            </w:pPr>
            <w:r w:rsidDel="00000000" w:rsidR="00000000" w:rsidRPr="00000000">
              <w:rPr>
                <w:sz w:val="16"/>
                <w:szCs w:val="16"/>
                <w:rtl w:val="0"/>
              </w:rPr>
              <w:t xml:space="preserve">Provides a rich API and pre-built plugins to integrate with DevOps systems, including CI/CD tools, image scanners, registries, container runtimes, SIEMs, and notification tools </w:t>
            </w:r>
          </w:p>
        </w:tc>
      </w:tr>
      <w:tr>
        <w:trPr>
          <w:trHeight w:val="420" w:hRule="atLeast"/>
        </w:trPr>
        <w:tc>
          <w:tcPr>
            <w:vMerge w:val="continue"/>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rtl w:val="0"/>
              </w:rPr>
            </w:r>
          </w:p>
        </w:tc>
        <w:tc>
          <w:tcPr>
            <w:vMerge w:val="continue"/>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rtl w:val="0"/>
              </w:rPr>
            </w:r>
          </w:p>
        </w:tc>
      </w:tr>
      <w:tr>
        <w:trPr>
          <w:trHeight w:val="420" w:hRule="atLeast"/>
        </w:trPr>
        <w:tc>
          <w:tcPr>
            <w:vMerge w:val="continue"/>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rtl w:val="0"/>
              </w:rPr>
            </w:r>
          </w:p>
        </w:tc>
        <w:tc>
          <w:tcPr>
            <w:vMerge w:val="continue"/>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44">
            <w:pPr>
              <w:widowControl w:val="0"/>
              <w:spacing w:line="240" w:lineRule="auto"/>
              <w:rPr>
                <w:sz w:val="16"/>
                <w:szCs w:val="16"/>
              </w:rPr>
            </w:pPr>
            <w:r w:rsidDel="00000000" w:rsidR="00000000" w:rsidRPr="00000000">
              <w:rPr>
                <w:rtl w:val="0"/>
              </w:rPr>
            </w:r>
          </w:p>
        </w:tc>
      </w:tr>
      <w:tr>
        <w:trPr>
          <w:trHeight w:val="420" w:hRule="atLeast"/>
        </w:trPr>
        <w:tc>
          <w:tcPr>
            <w:vMerge w:val="continue"/>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45">
            <w:pPr>
              <w:widowControl w:val="0"/>
              <w:spacing w:line="240" w:lineRule="auto"/>
              <w:rPr>
                <w:sz w:val="16"/>
                <w:szCs w:val="16"/>
              </w:rPr>
            </w:pPr>
            <w:r w:rsidDel="00000000" w:rsidR="00000000" w:rsidRPr="00000000">
              <w:rPr>
                <w:rtl w:val="0"/>
              </w:rPr>
            </w:r>
          </w:p>
        </w:tc>
        <w:tc>
          <w:tcPr>
            <w:vMerge w:val="continue"/>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46">
            <w:pPr>
              <w:widowControl w:val="0"/>
              <w:spacing w:line="240" w:lineRule="auto"/>
              <w:rPr>
                <w:b w:val="1"/>
                <w:color w:val="0b5394"/>
              </w:rPr>
            </w:pPr>
            <w:r w:rsidDel="00000000" w:rsidR="00000000" w:rsidRPr="00000000">
              <w:rPr>
                <w:rtl w:val="0"/>
              </w:rPr>
            </w:r>
          </w:p>
        </w:tc>
      </w:tr>
    </w:tbl>
    <w:p w:rsidR="00000000" w:rsidDel="00000000" w:rsidP="00000000" w:rsidRDefault="00000000" w:rsidRPr="00000000" w14:paraId="00000047">
      <w:pPr>
        <w:rPr>
          <w:sz w:val="28"/>
          <w:szCs w:val="28"/>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8190"/>
        <w:tblGridChange w:id="0">
          <w:tblGrid>
            <w:gridCol w:w="2610"/>
            <w:gridCol w:w="819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rPr>
                <w:sz w:val="28"/>
                <w:szCs w:val="28"/>
              </w:rPr>
            </w:pPr>
            <w:r w:rsidDel="00000000" w:rsidR="00000000" w:rsidRPr="00000000">
              <w:rPr>
                <w:sz w:val="28"/>
                <w:szCs w:val="28"/>
                <w:rtl w:val="0"/>
              </w:rPr>
              <w:t xml:space="preserve">StackRox Kubernetes Security Platform Architecture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rPr>
            </w:pPr>
            <w:commentRangeStart w:id="3"/>
            <w:r w:rsidDel="00000000" w:rsidR="00000000" w:rsidRPr="00000000">
              <w:rPr>
                <w:b w:val="1"/>
              </w:rPr>
              <w:drawing>
                <wp:inline distB="114300" distT="114300" distL="114300" distR="114300">
                  <wp:extent cx="4145643" cy="2176463"/>
                  <wp:effectExtent b="0" l="0" r="0" t="0"/>
                  <wp:docPr id="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145643" cy="2176463"/>
                          </a:xfrm>
                          <a:prstGeom prst="rect"/>
                          <a:ln/>
                        </pic:spPr>
                      </pic:pic>
                    </a:graphicData>
                  </a:graphic>
                </wp:inline>
              </w:drawing>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jmal Kohgadai" w:id="2" w:date="2020-02-14T01:24:29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do side-by-side or stacked on top of each other for these two sections. Depending on which one looks cleaner.</w:t>
      </w:r>
    </w:p>
  </w:comment>
  <w:comment w:author="Ajmal Kohgadai" w:id="1" w:date="2020-02-14T00:18:42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background blue background color of the image to bleed it off the left and right edge of this section.</w:t>
      </w:r>
    </w:p>
  </w:comment>
  <w:comment w:author="Ajmal Kohgadai" w:id="3" w:date="2020-02-15T00:52:1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the circle up top to be a rectangle, and decrease the height, remove the faded out logo and instead use the logo/style that appears in the boxes below. Next to that logo, put the words UI / API SERVER and below that DATA ANALYSIS / MACHINE LEARNING, and get rid of that arrow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remove one of the two boxes in the bottom row on the right side, and just make the remaining two boxes a bit wider if needed.</w:t>
      </w:r>
    </w:p>
  </w:comment>
  <w:comment w:author="Ajmal Kohgadai" w:id="0" w:date="2020-02-14T16:52:40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"Platform datasheet" on the top right or left corner above this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4.png"/><Relationship Id="rId22" Type="http://schemas.openxmlformats.org/officeDocument/2006/relationships/image" Target="media/image16.png"/><Relationship Id="rId10" Type="http://schemas.openxmlformats.org/officeDocument/2006/relationships/image" Target="media/image9.png"/><Relationship Id="rId21"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