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color w:val="1F4E5A"/>
          <w:sz w:val="44"/>
          <w:szCs w:val="44"/>
        </w:rPr>
        <w:t xml:space="preserve">발 명 신 고 서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color w:val="7A8790"/>
          <w:sz w:val="20"/>
          <w:szCs w:val="20"/>
        </w:rPr>
        <w:t xml:space="preserve">Invention Disclosure Form</w:t>
      </w:r>
    </w:p>
    <w:p>
      <w:pPr>
        <w:spacing w:after="700"/>
        <w:jc w:val="center"/>
      </w:pPr>
      <w:r>
        <w:rPr>
          <w:rFonts w:ascii="Malgun Gothic" w:cs="Malgun Gothic" w:eastAsia="Malgun Gothic" w:hAnsi="Malgun Gothic"/>
          <w:color w:val="A0392E"/>
          <w:sz w:val="19"/>
          <w:szCs w:val="19"/>
        </w:rPr>
        <w:t xml:space="preserve">(변리사 검토용 초안 — 정식 선행기술조사 전)</w:t>
      </w:r>
    </w:p>
    <w:p>
      <w:pPr>
        <w:pBdr>
          <w:top w:val="single" w:color="1F4E5A" w:sz="8" w:space="12"/>
          <w:bottom w:val="single" w:color="1F4E5A" w:sz="8" w:space="12"/>
        </w:pBdr>
        <w:spacing w:after="200"/>
        <w:jc w:val="center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보안등급 라벨의 원장 기반 검증 및 기관 간 상호인정 방법</w:t>
      </w:r>
    </w:p>
    <w:p>
      <w:pPr>
        <w:spacing w:after="800"/>
        <w:jc w:val="center"/>
      </w:pPr>
      <w:r>
        <w:rPr>
          <w:rFonts w:ascii="Malgun Gothic" w:cs="Malgun Gothic" w:eastAsia="Malgun Gothic" w:hAnsi="Malgun Gothic"/>
          <w:color w:val="7A8790"/>
          <w:sz w:val="20"/>
          <w:szCs w:val="20"/>
        </w:rPr>
        <w:t xml:space="preserve">(가칭 "Signet" 문서 라벨 체계)</w:t>
      </w:r>
    </w:p>
    <w:tbl>
      <w:tblPr>
        <w:tblW w:type="dxa" w:w="9360"/>
        <w:tblBorders>
          <w:top w:val="single" w:color="B9C4CA" w:sz="4"/>
          <w:left w:val="single" w:color="B9C4CA" w:sz="4"/>
          <w:bottom w:val="single" w:color="B9C4CA" w:sz="4"/>
          <w:right w:val="single" w:color="B9C4CA" w:sz="4"/>
          <w:insideH w:val="single" w:color="D5DDE2" w:sz="2"/>
          <w:insideV w:val="single" w:color="D5DDE2" w:sz="2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E8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6960"/>
            <w:shd w:fill="E8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발명의 명칭(국문)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보안등급 라벨의 원장 기반 검증 및 기관 간 상호인정 방법과 그 시스템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발명의 명칭(영문)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Method and System for Ledger-Based Verification and Inter-Organizational Recognition of Security Classification Labels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출원 예정 구분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① 주 발명(A) 국내 특허 출원 / ② 분리 출원 후보(B) 검토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발명자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(작성 필요)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출원인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(작성 필요 — 컨소시엄 권리 배분 확인 후 확정)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관련 과제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2026년 국가 망 보안체계(N2SF) 도입 지원사업 (우정사업본부)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작성일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2026-09-03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긴급도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높음 — 데모 공개·발표 이전 출원 필요 (아래 §8 참조)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A" w:sz="8" w:space="6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4E5A"/>
          <w:sz w:val="28"/>
          <w:szCs w:val="28"/>
        </w:rPr>
        <w:t xml:space="preserve">0. 발명 요약 (Executive Summary)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신고서는 문서에 부착된 보안등급 라벨의 신뢰성 문제를 해결하기 위한 두 건의 발명을 담는다. 두 발명은 하나의 시스템에서 함께 동작하나, 선행기술 상황이 달라 출원 전략을 구분한다.</w:t>
      </w:r>
    </w:p>
    <w:p>
      <w:pPr>
        <w:spacing w:after="60"/>
      </w:pPr>
    </w:p>
    <w:tbl>
      <w:tblPr>
        <w:tblW w:type="dxa" w:w="9360"/>
        <w:tblBorders>
          <w:top w:val="single" w:color="B9C4CA" w:sz="4"/>
          <w:left w:val="single" w:color="B9C4CA" w:sz="4"/>
          <w:bottom w:val="single" w:color="B9C4CA" w:sz="4"/>
          <w:right w:val="single" w:color="B9C4CA" w:sz="4"/>
          <w:insideH w:val="single" w:color="D5DDE2" w:sz="2"/>
          <w:insideV w:val="single" w:color="D5DDE2" w:sz="2"/>
        </w:tblBorders>
      </w:tblPr>
      <w:tblGrid>
        <w:gridCol w:w="1000"/>
        <w:gridCol w:w="3200"/>
        <w:gridCol w:w="5160"/>
      </w:tblGrid>
      <w:tr>
        <w:trPr>
          <w:tblHeader/>
        </w:trPr>
        <w:tc>
          <w:tcPr>
            <w:tcW w:type="dxa" w:w="1000"/>
            <w:shd w:fill="E8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3200"/>
            <w:shd w:fill="E8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발명</w:t>
            </w:r>
          </w:p>
        </w:tc>
        <w:tc>
          <w:tcPr>
            <w:tcW w:type="dxa" w:w="5160"/>
            <w:shd w:fill="E8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핵심 착안점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발명 A
(주 발명)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라벨 검증 실패 시 콘텐츠 해시로 원장을 조회하여 원 분류를 귀속하되 통과는 차단하는 순차 판정 방법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라벨은 제거·위조될 수 있으나 콘텐츠 해시는 파일과 분리 불가능하다는 점을 이용하여, "차단(정책)"과 "귀속(추적)"을 분리 수행한다. 문서 수정 시 해시 불일치로 라벨이 자동 무효화되어 재분류로 회귀하는 폐루프를 형성한다.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발명 B
(분리 후보)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기관 간 등가 협약의 존재 여부를 판정 조건으로 삼는 라벨 상호인정 방법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서명 체인이 유효하더라도 발급기관과 검증기관 사이에 등급 등가 협약이 등록되어 있지 않으면 등급 해석 불가로 보아 미분류(U)로 강등·차단한다. 등급 체계의 통일 없이 상호운용을 달성한다.</w:t>
            </w:r>
          </w:p>
        </w:tc>
      </w:tr>
    </w:tbl>
    <w:p>
      <w:pPr>
        <w:spacing w:after="80"/>
      </w:pPr>
    </w:p>
    <w:p>
      <w:pPr>
        <w:pBdr>
          <w:left w:val="single" w:color="C9A227" w:sz="18" w:space="10"/>
        </w:pBdr>
        <w:spacing w:after="140" w:before="80" w:line="290"/>
        <w:ind w:left="215"/>
      </w:pPr>
      <w:r>
        <w:rPr>
          <w:rFonts w:ascii="Malgun Gothic" w:cs="Malgun Gothic" w:eastAsia="Malgun Gothic" w:hAnsi="Malgun Gothic"/>
          <w:color w:val="6B5A15"/>
          <w:sz w:val="19"/>
          <w:szCs w:val="19"/>
        </w:rPr>
        <w:t xml:space="preserve">※ 아래 선행기술 분석은 공개 특허 검색에 근거한 예비 검토이며, 변리사에 의한 정식 선행기술조사(FTO 및 등록가능성 분석)로 대체·검증되어야 한다.</w:t>
      </w:r>
    </w:p>
    <w:p>
      <w:pPr>
        <w:pStyle w:val="Heading1"/>
        <w:pBdr>
          <w:bottom w:val="single" w:color="1F4E5A" w:sz="8" w:space="6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4E5A"/>
          <w:sz w:val="28"/>
          <w:szCs w:val="28"/>
        </w:rPr>
        <w:t xml:space="preserve">1. 기술 분야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발명은 정보보안 기술 분야에 속하며, 보안등급이 상이한 네트워크·도메인 간에 전자문서를 이동시킬 때 문서에 부착된 보안등급 라벨의 진정성을 검증하고 흐름을 통제하는 방법 및 시스템에 관한 것이다.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IPC/CPC 추정 분류: G06F 21/60(데이터 보호), G06F 21/62(접근제한), G06F 21/64(데이터 무결성 보호), H04L 9/32(전자서명), H04L 63/10(접근제어), H04L 63/20(보안정책).</w:t>
      </w:r>
    </w:p>
    <w:p>
      <w:pPr>
        <w:pStyle w:val="Heading1"/>
        <w:pBdr>
          <w:bottom w:val="single" w:color="1F4E5A" w:sz="8" w:space="6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4E5A"/>
          <w:sz w:val="28"/>
          <w:szCs w:val="28"/>
        </w:rPr>
        <w:t xml:space="preserve">2. 배경기술 및 종래기술의 문제점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C3A44"/>
          <w:sz w:val="23"/>
          <w:szCs w:val="23"/>
        </w:rPr>
        <w:t xml:space="preserve">2.1 배경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국가·공공기관은 종래 물리적 망분리에 의존하여 정보를 보호하여 왔으나, 데이터 활용 요구가 증대함에 따라 정보의 중요도에 따라 등급을 분류하고 등급별로 차등적 보안대책을 적용하는 위험관리 기반 체계로 전환하고 있다. 이러한 체계에서는 각 문서에 보안등급을 표시하는 라벨이 부여되고, 도메인 경계에 위치한 관문 장치가 해당 라벨을 판독하여 문서의 이동 가부를 판정한다.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C3A44"/>
          <w:sz w:val="23"/>
          <w:szCs w:val="23"/>
        </w:rPr>
        <w:t xml:space="preserve">2.2 종래기술의 문제점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C3A44"/>
          <w:sz w:val="21"/>
          <w:szCs w:val="21"/>
        </w:rPr>
        <w:t xml:space="preserve">(1) 라벨 메타데이터의 무결성 결여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상용 문서 라벨링 체계 중 다수는 라벨 메타데이터에 전자서명을 부가하지 아니한다. 이 경우 문서 파일 내의 라벨 필드를 편집하여 상위 등급을 하위 등급으로 변경하는 조작이 가능하며, 관문 장치는 조작된 라벨을 그대로 신뢰하여 반출을 허용하게 된다.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C3A44"/>
          <w:sz w:val="21"/>
          <w:szCs w:val="21"/>
        </w:rPr>
        <w:t xml:space="preserve">(2) 라벨 제거 시 판정 근거의 소실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라벨이 파일에서 제거(박리)된 경우, 관문 장치는 해당 문서의 등급을 알 수 없다. 종래에는 미분류 문서를 일괄 차단하는 방식이 사용되나, 이 경우 문서가 차단되는 것에 그칠 뿐 해당 문서가 원래 어떤 등급으로, 언제, 누구의 승인으로 분류되었는지에 관한 추적 정보가 소실되어 유출 사고의 사후 귀속(attribution)이 불가능하다.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C3A44"/>
          <w:sz w:val="21"/>
          <w:szCs w:val="21"/>
        </w:rPr>
        <w:t xml:space="preserve">(3) 라벨 부여 이후의 내용 변경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공개 등급으로 분류되어 라벨이 부여된 문서에 사후적으로 민감정보를 추가하는 경우, 라벨 자체는 유효하므로 관문 장치가 이를 통과시킬 수 있다. 라벨 필드만을 서명 대상으로 삼는 방식으로는 이러한 내용 치환 공격을 탐지할 수 없다.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C3A44"/>
          <w:sz w:val="21"/>
          <w:szCs w:val="21"/>
        </w:rPr>
        <w:t xml:space="preserve">(4) 기관 간 라벨 해석 불가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기관마다 등급 분류의 기준과 명칭이 상이하므로, 타 기관이 발급한 라벨을 수신한 기관이 그 등급의 의미를 해석할 수 없다. 종래에는 등급 체계 자체를 통일하는 접근이 시도되었으나, 각 기관의 법적 근거와 업무 특성이 상이하여 현실적으로 달성되기 어렵다.</w:t>
      </w:r>
    </w:p>
    <w:p>
      <w:pPr>
        <w:pStyle w:val="Heading1"/>
        <w:pBdr>
          <w:bottom w:val="single" w:color="1F4E5A" w:sz="8" w:space="6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4E5A"/>
          <w:sz w:val="28"/>
          <w:szCs w:val="28"/>
        </w:rPr>
        <w:t xml:space="preserve">3. 확인된 선행기술 및 차별점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예비 검색을 통하여 확인된 주요 선행문헌은 다음과 같다. 본 발명의 청구범위는 이들과의 차별점 위에 설정되어야 한다.</w:t>
      </w:r>
    </w:p>
    <w:p>
      <w:pPr>
        <w:spacing w:after="60"/>
      </w:pPr>
    </w:p>
    <w:tbl>
      <w:tblPr>
        <w:tblW w:type="dxa" w:w="9360"/>
        <w:tblBorders>
          <w:top w:val="single" w:color="B9C4CA" w:sz="4"/>
          <w:left w:val="single" w:color="B9C4CA" w:sz="4"/>
          <w:bottom w:val="single" w:color="B9C4CA" w:sz="4"/>
          <w:right w:val="single" w:color="B9C4CA" w:sz="4"/>
          <w:insideH w:val="single" w:color="D5DDE2" w:sz="2"/>
          <w:insideV w:val="single" w:color="D5DDE2" w:sz="2"/>
        </w:tblBorders>
      </w:tblPr>
      <w:tblGrid>
        <w:gridCol w:w="1600"/>
        <w:gridCol w:w="3400"/>
        <w:gridCol w:w="4360"/>
      </w:tblGrid>
      <w:tr>
        <w:trPr>
          <w:tblHeader/>
        </w:trPr>
        <w:tc>
          <w:tcPr>
            <w:tcW w:type="dxa" w:w="1600"/>
            <w:shd w:fill="E8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문헌</w:t>
            </w:r>
          </w:p>
        </w:tc>
        <w:tc>
          <w:tcPr>
            <w:tcW w:type="dxa" w:w="3400"/>
            <w:shd w:fill="E8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개요</w:t>
            </w:r>
          </w:p>
        </w:tc>
        <w:tc>
          <w:tcPr>
            <w:tcW w:type="dxa" w:w="4360"/>
            <w:shd w:fill="E8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본 발명과의 차별점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US 8,621,223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제1 등급 네트워크에서 파일에 등급 식별 헤더 라벨을 부착하고, 라벨을 포함한 파일을 해시하여 서명한 뒤, 상이한 등급의 제2 네트워크에서 재해시·비교로 검증하는 방법.</w:t>
            </w:r>
          </w:p>
        </w:tc>
        <w:tc>
          <w:tcPr>
            <w:tcW w:type="dxa" w:w="4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라벨+해시 결합 서명 및 관문 검증이라는 기본 구성은 본 문헌에 이미 개시되어 있다. 따라서 본 발명 A는 검증 성공 경로가 아니라 검증 실패 이후의 처리, 즉 원장 폴백 조회·귀속·차단 분리·재분류 회귀에 신규성을 두어야 한다.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US 2024/0086554 등
CDS 아키텍처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등급이 상이한 도메인 간 정보 흐름 관리를 위한 다층 보안정책 및 크로스도메인 솔루션 구조.</w:t>
            </w:r>
          </w:p>
        </w:tc>
        <w:tc>
          <w:tcPr>
            <w:tcW w:type="dxa" w:w="4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관문에서의 정책 집행 자체는 공지. 본 발명은 관문의 판정 입력으로 외부 원장 조회 결과를 결합하는 점에서 구별된다.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US 7,657,834
(라벨 번역)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CMW 형식 라벨과 SELinux 정책 라벨을 상호 매핑·번역하는 시스템.</w:t>
            </w:r>
          </w:p>
        </w:tc>
        <w:tc>
          <w:tcPr>
            <w:tcW w:type="dxa" w:w="4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표현 형식 간 번역이며, 조직 간 신뢰관계를 판정 조건으로 삼지 않는다. 본 발명 B는 "협약 등록 여부"가 판정의 필수 조건이고 협약 부재 시 미분류로 강등한다는 점에서 구별된다.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X.841 계열
보안라벨 표준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정책 식별자(OID)를 라벨에 포함시켜 정책별로 등급 의미를 정의하는 구조.</w:t>
            </w:r>
          </w:p>
        </w:tc>
        <w:tc>
          <w:tcPr>
            <w:tcW w:type="dxa" w:w="4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라벨 데이터 구조의 표준이며, 수신 측이 협약 부재를 이유로 차단하는 판정 절차는 규정하지 않는다.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NSRL, CT 로그 등
해시 원장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파일 해시의 대규모 수집·배포, 추가 전용 로그의 무결성 보증.</w:t>
            </w:r>
          </w:p>
        </w:tc>
        <w:tc>
          <w:tcPr>
            <w:tcW w:type="dxa" w:w="4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원장 자체는 공지 기술이나, 라벨 검증 실패 시의 폴백 판정 경로로 원장을 결합하는 구성은 확인되지 않았다.</w:t>
            </w:r>
          </w:p>
        </w:tc>
      </w:tr>
    </w:tbl>
    <w:p>
      <w:pPr>
        <w:spacing w:after="80"/>
      </w:pPr>
    </w:p>
    <w:p>
      <w:pPr>
        <w:pBdr>
          <w:left w:val="single" w:color="C9A227" w:sz="18" w:space="10"/>
        </w:pBdr>
        <w:spacing w:after="140" w:before="80" w:line="290"/>
        <w:ind w:left="215"/>
      </w:pPr>
      <w:r>
        <w:rPr>
          <w:rFonts w:ascii="Malgun Gothic" w:cs="Malgun Gothic" w:eastAsia="Malgun Gothic" w:hAnsi="Malgun Gothic"/>
          <w:color w:val="6B5A15"/>
          <w:sz w:val="19"/>
          <w:szCs w:val="19"/>
        </w:rPr>
        <w:t xml:space="preserve">검토 요청 사항: 위 US 8,621,223 및 US 7,657,834의 청구항 전문을 대비하여, 아래 §4의 구성요소 중 어느 범위까지 신규성·진보성이 인정될 수 있는지 판단을 요청한다.</w:t>
      </w:r>
    </w:p>
    <w:p>
      <w:r>
        <w:br w:type="page"/>
      </w:r>
    </w:p>
    <w:p>
      <w:pPr>
        <w:pStyle w:val="Heading1"/>
        <w:pBdr>
          <w:bottom w:val="single" w:color="1F4E5A" w:sz="8" w:space="6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4E5A"/>
          <w:sz w:val="28"/>
          <w:szCs w:val="28"/>
        </w:rPr>
        <w:t xml:space="preserve">4. 발명 A — 원장 폴백 기반 라벨 판정 방법 (주 발명)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C3A44"/>
          <w:sz w:val="23"/>
          <w:szCs w:val="23"/>
        </w:rPr>
        <w:t xml:space="preserve">4.1 해결하고자 하는 과제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라벨이 제거되거나 서명이 무효화된 문서에 대하여, 통과를 차단하면서도 원래의 분류 이력을 복원하여 사후 귀속을 가능하게 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라벨 부여 후 문서 내용이 변경된 경우 이를 자동 검출하고, 해당 문서를 미분류 상태로 회귀시켜 재분류를 강제한다.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라벨의 물리적 지속성에 의존하지 아니하고도 등급 정보의 가용성을 확보한다.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C3A44"/>
          <w:sz w:val="23"/>
          <w:szCs w:val="23"/>
        </w:rPr>
        <w:t xml:space="preserve">4.2 발명의 구성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발명은 발급 단계, 판정 단계, 회귀 단계로 구성된다.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C3A44"/>
          <w:sz w:val="21"/>
          <w:szCs w:val="21"/>
        </w:rPr>
        <w:t xml:space="preserve">(1) 발급 단계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분류 대상 문서의 콘텐츠 데이터에 대하여 제1 해시값을 산출한다.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보안등급, 분류 근거 식별자, 발급기관 식별자, 승인자 식별자, 행위 식별자(ActionId), 발급 시각을 포함하는 라벨 필드를 생성한다.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상기 라벨 필드와 상기 제1 해시값을 결합한 정규화 데이터에 대하여 발급기관의 개인키로 전자서명을 생성한다. (라벨 필드만을 서명하지 아니하고 콘텐츠 해시를 결합하는 점이 내용 치환 방지에 필수적이다.)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상기 라벨 필드, 제1 해시값 및 전자서명을 포함하는 라벨을 문서 파일의 포맷별 격납 영역에 임베딩한다.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동시에, 상기 제1 해시값을 키로 하고 라벨 필드 및 승인 이력을 값으로 하는 레코드를 추가 전용(append-only) 원장에 기록한다.</w:t>
      </w:r>
    </w:p>
    <w:p>
      <w:pPr>
        <w:pBdr>
          <w:left w:val="single" w:color="C9A227" w:sz="18" w:space="10"/>
        </w:pBdr>
        <w:spacing w:after="140" w:before="80" w:line="290"/>
        <w:ind w:left="215"/>
      </w:pPr>
      <w:r>
        <w:rPr>
          <w:rFonts w:ascii="Malgun Gothic" w:cs="Malgun Gothic" w:eastAsia="Malgun Gothic" w:hAnsi="Malgun Gothic"/>
          <w:color w:val="6B5A15"/>
          <w:sz w:val="19"/>
          <w:szCs w:val="19"/>
        </w:rPr>
        <w:t xml:space="preserve">핵심: 라벨은 문서와 함께 이동하는 사본이고, 원장은 발급기관 측에 잔류하는 정본이다. 동일 정보를 두 매체에 이중 기록하되, 한쪽은 제거 가능하고 다른 한쪽은 제거 불가능하다는 비대칭성이 본 발명의 기초이다.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C3A44"/>
          <w:sz w:val="21"/>
          <w:szCs w:val="21"/>
        </w:rPr>
        <w:t xml:space="preserve">(2) 판정 단계 (관문 장치)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문서 파일로부터 임베딩된 라벨의 추출을 시도한다.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라벨이 추출된 경우, 발급기관 인증서의 신뢰 체인을 검증하고, 정규화 데이터에 대한 전자서명을 검증하며, 현재 콘텐츠 데이터의 제2 해시값을 산출하여 라벨 내 제1 해시값과 대비한다.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상기 검증이 모두 성공한 경우, 라벨의 보안등급을 기준 레지스트리와 대조하여 이동 가부를 판정한다.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라벨이 추출되지 아니하거나, 전자서명 검증이 실패하거나, 해시값이 불일치하는 경우 — 즉 임베딩 라벨을 신뢰할 수 없는 모든 경우 — 상기 제2 해시값을 조회 키로 하여 원장을 조회한다. (폴백 조회)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원장 조회 결과 레코드가 존재하는 경우, 해당 레코드의 보안등급·분류 근거·승인자·발급 시각을 귀속 정보로 출력하되, 이동 가부 판정은 미분류(차단)를 유지한다.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원장 조회 결과 레코드가 존재하지 아니하는 경우, 이력 없음을 출력하고 차단한다.</w:t>
      </w:r>
    </w:p>
    <w:p>
      <w:pPr>
        <w:pBdr>
          <w:left w:val="single" w:color="C9A227" w:sz="18" w:space="10"/>
        </w:pBdr>
        <w:spacing w:after="140" w:before="80" w:line="290"/>
        <w:ind w:left="215"/>
      </w:pPr>
      <w:r>
        <w:rPr>
          <w:rFonts w:ascii="Malgun Gothic" w:cs="Malgun Gothic" w:eastAsia="Malgun Gothic" w:hAnsi="Malgun Gothic"/>
          <w:color w:val="6B5A15"/>
          <w:sz w:val="19"/>
          <w:szCs w:val="19"/>
        </w:rPr>
        <w:t xml:space="preserve">핵심: 종래 방식은 "라벨 없음 → 차단"에서 종료되나, 본 발명은 차단과 동시에 원장에서 원 분류를 복원하여 출력한다. 즉 정책 판정(차단)과 추적 판정(귀속)을 분리하여 수행하며, 후자는 라벨의 제거에 의하여 무력화되지 아니한다. 조회 키가 콘텐츠 해시이므로 파일명 변경·라벨 제거·메타데이터 삭제에 영향받지 않는다.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C3A44"/>
          <w:sz w:val="21"/>
          <w:szCs w:val="21"/>
        </w:rPr>
        <w:t xml:space="preserve">(3) 회귀 단계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판정 단계 제2항의 해시값 대비에서 불일치가 검출된 경우, 해당 문서의 라벨을 무효로 처리하고 문서 상태를 미분류로 회귀시킨다.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회귀된 문서는 발급 단계를 다시 거쳐야만 이동 가능 상태가 된다. 이로써 "공개 등급 부여 → 민감정보 추가 → 반출"의 공격 경로가 구조적으로 차단된다.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C3A44"/>
          <w:sz w:val="23"/>
          <w:szCs w:val="23"/>
        </w:rPr>
        <w:t xml:space="preserve">4.3 효과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라벨 제거에 의한 추적성 소실을 방지한다 — 라벨은 제거 가능하나 콘텐츠 해시는 문서와 분리 불가능하므로, 귀속 능력이 라벨 지속성에 의존하지 않는다.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오분류·유출 문서의 사후 포렌식에서 발급 시각·승인자를 특정할 수 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문서 수정 시 라벨이 자동 무효화되어 재분류가 강제되는 폐루프가 형성된다.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원장 레코드가 문서당 1KB 미만이므로 대규모 기관에서도 저비용으로 운용 가능하다.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C3A44"/>
          <w:sz w:val="23"/>
          <w:szCs w:val="23"/>
        </w:rPr>
        <w:t xml:space="preserve">4.4 청구항 초안 구조 (변리사 작성용 골격)</w:t>
      </w:r>
    </w:p>
    <w:p>
      <w:pPr>
        <w:spacing w:after="100" w:line="300"/>
        <w:ind w:left="215"/>
      </w:pPr>
      <w:r>
        <w:rPr>
          <w:rFonts w:ascii="Malgun Gothic" w:cs="Malgun Gothic" w:eastAsia="Malgun Gothic" w:hAnsi="Malgun Gothic"/>
          <w:sz w:val="20"/>
          <w:szCs w:val="20"/>
        </w:rPr>
        <w:t xml:space="preserve">청구항 1 (독립항, 방법): 보안등급이 상이한 도메인 간 문서 이동을 통제하는 방법으로서, (a) 라벨 추출 단계, (b) 서명 및 해시 검증 단계, (c) 검증 실패 시 콘텐츠 해시를 키로 하는 원장 폴백 조회 단계, (d) 조회된 분류 이력을 귀속 정보로 출력하되 이동은 차단하는 판정 분리 단계를 포함하는 것을 특징으로 하는 방법.</w:t>
      </w:r>
    </w:p>
    <w:p>
      <w:pPr>
        <w:spacing w:after="100" w:line="300"/>
        <w:ind w:left="215"/>
      </w:pPr>
      <w:r>
        <w:rPr>
          <w:rFonts w:ascii="Malgun Gothic" w:cs="Malgun Gothic" w:eastAsia="Malgun Gothic" w:hAnsi="Malgun Gothic"/>
          <w:sz w:val="20"/>
          <w:szCs w:val="20"/>
        </w:rPr>
        <w:t xml:space="preserve">청구항 2: 제1항에 있어서, 해시 불일치 검출 시 라벨을 무효화하고 문서를 미분류 상태로 회귀시키는 단계를 더 포함.</w:t>
      </w:r>
    </w:p>
    <w:p>
      <w:pPr>
        <w:spacing w:after="100" w:line="300"/>
        <w:ind w:left="215"/>
      </w:pPr>
      <w:r>
        <w:rPr>
          <w:rFonts w:ascii="Malgun Gothic" w:cs="Malgun Gothic" w:eastAsia="Malgun Gothic" w:hAnsi="Malgun Gothic"/>
          <w:sz w:val="20"/>
          <w:szCs w:val="20"/>
        </w:rPr>
        <w:t xml:space="preserve">청구항 3: 제1항에 있어서, 상기 원장은 추가 전용이며 레코드 삭제·수정 인터페이스를 제공하지 아니함.</w:t>
      </w:r>
    </w:p>
    <w:p>
      <w:pPr>
        <w:spacing w:after="100" w:line="300"/>
        <w:ind w:left="215"/>
      </w:pPr>
      <w:r>
        <w:rPr>
          <w:rFonts w:ascii="Malgun Gothic" w:cs="Malgun Gothic" w:eastAsia="Malgun Gothic" w:hAnsi="Malgun Gothic"/>
          <w:sz w:val="20"/>
          <w:szCs w:val="20"/>
        </w:rPr>
        <w:t xml:space="preserve">청구항 4: 제1항에 있어서, 상기 전자서명의 대상이 라벨 필드와 콘텐츠 해시를 결합한 정규화 데이터임.</w:t>
      </w:r>
    </w:p>
    <w:p>
      <w:pPr>
        <w:spacing w:after="100" w:line="300"/>
        <w:ind w:left="215"/>
      </w:pPr>
      <w:r>
        <w:rPr>
          <w:rFonts w:ascii="Malgun Gothic" w:cs="Malgun Gothic" w:eastAsia="Malgun Gothic" w:hAnsi="Malgun Gothic"/>
          <w:sz w:val="20"/>
          <w:szCs w:val="20"/>
        </w:rPr>
        <w:t xml:space="preserve">청구항 5: 제1항에 있어서, 상기 라벨의 임베딩 영역이 CFB 복합문서의 커스텀 스트림, ZIP 기반 XML 문서의 커스텀 파트, 또는 PDF의 XMP 메타데이터 영역인 것.</w:t>
      </w:r>
    </w:p>
    <w:p>
      <w:pPr>
        <w:spacing w:after="100" w:line="300"/>
        <w:ind w:left="215"/>
      </w:pPr>
      <w:r>
        <w:rPr>
          <w:rFonts w:ascii="Malgun Gothic" w:cs="Malgun Gothic" w:eastAsia="Malgun Gothic" w:hAnsi="Malgun Gothic"/>
          <w:sz w:val="20"/>
          <w:szCs w:val="20"/>
        </w:rPr>
        <w:t xml:space="preserve">청구항 6~8: 제1항에 있어서, 발명 B의 구성(등가 협약 확인, 협약 부재 시 강등)을 종속항으로 흡수.</w:t>
      </w:r>
    </w:p>
    <w:p>
      <w:pPr>
        <w:spacing w:after="100" w:line="300"/>
        <w:ind w:left="215"/>
      </w:pPr>
      <w:r>
        <w:rPr>
          <w:rFonts w:ascii="Malgun Gothic" w:cs="Malgun Gothic" w:eastAsia="Malgun Gothic" w:hAnsi="Malgun Gothic"/>
          <w:sz w:val="20"/>
          <w:szCs w:val="20"/>
        </w:rPr>
        <w:t xml:space="preserve">청구항 9 (독립항, 시스템): 상기 방법을 수행하는 발급 서버, 원장 저장부, 관문 검증 장치를 포함하는 시스템.</w:t>
      </w:r>
    </w:p>
    <w:p>
      <w:pPr>
        <w:spacing w:after="100" w:line="300"/>
        <w:ind w:left="215"/>
      </w:pPr>
      <w:r>
        <w:rPr>
          <w:rFonts w:ascii="Malgun Gothic" w:cs="Malgun Gothic" w:eastAsia="Malgun Gothic" w:hAnsi="Malgun Gothic"/>
          <w:sz w:val="20"/>
          <w:szCs w:val="20"/>
        </w:rPr>
        <w:t xml:space="preserve">청구항 10 (독립항, 매체): 상기 방법을 실행시키기 위한 컴퓨터 프로그램이 기록된 기록매체.</w:t>
      </w:r>
    </w:p>
    <w:p>
      <w:r>
        <w:br w:type="page"/>
      </w:r>
    </w:p>
    <w:p>
      <w:pPr>
        <w:pStyle w:val="Heading1"/>
        <w:pBdr>
          <w:bottom w:val="single" w:color="1F4E5A" w:sz="8" w:space="6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4E5A"/>
          <w:sz w:val="28"/>
          <w:szCs w:val="28"/>
        </w:rPr>
        <w:t xml:space="preserve">5. 발명 B — 등가 협약 기반 라벨 상호인정 방법 (분리 출원 후보)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C3A44"/>
          <w:sz w:val="23"/>
          <w:szCs w:val="23"/>
        </w:rPr>
        <w:t xml:space="preserve">5.1 해결하고자 하는 과제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기관마다 보안등급의 기준·명칭·법적 근거가 상이한 상황에서, 등급 체계를 통일하지 아니하고도 타 기관 발급 라벨을 신뢰성 있게 해석·집행할 수 있게 한다.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C3A44"/>
          <w:sz w:val="23"/>
          <w:szCs w:val="23"/>
        </w:rPr>
        <w:t xml:space="preserve">5.2 발명의 구성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검증기관의 관문 장치는 수신 문서로부터 라벨을 추출하고, 발급기관 인증서가 공통 신뢰 앵커(국가 루트 인증기관)로 이어지는 체인을 검증한다.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체인 검증에 성공한 경우, 검증기관이 보유한 등가 협약 저장소에서 해당 발급기관에 대한 등가 매핑 항목의 등록 여부를 조회한다.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등가 매핑 항목이 존재하는 경우, 라벨에 표시된 발급기관 등급값을 검증기관의 등급 체계로 번역하고, 번역된 등급에 따라 이동 가부를 판정한다.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등가 매핑 항목이 존재하지 아니하는 경우, 전자서명 및 체인 검증이 모두 성공하였더라도 해당 라벨의 등급을 해석 불가로 처리하여 미분류(U)로 강등하고 이동을 차단한다.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라벨에 포함된 분류 근거 식별자(법령 조항 등)를 매핑 보조 정보로 사용하여, 등급값이 상이하더라도 동일 근거에 대한 등가성을 판단한다.</w:t>
      </w:r>
    </w:p>
    <w:p>
      <w:pPr>
        <w:pBdr>
          <w:left w:val="single" w:color="C9A227" w:sz="18" w:space="10"/>
        </w:pBdr>
        <w:spacing w:after="140" w:before="80" w:line="290"/>
        <w:ind w:left="215"/>
      </w:pPr>
      <w:r>
        <w:rPr>
          <w:rFonts w:ascii="Malgun Gothic" w:cs="Malgun Gothic" w:eastAsia="Malgun Gothic" w:hAnsi="Malgun Gothic"/>
          <w:color w:val="6B5A15"/>
          <w:sz w:val="19"/>
          <w:szCs w:val="19"/>
        </w:rPr>
        <w:t xml:space="preserve">핵심 착안점: 종래 라벨 번역 기술(US 7,657,834 등)은 표현 형식 간 변환에 관한 것으로, 변환 가능성 자체가 전제되어 있다. 본 발명은 조직 간 협약의 등록 여부를 판정의 필수 조건으로 삼아, 암호학적으로 유효한 서명이라도 거버넌스적 신뢰관계가 없으면 차단한다는 점에서 구별된다. 즉 신뢰를 암호 계층과 협약 계층으로 이원화한다.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C3A44"/>
          <w:sz w:val="23"/>
          <w:szCs w:val="23"/>
        </w:rPr>
        <w:t xml:space="preserve">5.3 효과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등급 체계의 통일 없이 기관 간 문서 유통이 가능하다.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협약 해지 시 해당 기관 발급 라벨이 즉시 해석 불가로 전환되어, 신뢰 철회가 정책 수준에서 즉시 반영된다.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분류 근거 식별자를 매개로 하므로, 등급 명칭이 달라도 법적 근거가 동일한 정보 유형에 대한 일관된 취급이 가능하다.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C3A44"/>
          <w:sz w:val="23"/>
          <w:szCs w:val="23"/>
        </w:rPr>
        <w:t xml:space="preserve">5.4 출원 전략 제언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발명 B는 선행기술(라벨 번역, 정책 OID 표준)과의 거리가 발명 A보다 가까우므로, 초기에는 발명 A 출원의 종속항으로 포함시키고, 기관 간 연합 사업이 구체화되는 시점에 분할출원 또는 별도 출원으로 전개하는 2단 전략을 제안한다.</w:t>
      </w:r>
    </w:p>
    <w:p>
      <w:pPr>
        <w:pStyle w:val="Heading1"/>
        <w:pBdr>
          <w:bottom w:val="single" w:color="1F4E5A" w:sz="8" w:space="6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4E5A"/>
          <w:sz w:val="28"/>
          <w:szCs w:val="28"/>
        </w:rPr>
        <w:t xml:space="preserve">6. 부수적 구성 (권리화 우선순위 하위)</w:t>
      </w:r>
    </w:p>
    <w:tbl>
      <w:tblPr>
        <w:tblW w:type="dxa" w:w="9360"/>
        <w:tblBorders>
          <w:top w:val="single" w:color="B9C4CA" w:sz="4"/>
          <w:left w:val="single" w:color="B9C4CA" w:sz="4"/>
          <w:bottom w:val="single" w:color="B9C4CA" w:sz="4"/>
          <w:right w:val="single" w:color="B9C4CA" w:sz="4"/>
          <w:insideH w:val="single" w:color="D5DDE2" w:sz="2"/>
          <w:insideV w:val="single" w:color="D5DDE2" w:sz="2"/>
        </w:tblBorders>
      </w:tblPr>
      <w:tblGrid>
        <w:gridCol w:w="2600"/>
        <w:gridCol w:w="4400"/>
        <w:gridCol w:w="2360"/>
      </w:tblGrid>
      <w:tr>
        <w:trPr>
          <w:tblHeader/>
        </w:trPr>
        <w:tc>
          <w:tcPr>
            <w:tcW w:type="dxa" w:w="2600"/>
            <w:shd w:fill="E8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구성</w:t>
            </w:r>
          </w:p>
        </w:tc>
        <w:tc>
          <w:tcPr>
            <w:tcW w:type="dxa" w:w="4400"/>
            <w:shd w:fill="E8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2360"/>
            <w:shd w:fill="E8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권리화 판단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HWP/HWPX 라벨 임베딩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CFB 복합문서의 커스텀 스트림 및 OWPML 커스텀 파트에 서명 라벨을 격납하는 구조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단독 진보성 인정 곤란. 발명 A 청구항 5의 종속항으로 포함하여 국내 방어 목적 확보 권장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원장 앵커링 + 시점확인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원장의 일별 체크포인트 해시 1건에 대하여만 시점확인 서비스를 이용하여 그날의 전체 레코드가 시각 증명을 상속하는 구성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CT 로그의 서명된 트리 헤드와 동형. 진보성 낮음. 명세서 실시예로만 기재 권장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경량 검증 에이전트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외부 라이브러리 의존 없이 포맷 파싱·서명 검증·원장 조회를 수행하는 단일 모듈 구조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구현 방식이며 발명 성립 곤란. 영업비밀 또는 저작권으로 보호 권장</w:t>
            </w:r>
          </w:p>
        </w:tc>
      </w:tr>
    </w:tbl>
    <w:p>
      <w:pPr>
        <w:pStyle w:val="Heading1"/>
        <w:pBdr>
          <w:bottom w:val="single" w:color="1F4E5A" w:sz="8" w:space="6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4E5A"/>
          <w:sz w:val="28"/>
          <w:szCs w:val="28"/>
        </w:rPr>
        <w:t xml:space="preserve">7. 실시예 (명세서 작성 참고)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실시예 1 — 라벨 박리 문서의 귀속: 민감 등급으로 분류된 문서에서 라벨 격납 스트림이 삭제된 채 관문에 도달한 경우, 관문은 라벨 추출에 실패하고 콘텐츠 해시로 원장을 조회하여 "민감 등급, 분류 근거 정보공개법 제9조 제5호, 승인자 A, 발급일 2026-09-01"을 귀속 정보로 출력하되 이동은 차단한다.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실시예 2 — 등급 조작: 라벨 필드의 등급값만을 민감에서 공개로 변경한 경우, 정규화 데이터가 변경되므로 전자서명 검증이 실패하고, 폴백 조회를 통하여 원 등급이 민감임이 확인되어 차단된다.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실시예 3 — 내용 치환: 공개 등급 라벨이 유효한 문서에 개인정보를 추가한 경우, 콘텐츠 해시가 변경되어 라벨 내 제1 해시값과 불일치하므로 차단되고, 해당 문서는 미분류로 회귀하여 재분류 대상이 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실시예 4 — 협약 미체결 기관: 공통 루트로 체인이 검증되는 타 기관 발급 라벨이라도, 검증기관의 등가 협약 저장소에 해당 기관 항목이 없으면 등급 해석 불가로 강등되어 차단된다.</w:t>
      </w:r>
    </w:p>
    <w:p>
      <w:pPr>
        <w:pStyle w:val="Heading1"/>
        <w:pBdr>
          <w:bottom w:val="single" w:color="1F4E5A" w:sz="8" w:space="6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4E5A"/>
          <w:sz w:val="28"/>
          <w:szCs w:val="28"/>
        </w:rPr>
        <w:t xml:space="preserve">8. 출원 전 필수 조치 사항 (긴급)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C3A44"/>
          <w:sz w:val="23"/>
          <w:szCs w:val="23"/>
        </w:rPr>
        <w:t xml:space="preserve">8.1 공지 리스크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발명의 구성은 다음 경로를 통하여 공개될 예정이거나 이미 공개되었을 수 있다. 특허법상 출원 전 공개는 신규성 상실 사유가 되며, 한국·미국은 공지예외주장(12개월)이 가능하나 유럽·중국은 유예 제도가 없어 공개 시점에 해당 지역 권리가 소멸한다.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평가·시연용 데모 웹페이지의 공개 시연 및 배포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중간평가 및 사업 발표 자료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데모 영상의 온라인 공개 (공개 범위 확인 필요)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사례 제출물 및 사업 산출물의 대외 공개</w:t>
      </w:r>
    </w:p>
    <w:p>
      <w:pPr>
        <w:spacing w:after="60"/>
      </w:pP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권고: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데모의 대외 시연·영상 공개 이전에 국내 출원(명세서가 완비되지 않았다면 임시명세서 수준이라도)을 접수하여 우선일을 확보하고, 이후 12개월 내에 PCT 출원 여부를 판단한다. 이미 공개된 자료가 있다면 해당 자료에 §4~5의 구성(폴백 조회 절차, 협약 기반 강등)이 구체적으로 기재되어 있는지를 먼저 확인한다.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C3A44"/>
          <w:sz w:val="23"/>
          <w:szCs w:val="23"/>
        </w:rPr>
        <w:t xml:space="preserve">8.2 권리 귀속 확인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과제는 정부지원 연구개발사업이므로 관련 법령상 성과물 소유 및 출원 절차가 적용될 수 있다. 출원 전 과제 협약서의 지식재산권 조항을 확인하여야 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컨소시엄 공동 수행 과제이므로, 본 발명의 착안·구체화에 참여한 기관 범위를 확정하여 단독 출원 또는 공동 출원 여부를 결정하여야 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발명자 확정 및 직무발명 승계 절차를 이행하여야 한다.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C3A44"/>
          <w:sz w:val="23"/>
          <w:szCs w:val="23"/>
        </w:rPr>
        <w:t xml:space="preserve">8.3 변리사 검토 요청 사항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US 8,621,223 청구항 전문과 §4.4 청구항 1의 대비 분석 — 폴백 조회·귀속 분리 구성이 진보성 요건을 충족하는지 판단.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US 7,657,834 및 X.841 계열 표준과 §5.2의 대비 — 협약 존재를 판정 조건으로 삼는 구성의 신규성 판단.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KIPRIS 국내 선행기술조사 — 특히 문서보안(DRM)·DLP·망연계 분야 국내 등록특허.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청구항 1의 범위 설정 — 넓게 잡을 경우 US 8,621,223에 저촉될 위험, 좁게 잡을 경우 회피설계 용이. 최적 범위 제안 요청.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출원 국가 전략 — 국내 단독 / PCT / 미국 직접출원의 비용 대비 실익 판단. 사업 전개상 유효 시장은 국내 공공이 중심이며 해외는 전자정부 수출 채널이 주된 경로임.</w:t>
      </w:r>
    </w:p>
    <w:p>
      <w:pPr>
        <w:spacing w:after="200"/>
      </w:pPr>
    </w:p>
    <w:p>
      <w:pPr>
        <w:pBdr>
          <w:top w:val="single" w:color="B9C4CA" w:sz="4" w:space="8"/>
        </w:pBdr>
        <w:spacing w:before="300"/>
      </w:pPr>
      <w:r>
        <w:rPr>
          <w:rFonts w:ascii="Malgun Gothic" w:cs="Malgun Gothic" w:eastAsia="Malgun Gothic" w:hAnsi="Malgun Gothic"/>
          <w:i/>
          <w:iCs/>
          <w:color w:val="7A8790"/>
          <w:sz w:val="17"/>
          <w:szCs w:val="17"/>
        </w:rPr>
        <w:t xml:space="preserve">본 문서는 변리사 검토를 위한 발명 착안 정리 초안이며, 법률 자문이 아니다. 등록 가능성에 관한 기재는 예비 판단으로서 정식 선행기술조사에 의하여 검증되어야 한다.</w:t>
      </w:r>
    </w:p>
    <w:sectPr>
      <w:headerReference w:type="default" r:id="rId7"/>
      <w:footerReference w:type="default" r:id="rId8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AA5AC"/>
        <w:sz w:val="16"/>
        <w:szCs w:val="16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9AA5AC"/>
        <w:sz w:val="16"/>
        <w:szCs w:val="16"/>
      </w:rPr>
      <w:t xml:space="preserve">발명신고서 (초안) · 대외비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504" w:hanging="316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504" w:hanging="316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504" w:hanging="316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504" w:hanging="316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504" w:hanging="316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504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2026-09-03T06:38:26.529Z</dcterms:created>
  <dcterms:modified xsi:type="dcterms:W3CDTF">2026-09-03T06:38:26.529Z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