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세무조사 계획 (4분기)</w:t>
      </w:r>
    </w:p>
    <w:p>
      <w:r>
        <w:t>대상: 매출 급증 법인 12개사, 고액 현금거래 개인 30명</w:t>
      </w:r>
    </w:p>
    <w:p>
      <w:r>
        <w:t>기간: 2026년 10월 13일 ~ 12월 19일</w:t>
      </w:r>
    </w:p>
    <w:p>
      <w:r>
        <w:t>조사반 편성과 대상자 명단은 별도 관리하며 외부 반출을 금지한다.</w:t>
      </w:r>
    </w:p>
  </w:body>
</w:document>
</file>