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Security Grade Handling Report 2026.</w:t>
      </w:r>
    </w:p>
    <w:p>
      <w:r>
        <w:t>Section 1. Every document issued by the postal service must carry a signed grade label.</w:t>
      </w:r>
    </w:p>
    <w:p>
      <w:r>
        <w:t>Section 2. The ledger records every issuance event and never deletes a row.</w:t>
      </w:r>
    </w:p>
    <w:p>
      <w:r>
        <w:t>Section 3. Gates verify the label signature and consult the ledger before release.</w:t>
      </w:r>
    </w:p>
    <w:p>
      <w:r>
        <w:t>Section 4. Revocation is recorded as an event, and destroyed documents keep evidence rows.</w:t>
      </w:r>
    </w:p>
    <w:p>
      <w:r>
        <w:t>Section 5. Cross-agency release relies on equivalence treaties that translate grades.</w:t>
      </w:r>
    </w:p>
  </w:body>
</w:document>
</file>