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정보화추진위원회 회의록 (2026-09-18)</w:t>
      </w:r>
    </w:p>
    <w:p>
      <w:r>
        <w:t>참석: 정보화담당관, 총무과장, 보안담당</w:t>
      </w:r>
    </w:p>
    <w:p>
      <w:r>
        <w:t>안건 1. LedgerMarker 도입 범위 — 1단계 총무·기획 문서부터 적용하기로 함.</w:t>
      </w:r>
    </w:p>
    <w:p>
      <w:r>
        <w:t>안건 2. 기관 간 협정 — 행안부·국세청과 기체결, 과기부 협정은 연말 만료 예정으로 갱신 필요.</w:t>
      </w:r>
    </w:p>
    <w:p>
      <w:r>
        <w:t>안건 3. 개인정보 문서 등급 — 지원자 명부는 C, 채용계획은 S로 분류.</w:t>
      </w:r>
    </w:p>
  </w:body>
</w:document>
</file>