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물류 위탁 계약서</w:t>
      </w:r>
    </w:p>
    <w:p>
      <w:r>
        <w:t>제1조(목적) 본 계약은 우정사업본부(이하 갑)와 한빛물류 주식회사(이하 을) 간 소포 물류 위탁에 관한 사항을 정한다.</w:t>
      </w:r>
    </w:p>
    <w:p>
      <w:r>
        <w:t>제2조(계약기간) 2026년 10월 1일부터 2027년 9월 30일까지로 한다.</w:t>
      </w:r>
    </w:p>
    <w:p>
      <w:r>
        <w:t>제3조(위탁료) 월 위탁료는 별첨 단가표에 따르며, 물량 변동 시 분기별로 정산한다.</w:t>
      </w:r>
    </w:p>
    <w:p>
      <w:r>
        <w:t>제4조(비밀유지) 을은 계약 이행 중 알게 된 갑의 영업정보를 제3자에게 누설하여서는 아니 된다.</w:t>
      </w:r>
    </w:p>
    <w:p>
      <w:r>
        <w:t>제5조(손해배상) 을의 귀책으로 갑에게 손해가 발생한 경우 을은 이를 배상한다.</w:t>
      </w:r>
    </w:p>
  </w:body>
</w:document>
</file>