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제품 기능 명세서 — LedgerMarker 2.7</w:t>
      </w:r>
    </w:p>
    <w:p>
      <w:r>
        <w:t>1. 라벨 발급: 문서 해시에 등급·근거·계보를 담아 기관 키로 서명한다. 발급 사실은 추가 전용 원장에 기록된다.</w:t>
      </w:r>
    </w:p>
    <w:p>
      <w:r>
        <w:t>2. 검증: 서명, 원장 등록, 폐기 여부, 유효기간, 기관 간 협정의 다섯 항목을 분리해 보고한다.</w:t>
      </w:r>
    </w:p>
    <w:p>
      <w:r>
        <w:t>3. 재식별: 원시 해시, 정규화 텍스트 해시, MinHash 지문, docsim 의미 비교의 네 단으로 라벨을 잃은 파일의 정체를 되찾는다.</w:t>
      </w:r>
    </w:p>
    <w:p>
      <w:r>
        <w:t>4. 복원: 동일 파일은 원본 라벨을 회수하고 수정본은 원본 귀속을 상속한 새 라벨을 발급한다.</w:t>
      </w:r>
    </w:p>
  </w:body>
</w:document>
</file>