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공공기관 보안업무 지침 (행정안전부)</w:t>
      </w:r>
    </w:p>
    <w:p>
      <w:r>
        <w:t>제1조 이 지침은 공공기관이 생산·유통하는 전자문서의 보안등급 표시와 기관 간 유통 절차를 정한다.</w:t>
      </w:r>
    </w:p>
    <w:p>
      <w:r>
        <w:t>제2조 보안등급은 C(비밀)·S(민감)·O(공개)의 3단계로 하며 C 등급은 기관 외부로 유통하지 아니한다.</w:t>
      </w:r>
    </w:p>
    <w:p>
      <w:r>
        <w:t>제3조 기관 간 유통 시 발급 기관의 등급은 등가성 협정에 따라 수신 기관 등급으로 번역한다.</w:t>
      </w:r>
    </w:p>
    <w:p>
      <w:r>
        <w:t>제4조 협정이 없는 기관 간에는 서명의 진위만 확인하고 등급 번역은 하지 아니한다.</w:t>
      </w:r>
    </w:p>
  </w:body>
</w:document>
</file>