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color w:val="1F4E5F"/>
          <w:sz w:val="40"/>
          <w:szCs w:val="40"/>
        </w:rPr>
        <w:t xml:space="preserve">Determination of Flow Direction and Flow Accumulation Rasters:</w:t>
      </w:r>
    </w:p>
    <w:p>
      <w:pPr>
        <w:spacing w:after="600"/>
        <w:jc w:val="center"/>
      </w:pPr>
      <w:r>
        <w:rPr>
          <w:rFonts w:ascii="Calibri" w:cs="Calibri" w:eastAsia="Calibri" w:hAnsi="Calibri"/>
          <w:b/>
          <w:bCs/>
          <w:color w:val="2E6E7E"/>
          <w:sz w:val="30"/>
          <w:szCs w:val="30"/>
        </w:rPr>
        <w:t xml:space="preserve">A Critical Review and Proprietary, Convergence-Adaptive Methodology for Hydrological Flow Routing</w:t>
      </w:r>
    </w:p>
    <w:p>
      <w:pPr>
        <w:spacing w:after="1400"/>
        <w:jc w:val="center"/>
      </w:pPr>
      <w:r>
        <w:rPr>
          <w:rFonts w:ascii="Calibri" w:cs="Calibri" w:eastAsia="Calibri" w:hAnsi="Calibri"/>
          <w:i/>
          <w:iCs/>
          <w:sz w:val="24"/>
          <w:szCs w:val="24"/>
        </w:rPr>
        <w:t xml:space="preserve">A Companion Volume to the TerraCondition Hydrological Conditioning Framework</w:t>
      </w:r>
    </w:p>
    <w:p>
      <w:pPr>
        <w:spacing w:after="100"/>
        <w:jc w:val="center"/>
      </w:pPr>
      <w:r>
        <w:rPr>
          <w:rFonts w:ascii="Calibri" w:cs="Calibri" w:eastAsia="Calibri" w:hAnsi="Calibri"/>
          <w:sz w:val="22"/>
          <w:szCs w:val="22"/>
        </w:rPr>
        <w:t xml:space="preserve">GIS &amp; Hydrological Systems Research Group</w:t>
      </w:r>
    </w:p>
    <w:p>
      <w:pPr>
        <w:spacing w:after="100"/>
        <w:jc w:val="center"/>
      </w:pPr>
      <w:r>
        <w:rPr>
          <w:rFonts w:ascii="Calibri" w:cs="Calibri" w:eastAsia="Calibri" w:hAnsi="Calibri"/>
          <w:sz w:val="22"/>
          <w:szCs w:val="22"/>
        </w:rPr>
        <w:t xml:space="preserve">Prepared for Internal Peer Review</w:t>
      </w:r>
    </w:p>
    <w:p>
      <w:pPr>
        <w:spacing w:after="1400"/>
        <w:jc w:val="center"/>
      </w:pPr>
      <w:r>
        <w:rPr>
          <w:rFonts w:ascii="Calibri" w:cs="Calibri" w:eastAsia="Calibri" w:hAnsi="Calibri"/>
          <w:sz w:val="22"/>
          <w:szCs w:val="22"/>
        </w:rPr>
        <w:t xml:space="preserve">September 2026</w:t>
      </w:r>
    </w:p>
    <w:p>
      <w:pPr>
        <w:pStyle w:val="Heading2"/>
        <w:spacing w:after="150" w:before="300"/>
      </w:pPr>
      <w:r>
        <w:t xml:space="preserve">Abstract</w:t>
      </w:r>
    </w:p>
    <w:p>
      <w:pPr>
        <w:spacing w:after="180" w:line="276"/>
        <w:jc w:val="both"/>
      </w:pPr>
      <w:r>
        <w:rPr>
          <w:rFonts w:ascii="Calibri" w:cs="Calibri" w:eastAsia="Calibri" w:hAnsi="Calibri"/>
          <w:b w:val="false"/>
          <w:bCs w:val="false"/>
          <w:i w:val="false"/>
          <w:iCs w:val="false"/>
          <w:sz w:val="22"/>
          <w:szCs w:val="22"/>
        </w:rPr>
        <w:t xml:space="preserve">Flow direction and flow accumulation rasters are the two data products that convert a hydrologically conditioned digital elevation model (DEM) into an actual drainage network: flow direction encodes, for every cell, where its water goes; flow accumulation encodes, for every cell, how much water (or how large a contributing area) arrives from upstream. Nearly every downstream hydrological product — stream networks, watershed boundaries, topographic wetness indices, erosion and sediment-transport estimates — is computed directly from these two rasters, which makes the choice of algorithm behind them at least as consequential as the conditioning reviewed in our companion paper, and considerably less settled than practitioners often assume. This paper reviews the flow-direction literature from the original single-flow-direction D8 algorithm (O'Callaghan &amp; Mark, 1984) through the infinite-direction (Tarboton, 1997) and multiple-flow-direction families (Freeman, 1991; Quinn et al., 1991; Qin et al., 2007; Seibert &amp; McGlynn, 2007) to the path-based nondispersive methods (Orlandini et al., 2003) and the stream-tube DEMON algorithm (Costa-Cabral &amp; Burges, 1994), and reviews flow-accumulation computation separately as a distinct algorithmic problem, from naive recursive tracing through linear-time topological methods to the parallel and external-memory algorithms (Barnes, 2017) required at continental scale. Critically, we highlight a 2025 re-evaluation (Prescott et al., Earth Surface Dynamics) that overturns nearly three decades of received wisdom by showing D-infinity, long assumed to be strictly superior to multiple-flow-direction methods, in fact retains material directional bias and is outperformed by classical MFD against analytic benchmarks in several standard test landforms — a finding any current paper on this topic must account for. Building on this synthesis, and consistent with the clean-room, no-third-party-dependency engineering standard established in our companion conditioning paper, we propose a convergence-adaptive hybrid flow-routing methodology that applies nondispersive, channel-appropriate routing in convergent, channelized terrain and dispersive, divergence-aware routing on hillslopes and ridges, selected per cell from local geomorphometric context rather than a single global algorithm choice. We introduce two new proprietary tools, VectorFlow and AccumFlow, extending the existing TerraCondition tool framework under the same clean-room implementation protocol, each independently useful and composable with the conditioning tools already in production, and we close with explicit validation metrics, mass-conservation checks, and known limitations so this methodology remains falsifiable under strict peer review.</w:t>
      </w:r>
    </w:p>
    <w:p>
      <w:r>
        <w:br w:type="page"/>
      </w:r>
    </w:p>
    <w:p>
      <w:pPr>
        <w:pStyle w:val="Heading1"/>
        <w:spacing w:after="200" w:before="400"/>
      </w:pPr>
      <w:r>
        <w:t xml:space="preserve">1. Introduction</w:t>
      </w:r>
    </w:p>
    <w:p>
      <w:pPr>
        <w:spacing w:after="180" w:line="276"/>
        <w:jc w:val="both"/>
      </w:pPr>
      <w:r>
        <w:rPr>
          <w:rFonts w:ascii="Calibri" w:cs="Calibri" w:eastAsia="Calibri" w:hAnsi="Calibri"/>
          <w:b w:val="false"/>
          <w:bCs w:val="false"/>
          <w:i w:val="false"/>
          <w:iCs w:val="false"/>
          <w:sz w:val="22"/>
          <w:szCs w:val="22"/>
        </w:rPr>
        <w:t xml:space="preserve">A hydrologically conditioned DEM — the output of the TerraCondition framework described in our companion paper — guarantees only that every cell has a continuous downhill path to the edge of the domain. It says nothing yet about where, specifically, each cell's water goes, or how much water any given cell ultimately receives from upstream. Those two questions are answered by two further raster products: the flow-direction raster, which encodes for every cell the direction (or directions, and their relative proportions) in which water leaves it, and the flow-accumulation raster, which encodes for every cell the total contributing area, or an equivalent proxy for discharge, drained through it from everything upstream. Together these two rasters are the computational foundation on which essentially all subsequent terrain hydrology is built: stream-network extraction thresholds a flow-accumulation raster; watershed and sub-catchment delineation traces flow-direction connectivity backward from an outlet; topographic wetness index, stream power index, and most soil-erosion and non-point-source pollution models are direct algebraic functions of flow accumulation and local slope.</w:t>
      </w:r>
    </w:p>
    <w:p>
      <w:pPr>
        <w:spacing w:after="180" w:line="276"/>
        <w:jc w:val="both"/>
      </w:pPr>
      <w:r>
        <w:rPr>
          <w:rFonts w:ascii="Calibri" w:cs="Calibri" w:eastAsia="Calibri" w:hAnsi="Calibri"/>
          <w:b w:val="false"/>
          <w:bCs w:val="false"/>
          <w:i w:val="false"/>
          <w:iCs w:val="false"/>
          <w:sz w:val="22"/>
          <w:szCs w:val="22"/>
        </w:rPr>
        <w:t xml:space="preserve">It is tempting to treat flow direction and flow accumulation as a solved, mechanical step — “run D8, then accumulate” — and a great deal of operational GIS practice does exactly that. The literature reviewed in Section 3 shows this is a significant understatement of the actual methodological state of the field. Flow-direction determination alone has accumulated a forty-year sequence of competing algorithms — single-direction, infinite-direction, multiple-direction with fixed and variable exponents, triangular-facet hybrids, and continuous stream-tube methods — each motivated by a genuine, still-relevant weakness in its predecessors, and, as Section 3.4 discusses in detail, a 2025 re-evaluation has directly overturned what had been close to consensus practice (preferring D-infinity over classical multiple-flow-direction methods) for nearly thirty years. Flow-accumulation computation is a distinct algorithmic problem in its own right, independent of which direction method produced its input, with its own forty-year progression from naive recursive tracing to the parallel, trillion-cell-scale algorithms now in production use.</w:t>
      </w:r>
    </w:p>
    <w:p>
      <w:pPr>
        <w:spacing w:after="180" w:line="276"/>
        <w:jc w:val="both"/>
      </w:pPr>
      <w:r>
        <w:rPr>
          <w:rFonts w:ascii="Calibri" w:cs="Calibri" w:eastAsia="Calibri" w:hAnsi="Calibri"/>
          <w:b w:val="false"/>
          <w:bCs w:val="false"/>
          <w:i w:val="false"/>
          <w:iCs w:val="false"/>
          <w:sz w:val="22"/>
          <w:szCs w:val="22"/>
        </w:rPr>
        <w:t xml:space="preserve">This paper has the same three objectives as our companion conditioning paper, applied to this next stage of the pipeline. First, we provide a current, critically evaluated review of flow-direction determination and flow-accumulation computation as two related but distinct methodological problems. Second, we synthesise the strengths and weaknesses of each family of methods against a consistent set of criteria — directional accuracy/bias, appropriate treatment of convergent versus divergent terrain, computational scalability, and determinism/reproducibility — explicitly incorporating the 2025 evidence that unsettles prior consensus. Third, we propose a synthesised methodology, and a proprietary Python tool framework extending TerraCondition under the same clean-room, no-third-party-hydrological-dependency standard already established for this body of work, so that flow direction and flow accumulation join depression conditioning as fully owned company IP rather than a wrapped dependency.</w:t>
      </w:r>
    </w:p>
    <w:p>
      <w:pPr>
        <w:pStyle w:val="Heading1"/>
        <w:spacing w:after="200" w:before="400"/>
      </w:pPr>
      <w:r>
        <w:t xml:space="preserve">2. Background and Conceptual Framework</w:t>
      </w:r>
    </w:p>
    <w:p>
      <w:pPr>
        <w:pStyle w:val="Heading2"/>
        <w:spacing w:after="150" w:before="300"/>
      </w:pPr>
      <w:r>
        <w:t xml:space="preserve">2.1 From Conditioned DEM to Flow Network</w:t>
      </w:r>
    </w:p>
    <w:p>
      <w:pPr>
        <w:spacing w:after="180" w:line="276"/>
        <w:jc w:val="both"/>
      </w:pPr>
      <w:r>
        <w:rPr>
          <w:rFonts w:ascii="Calibri" w:cs="Calibri" w:eastAsia="Calibri" w:hAnsi="Calibri"/>
          <w:b w:val="false"/>
          <w:bCs w:val="false"/>
          <w:i w:val="false"/>
          <w:iCs w:val="false"/>
          <w:sz w:val="22"/>
          <w:szCs w:val="22"/>
        </w:rPr>
        <w:t xml:space="preserve">Flow direction and flow accumulation are computed in strict sequence: a flow-direction raster (or, for multi-direction methods, a directed acyclic graph of fractional flow proportions) is derived first from the conditioned elevation surface, and flow accumulation is then computed by propagating a unit value (or an external weighting grid, such as rainfall or infiltration capacity) downstream through that direction structure. Because accumulation is entirely dependent on direction, any bias or error in the direction raster propagates directly, and often non-linearly, into the accumulation raster and everything computed from it — which is precisely why this paper treats flow-direction determination as the primary methodological battleground and flow-accumulation computation as a largely separable, though non-trivial, scalability problem.</w:t>
      </w:r>
    </w:p>
    <w:p>
      <w:pPr>
        <w:pStyle w:val="Heading2"/>
        <w:spacing w:after="150" w:before="300"/>
      </w:pPr>
      <w:r>
        <w:t xml:space="preserve">2.2 Grid Topology, Neighbourhoods and the D8 Bias Problem</w:t>
      </w:r>
    </w:p>
    <w:p>
      <w:pPr>
        <w:spacing w:after="180" w:line="276"/>
        <w:jc w:val="both"/>
      </w:pPr>
      <w:r>
        <w:rPr>
          <w:rFonts w:ascii="Calibri" w:cs="Calibri" w:eastAsia="Calibri" w:hAnsi="Calibri"/>
          <w:b w:val="false"/>
          <w:bCs w:val="false"/>
          <w:i w:val="false"/>
          <w:iCs w:val="false"/>
          <w:sz w:val="22"/>
          <w:szCs w:val="22"/>
        </w:rPr>
        <w:t xml:space="preserve">A square raster grid affords each cell exactly eight immediate neighbours at two distinct distances (orthogonal and diagonal) and, critically, only eight fixed angular directions. Any algorithm that must choose a single one of those eight directions inherits a structural bias: the true, continuous-valued aspect of the terrain is quantised to the nearest 45° increment, and on gently sloping or nearly planar terrain whose true aspect falls between two grid directions, this quantisation produces the characteristic parallel, staircase-like flow-line artefacts long documented in D8 output (Fairfield &amp; Leymarie, 1991; Tarboton, 1997). Every subsequent algorithm reviewed in Section 3 can be understood, in large part, as a different strategy for reducing this specific bias, whether by randomising the tie-break (Rho8), interpolating a continuous direction across a triangular facet (D∞), distributing flow across several neighbours in proportion to slope (MFD), or abandoning the discrete-direction model altogether (DEMON).</w:t>
      </w:r>
    </w:p>
    <w:p>
      <w:pPr>
        <w:pStyle w:val="Heading2"/>
        <w:spacing w:after="150" w:before="300"/>
      </w:pPr>
      <w:r>
        <w:t xml:space="preserve">2.3 Dispersive vs. Nondispersive Flow: A Second Central Debate</w:t>
      </w:r>
    </w:p>
    <w:p>
      <w:pPr>
        <w:spacing w:after="180" w:line="276"/>
        <w:jc w:val="both"/>
      </w:pPr>
      <w:r>
        <w:rPr>
          <w:rFonts w:ascii="Calibri" w:cs="Calibri" w:eastAsia="Calibri" w:hAnsi="Calibri"/>
          <w:b w:val="false"/>
          <w:bCs w:val="false"/>
          <w:i w:val="false"/>
          <w:iCs w:val="false"/>
          <w:sz w:val="22"/>
          <w:szCs w:val="22"/>
        </w:rPr>
        <w:t xml:space="preserve">Orthogonal to the grid-bias problem is a genuine physical question: does water actually spread across multiple downslope paths (dispersive flow, characteristic of sheet flow on a convex hillslope or ridge) or concentrate into a single dominant path (nondispersive flow, characteristic of channelized flow in a valley or gully)? Single-direction and path-based methods (D8, Rho8, D8-LAD/LTD) are, by construction, always nondispersive; multiple-flow-direction and D∞ methods are, by construction, always at least partly dispersive. Real terrain contains both regimes side by side — convergent channels a few cells wide embedded in a landscape of divergent hillslopes and ridges — and a large share of the disagreement in the literature reviewed below (Section 3.4 especially) traces back to test landscapes, or evaluation criteria, that favour one regime over the other rather than to a straightforward superiority of one algorithm over another in all settings.</w:t>
      </w:r>
    </w:p>
    <w:p>
      <w:pPr>
        <w:pStyle w:val="Heading1"/>
        <w:spacing w:after="200" w:before="400"/>
      </w:pPr>
      <w:r>
        <w:t xml:space="preserve">3. Literature Review: Existing Methods and Philosophies</w:t>
      </w:r>
    </w:p>
    <w:p>
      <w:pPr>
        <w:pStyle w:val="Heading2"/>
        <w:spacing w:after="150" w:before="300"/>
      </w:pPr>
      <w:r>
        <w:t xml:space="preserve">3.1 Single-Flow-Direction (SFD) Methods</w:t>
      </w:r>
    </w:p>
    <w:p>
      <w:pPr>
        <w:pStyle w:val="Heading3"/>
        <w:spacing w:after="100" w:before="200"/>
      </w:pPr>
      <w:r>
        <w:t xml:space="preserve">3.1.1 D8</w:t>
      </w:r>
    </w:p>
    <w:p>
      <w:pPr>
        <w:spacing w:after="180" w:line="276"/>
        <w:jc w:val="both"/>
      </w:pPr>
      <w:r>
        <w:rPr>
          <w:rFonts w:ascii="Calibri" w:cs="Calibri" w:eastAsia="Calibri" w:hAnsi="Calibri"/>
          <w:b w:val="false"/>
          <w:bCs w:val="false"/>
          <w:i w:val="false"/>
          <w:iCs w:val="false"/>
          <w:sz w:val="22"/>
          <w:szCs w:val="22"/>
        </w:rPr>
        <w:t xml:space="preserve">D8 (O'Callaghan &amp; Mark, 1984) routes the entirety of a cell's outflow to whichever of its 8 neighbours offers the steepest descent, computed as elevation drop divided by distance (accounting for the √2 diagonal-neighbour distance). Its dominance in operational GIS software (Barnes, Lehman &amp; Mulla, 2014) rests on three properties: it is trivially simple to implement, it is fully deterministic, and its output is a strict tree (every cell has exactly one downstream neighbour), which makes flow accumulation a straightforward, fast, linear-time graph traversal (Section 3.6). Its central, well-documented weakness is the grid-bias problem of Section 2.2, compounded by a complete inability to represent flow divergence: on a convex hillslope or ridge crest, where water genuinely spreads across several downslope directions, D8 nonetheless commits all of it to one.</w:t>
      </w:r>
    </w:p>
    <w:p>
      <w:pPr>
        <w:pStyle w:val="Heading3"/>
        <w:spacing w:after="100" w:before="200"/>
      </w:pPr>
      <w:r>
        <w:t xml:space="preserve">3.1.2 Rho8 and Stochastic Variants</w:t>
      </w:r>
    </w:p>
    <w:p>
      <w:pPr>
        <w:spacing w:after="180" w:line="276"/>
        <w:jc w:val="both"/>
      </w:pPr>
      <w:r>
        <w:rPr>
          <w:rFonts w:ascii="Calibri" w:cs="Calibri" w:eastAsia="Calibri" w:hAnsi="Calibri"/>
          <w:b w:val="false"/>
          <w:bCs w:val="false"/>
          <w:i w:val="false"/>
          <w:iCs w:val="false"/>
          <w:sz w:val="22"/>
          <w:szCs w:val="22"/>
        </w:rPr>
        <w:t xml:space="preserve">Fairfield and Leymarie's (1991) Rho8 retains D8's single-direction structure but introduces controlled randomness into the choice among near-equally steep candidate neighbours, calibrated so that the expected direction over many cells converges to the true local aspect rather than snapping deterministically to the nearest 45° increment. This measurably reduces the parallel-line artefacts of pure D8 on planar terrain, at the cost of run-to-run non-determinism — a serious concern for a workflow, like this company's, built around auditable, reproducible provenance (Section 6), and one Seibert and McGlynn (2007) specifically identify as capable of fragmenting the spatial coherence of the resulting contributing-area distribution.</w:t>
      </w:r>
    </w:p>
    <w:p>
      <w:pPr>
        <w:pStyle w:val="Heading3"/>
        <w:spacing w:after="100" w:before="200"/>
      </w:pPr>
      <w:r>
        <w:t xml:space="preserve">3.1.3 Grid-Bias-Corrected, Path-Based Nondispersive Methods</w:t>
      </w:r>
    </w:p>
    <w:p>
      <w:pPr>
        <w:spacing w:after="180" w:line="276"/>
        <w:jc w:val="both"/>
      </w:pPr>
      <w:r>
        <w:rPr>
          <w:rFonts w:ascii="Calibri" w:cs="Calibri" w:eastAsia="Calibri" w:hAnsi="Calibri"/>
          <w:b w:val="false"/>
          <w:bCs w:val="false"/>
          <w:i w:val="false"/>
          <w:iCs w:val="false"/>
          <w:sz w:val="22"/>
          <w:szCs w:val="22"/>
        </w:rPr>
        <w:t xml:space="preserve">Orlandini et al.'s (2003) D8-LAD (least angular deviation) and D8-LTD (least transversal deviation) algorithms retain D8's single-direction, nondispersive commitment but replace its purely local 3x3 decision rule with a path-based determination that explicitly minimises the deviation between the assigned flow direction and the true local descent direction, tracing the effect of that choice over a longer path rather than one cell at a time. Field validation against directly observed overland-flow paths (Orlandini et al., 2012) found these nondispersive, bias-corrected methods matched observations at least as well as, and in channelized terrain often better than, dispersive MFD and D∞ methods — an important, frequently overlooked counterpoint to the assumption that “more dispersive is more realistic.” Their cost is computational: because the determination is path-based rather than strictly local, these methods are more expensive per cell than D8, and, being strictly single-direction, they inherit D8's fundamental inability to represent genuine divergence on ridges.</w:t>
      </w:r>
    </w:p>
    <w:p>
      <w:pPr>
        <w:pStyle w:val="Heading2"/>
        <w:spacing w:after="150" w:before="300"/>
      </w:pPr>
      <w:r>
        <w:t xml:space="preserve">3.2 Infinite/Continuous-Direction Methods</w:t>
      </w:r>
    </w:p>
    <w:p>
      <w:pPr>
        <w:pStyle w:val="Heading3"/>
        <w:spacing w:after="100" w:before="200"/>
      </w:pPr>
      <w:r>
        <w:t xml:space="preserve">3.2.1 D-Infinity (D∞)</w:t>
      </w:r>
    </w:p>
    <w:p>
      <w:pPr>
        <w:spacing w:after="180" w:line="276"/>
        <w:jc w:val="both"/>
      </w:pPr>
      <w:r>
        <w:rPr>
          <w:rFonts w:ascii="Calibri" w:cs="Calibri" w:eastAsia="Calibri" w:hAnsi="Calibri"/>
          <w:b w:val="false"/>
          <w:bCs w:val="false"/>
          <w:i w:val="false"/>
          <w:iCs w:val="false"/>
          <w:sz w:val="22"/>
          <w:szCs w:val="22"/>
        </w:rPr>
        <w:t xml:space="preserve">Tarboton's (1997) D-infinity algorithm computes flow direction as the steepest descent vector across each of eight triangular facets formed between a cell and each pair of adjacent neighbours in its 3x3 window, selects the facet with the steepest such vector, and splits the outgoing flow between the two neighbours bounding that facet in proportion to how close the vector's angle lies to each. Because the resulting direction is a continuous angle rather than one of eight fixed values, D∞ substantially reduces the grid-bias problem relative to D8 while remaining considerably less dispersive than full MFD, since it only ever splits flow between two neighbours at a time. For close to three decades this made D∞ the default recommendation in much of the terrain-analysis literature (Gallant &amp; Hutchinson, 2011) and it remains one of the most widely implemented methods in production GIS software (ArcGIS, TauDEM, WhiteboxTools, SAGA, QGIS).</w:t>
      </w:r>
    </w:p>
    <w:p>
      <w:pPr>
        <w:pStyle w:val="Heading2"/>
        <w:spacing w:after="150" w:before="300"/>
      </w:pPr>
      <w:r>
        <w:t xml:space="preserve">3.3 Multiple-Flow-Direction (MFD) Methods</w:t>
      </w:r>
    </w:p>
    <w:p>
      <w:pPr>
        <w:pStyle w:val="Heading3"/>
        <w:spacing w:after="100" w:before="200"/>
      </w:pPr>
      <w:r>
        <w:t xml:space="preserve">3.3.1 Fixed-Exponent MFD / FD8</w:t>
      </w:r>
    </w:p>
    <w:p>
      <w:pPr>
        <w:spacing w:after="180" w:line="276"/>
        <w:jc w:val="both"/>
      </w:pPr>
      <w:r>
        <w:rPr>
          <w:rFonts w:ascii="Calibri" w:cs="Calibri" w:eastAsia="Calibri" w:hAnsi="Calibri"/>
          <w:b w:val="false"/>
          <w:bCs w:val="false"/>
          <w:i w:val="false"/>
          <w:iCs w:val="false"/>
          <w:sz w:val="22"/>
          <w:szCs w:val="22"/>
        </w:rPr>
        <w:t xml:space="preserve">Freeman (1991) and, independently, Quinn et al. (1991) proposed distributing a cell's outflow across every one of its downslope neighbours simultaneously, weighted by (slope × effective contour width) raised to a fixed exponent (commonly between 1.1 and 1.6). This directly and realistically represents divergent flow on convex terrain, which motivated its early adoption, but the same mechanism disperses flow even in genuinely convergent valleys and channels, where physically the flow should concentrate rather than spread — the specific criticism that motivated Tarboton's development of D∞.</w:t>
      </w:r>
    </w:p>
    <w:p>
      <w:pPr>
        <w:pStyle w:val="Heading3"/>
        <w:spacing w:after="100" w:before="200"/>
      </w:pPr>
      <w:r>
        <w:t xml:space="preserve">3.3.2 Variable-Exponent MFD</w:t>
      </w:r>
    </w:p>
    <w:p>
      <w:pPr>
        <w:spacing w:after="180" w:line="276"/>
        <w:jc w:val="both"/>
      </w:pPr>
      <w:r>
        <w:rPr>
          <w:rFonts w:ascii="Calibri" w:cs="Calibri" w:eastAsia="Calibri" w:hAnsi="Calibri"/>
          <w:b w:val="false"/>
          <w:bCs w:val="false"/>
          <w:i w:val="false"/>
          <w:iCs w:val="false"/>
          <w:sz w:val="22"/>
          <w:szCs w:val="22"/>
        </w:rPr>
        <w:t xml:space="preserve">Qin, Zhu, Pei, Li, Zhou and Yang (2007) address fixed-MFD's over-dispersion directly by making the weighting exponent itself a function of the cell's own maximum downslope gradient: steep, likely-channelized cells receive a higher exponent (behaving closer to D8, concentrating flow), while gentle, likely-divergent cells receive a lower exponent (behaving closer to classical MFD, spreading flow). This has been consistently reported as an improvement over fixed-exponent MFD specifically in steep terrain, without the added architectural complexity of a triangular-facet geometry, though the exponent-versus-slope relationship itself is an empirically fitted curve that introduces a calibration dependency of its own.</w:t>
      </w:r>
    </w:p>
    <w:p>
      <w:pPr>
        <w:pStyle w:val="Heading3"/>
        <w:spacing w:after="100" w:before="200"/>
      </w:pPr>
      <w:r>
        <w:t xml:space="preserve">3.3.3 Triangular MD-Infinity / TMFD</w:t>
      </w:r>
    </w:p>
    <w:p>
      <w:pPr>
        <w:spacing w:after="180" w:line="276"/>
        <w:jc w:val="both"/>
      </w:pPr>
      <w:r>
        <w:rPr>
          <w:rFonts w:ascii="Calibri" w:cs="Calibri" w:eastAsia="Calibri" w:hAnsi="Calibri"/>
          <w:b w:val="false"/>
          <w:bCs w:val="false"/>
          <w:i w:val="false"/>
          <w:iCs w:val="false"/>
          <w:sz w:val="22"/>
          <w:szCs w:val="22"/>
        </w:rPr>
        <w:t xml:space="preserve">Seibert and McGlynn (2007) combine D∞'s triangular-facet geometry with Quinn-style proportional weighting: rather than always splitting flow between exactly two neighbours (as pure D∞ does) or always distributing it to every downslope neighbour (as pure MFD does), flow is spread across more than two neighbours only where multiple independently computed facets genuinely indicate divergence, avoiding dispersion on planar or concave (channel-like) terrain while still permitting realistic multi-directional spread on convex (ridge-like) terrain. Prior to the 2025 re-evaluation discussed below, this method, alongside variable-exponent MFD, was widely regarded as the strongest general-purpose compromise available.</w:t>
      </w:r>
    </w:p>
    <w:p>
      <w:pPr>
        <w:pStyle w:val="Heading3"/>
        <w:spacing w:after="100" w:before="200"/>
      </w:pPr>
      <w:r>
        <w:t xml:space="preserve">3.3.4 Stream-Tube Methods: DEMON</w:t>
      </w:r>
    </w:p>
    <w:p>
      <w:pPr>
        <w:spacing w:after="180" w:line="276"/>
        <w:jc w:val="both"/>
      </w:pPr>
      <w:r>
        <w:rPr>
          <w:rFonts w:ascii="Calibri" w:cs="Calibri" w:eastAsia="Calibri" w:hAnsi="Calibri"/>
          <w:b w:val="false"/>
          <w:bCs w:val="false"/>
          <w:i w:val="false"/>
          <w:iCs w:val="false"/>
          <w:sz w:val="22"/>
          <w:szCs w:val="22"/>
        </w:rPr>
        <w:t xml:space="preserve">Costa-Cabral and Burges' (1994) DEMON (Digital Elevation Model Networks) algorithm abandons the discrete-direction model entirely, instead simulating continuous stream tubes bounded by flow lines derived from local aspect and tracked as they cross cell boundaries. This is arguably the most physically faithful representation of continuous overland flow available on a regular grid, but the stream-tube bookkeeping does not compose cleanly with the standard, highly optimised topological flow-accumulation algorithms reviewed in Section 3.6, making DEMON considerably more expensive to implement and to run, which is almost certainly why it remains comparatively rare in production GIS software despite predating D∞ by three years.</w:t>
      </w:r>
    </w:p>
    <w:p>
      <w:pPr>
        <w:pStyle w:val="Heading2"/>
        <w:spacing w:after="150" w:before="300"/>
      </w:pPr>
      <w:r>
        <w:t xml:space="preserve">3.4 The Re-Opening of the Dispersion Debate: 2025 Evidence</w:t>
      </w:r>
    </w:p>
    <w:p>
      <w:pPr>
        <w:spacing w:after="180" w:line="276"/>
        <w:jc w:val="both"/>
      </w:pPr>
      <w:r>
        <w:rPr>
          <w:rFonts w:ascii="Calibri" w:cs="Calibri" w:eastAsia="Calibri" w:hAnsi="Calibri"/>
          <w:b w:val="false"/>
          <w:bCs w:val="false"/>
          <w:i w:val="false"/>
          <w:iCs w:val="false"/>
          <w:sz w:val="22"/>
          <w:szCs w:val="22"/>
        </w:rPr>
        <w:t xml:space="preserve">The methodological ordering implied by Sections 3.2–3.3 — D8 superseded by D∞, MFD retained mainly for divergence-heavy special cases — reflected close to three decades of practitioner consensus. Prescott et al.'s (2025) evaluation in Earth Surface Dynamics directly challenges it. Testing flow-routing algorithms against analytic solutions for idealised landforms and against the shallow-water-equation solver FLO-2D for more complex synthetic terrain, the study found that D∞ carries directional bias along cardinal and ordinal directions sufficient to make it unsuitable for some standard applications of contributing-area calculation, and that classical fixed-exponent MFD (Freeman, 1991) — the very method D∞ was designed to supersede — matched the analytic and shallow-water benchmarks more closely than D∞ in several of the test landforms examined. This finding matters directly to any paper making methodological recommendations in 2026: an architecture that defaults uncritically to D∞ on the strength of its historical reputation would be adopting a recommendation the most recent controlled evidence available actively contradicts in at least some regimes. Section 5 addresses this by declining to nominate any single algorithm as a universal default, instead making the choice of routing regime an explicit, per-cell, geomorphometrically informed decision — the same design posture our companion paper applied to the artifact-versus-real-depression classification problem.</w:t>
      </w:r>
    </w:p>
    <w:p>
      <w:pPr>
        <w:pStyle w:val="Heading2"/>
        <w:spacing w:after="150" w:before="300"/>
      </w:pPr>
      <w:r>
        <w:t xml:space="preserve">3.5 Flow Direction and Accumulation in Flats and Depression-Adjacent Terrain</w:t>
      </w:r>
    </w:p>
    <w:p>
      <w:pPr>
        <w:spacing w:after="180" w:line="276"/>
        <w:jc w:val="both"/>
      </w:pPr>
      <w:r>
        <w:rPr>
          <w:rFonts w:ascii="Calibri" w:cs="Calibri" w:eastAsia="Calibri" w:hAnsi="Calibri"/>
          <w:b w:val="false"/>
          <w:bCs w:val="false"/>
          <w:i w:val="false"/>
          <w:iCs w:val="false"/>
          <w:sz w:val="22"/>
          <w:szCs w:val="22"/>
        </w:rPr>
        <w:t xml:space="preserve">Even a DEM that has passed through the full TerraCondition conditioning pipeline (our companion paper) is not necessarily free of locally flat regions from the flow-direction algorithm's point of view: GradientLevel's Garbrecht-Martz correction resolves flats using a synthetic gradient sized to stay within the DEM's vertical accuracy, but recent work specifically on this interface — an integrated treatment of flow direction and flow accumulation in flat regions of hydrologically corrected DEMs — confirms that flat handling remains a live, only partially solved problem even downstream of correct sink removal, and that flow-direction algorithms applied naively to a nominally flat-resolved surface can still produce locally inconsistent or non-monotonic accumulation values if the direction algorithm and the upstream flat-resolution method are not jointly consistent. This is an explicit interface requirement carried into Section 5: VectorFlow must remain correct on any input DEM, including ones not conditioned by TerraCondition at all, rather than silently assuming perfect upstream flat resolution.</w:t>
      </w:r>
    </w:p>
    <w:p>
      <w:pPr>
        <w:pStyle w:val="Heading2"/>
        <w:spacing w:after="150" w:before="300"/>
      </w:pPr>
      <w:r>
        <w:t xml:space="preserve">3.6 Flow Accumulation Computation Algorithms</w:t>
      </w:r>
    </w:p>
    <w:p>
      <w:pPr>
        <w:spacing w:after="180" w:line="276"/>
        <w:jc w:val="both"/>
      </w:pPr>
      <w:r>
        <w:rPr>
          <w:rFonts w:ascii="Calibri" w:cs="Calibri" w:eastAsia="Calibri" w:hAnsi="Calibri"/>
          <w:b w:val="false"/>
          <w:bCs w:val="false"/>
          <w:i w:val="false"/>
          <w:iCs w:val="false"/>
          <w:sz w:val="22"/>
          <w:szCs w:val="22"/>
        </w:rPr>
        <w:t xml:space="preserve">Flow-accumulation computation is frequently presented in introductory treatments as a trivial consequence of having a flow-direction raster, but it is a distinct algorithmic problem with its own forty-year efficiency literature, summarised in Table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00"/>
        <w:gridCol w:w="2300"/>
      </w:tblGrid>
      <w:tr>
        <w:trPr>
          <w:tblHeader/>
        </w:trPr>
        <w:tc>
          <w:tcPr>
            <w:tcW w:type="dxa" w:w="22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Approach</w:t>
            </w:r>
          </w:p>
        </w:tc>
        <w:tc>
          <w:tcPr>
            <w:tcW w:type="dxa" w:w="26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Core Mechanism</w:t>
            </w:r>
          </w:p>
        </w:tc>
        <w:tc>
          <w:tcPr>
            <w:tcW w:type="dxa" w:w="23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Strengths</w:t>
            </w:r>
          </w:p>
        </w:tc>
        <w:tc>
          <w:tcPr>
            <w:tcW w:type="dxa" w:w="23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Weaknesses</w:t>
            </w:r>
          </w:p>
        </w:tc>
      </w:tr>
      <w:tr>
        <w:tc>
          <w:tcPr>
            <w:tcW w:type="dxa" w:w="2200"/>
            <w:tcMar>
              <w:top w:type="dxa" w:w="100"/>
              <w:left w:type="dxa" w:w="120"/>
              <w:bottom w:type="dxa" w:w="100"/>
              <w:right w:type="dxa" w:w="120"/>
            </w:tcMar>
          </w:tcPr>
          <w:p>
            <w:pPr>
              <w:spacing w:after="0"/>
            </w:pPr>
            <w:r>
              <w:rPr>
                <w:rFonts w:ascii="Calibri" w:cs="Calibri" w:eastAsia="Calibri" w:hAnsi="Calibri"/>
                <w:b/>
                <w:bCs/>
                <w:sz w:val="18"/>
                <w:szCs w:val="18"/>
              </w:rPr>
              <w:t xml:space="preserve">Naive recursive tracing</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For each cell, recursively sum the accumulation of every cell that flows into it, following the flow-direction graph outward from ridges to outlets.</w:t>
            </w:r>
          </w:p>
        </w:tc>
        <w:tc>
          <w:tcPr>
            <w:tcW w:type="dxa" w:w="23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Conceptually simple; trivial to implement correctly for small rasters.</w:t>
            </w:r>
          </w:p>
        </w:tc>
        <w:tc>
          <w:tcPr>
            <w:tcW w:type="dxa" w:w="23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Worst-case O(n²) or deep-recursion stack overflow on large, elongated drainage networks; without memoisation, upstream sub-trees shared by multiple downstream paths (common under MFD) are recomputed repeatedly.</w:t>
            </w:r>
          </w:p>
        </w:tc>
      </w:tr>
      <w:tr>
        <w:tc>
          <w:tcPr>
            <w:tcW w:type="dxa" w:w="2200"/>
            <w:tcMar>
              <w:top w:type="dxa" w:w="100"/>
              <w:left w:type="dxa" w:w="120"/>
              <w:bottom w:type="dxa" w:w="100"/>
              <w:right w:type="dxa" w:w="120"/>
            </w:tcMar>
          </w:tcPr>
          <w:p>
            <w:pPr>
              <w:spacing w:after="0"/>
            </w:pPr>
            <w:r>
              <w:rPr>
                <w:rFonts w:ascii="Calibri" w:cs="Calibri" w:eastAsia="Calibri" w:hAnsi="Calibri"/>
                <w:b/>
                <w:bCs/>
                <w:sz w:val="18"/>
                <w:szCs w:val="18"/>
              </w:rPr>
              <w:t xml:space="preserve">Topological-order / single-pass
(Jenson &amp; Domingue, 1988-style; Barnes, Lehman &amp; Mulla, 2014 flat-aware variants)</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Cells are processed in strict descending (or ascending, depending on formulation) elevation or dependency order — a topological sort of the flow-direction DAG — so every cell's inflow is fully known before it is itself summed and passed downstream.</w:t>
            </w:r>
          </w:p>
        </w:tc>
        <w:tc>
          <w:tcPr>
            <w:tcW w:type="dxa" w:w="23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O(n) or O(n log n) time; no recomputation; the standard approach in essentially all production GIS software for both SFD trees and MFD/D∞ DAGs.</w:t>
            </w:r>
          </w:p>
        </w:tc>
        <w:tc>
          <w:tcPr>
            <w:tcW w:type="dxa" w:w="23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The sort itself requires either a full elevation sort (O(n log n)) or a dependency-count/queue formulation; naive implementations still require the whole raster resident in memory, which becomes the binding constraint at continental scale.</w:t>
            </w:r>
          </w:p>
        </w:tc>
      </w:tr>
      <w:tr>
        <w:tc>
          <w:tcPr>
            <w:tcW w:type="dxa" w:w="2200"/>
            <w:tcMar>
              <w:top w:type="dxa" w:w="100"/>
              <w:left w:type="dxa" w:w="120"/>
              <w:bottom w:type="dxa" w:w="100"/>
              <w:right w:type="dxa" w:w="120"/>
            </w:tcMar>
          </w:tcPr>
          <w:p>
            <w:pPr>
              <w:spacing w:after="0"/>
            </w:pPr>
            <w:r>
              <w:rPr>
                <w:rFonts w:ascii="Calibri" w:cs="Calibri" w:eastAsia="Calibri" w:hAnsi="Calibri"/>
                <w:b/>
                <w:bCs/>
                <w:sz w:val="18"/>
                <w:szCs w:val="18"/>
              </w:rPr>
              <w:t xml:space="preserve">Parallel / tiled, shared-memory or MPI
(Barnes, 2017 – non-divergent flow accumulation)</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The raster is decomposed into tiles; each tile's internal accumulation is computed independently and in parallel, boundary-crossing flow is resolved via a compact “global flow graph” linking tile perimeters, and a final correction pass propagates cross-tile totals.</w:t>
            </w:r>
          </w:p>
        </w:tc>
        <w:tc>
          <w:tcPr>
            <w:tcW w:type="dxa" w:w="23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Demonstrated linear scaling to two trillion cells across 48 cores with a fixed, bounded number of memory accesses and communications per cell; the current published performance benchmark for SFD flow accumulation at extreme scale.</w:t>
            </w:r>
          </w:p>
        </w:tc>
        <w:tc>
          <w:tcPr>
            <w:tcW w:type="dxa" w:w="23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
            </w:r>
          </w:p>
        </w:tc>
      </w:tr>
      <w:tr>
        <w:tc>
          <w:tcPr>
            <w:tcW w:type="dxa" w:w="2200"/>
            <w:tcMar>
              <w:top w:type="dxa" w:w="100"/>
              <w:left w:type="dxa" w:w="120"/>
              <w:bottom w:type="dxa" w:w="100"/>
              <w:right w:type="dxa" w:w="120"/>
            </w:tcMar>
          </w:tcPr>
          <w:p>
            <w:pPr>
              <w:spacing w:after="0"/>
            </w:pPr>
            <w:r>
              <w:rPr>
                <w:rFonts w:ascii="Calibri" w:cs="Calibri" w:eastAsia="Calibri" w:hAnsi="Calibri"/>
                <w:b/>
                <w:bCs/>
                <w:sz w:val="18"/>
                <w:szCs w:val="18"/>
              </w:rPr>
              <w:t xml:space="preserve">External-memory algorithms
(EMFlow-family approaches)</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Explicitly designed for rasters larger than available RAM: data is streamed from disk in a carefully ordered sequence of blocks chosen so that each block's dependencies have already been resolved, avoiding random-access disk I/O.</w:t>
            </w:r>
          </w:p>
        </w:tc>
        <w:tc>
          <w:tcPr>
            <w:tcW w:type="dxa" w:w="23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Enables flow accumulation on datasets that cannot fit in memory on a single machine at all, independent of core count; complements rather than competes with the parallel in-memory approaches above.</w:t>
            </w:r>
          </w:p>
        </w:tc>
        <w:tc>
          <w:tcPr>
            <w:tcW w:type="dxa" w:w="23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Performance is bound by disk I/O bandwidth and access pattern rather than compute, so gains are sensitive to storage hardware and block-scheduling quality; considerably more complex to implement correctly than an in-memory topological pass.</w:t>
            </w:r>
          </w:p>
        </w:tc>
      </w:tr>
    </w:tbl>
    <w:p>
      <w:pPr>
        <w:spacing w:after="240" w:before="80"/>
        <w:jc w:val="center"/>
      </w:pPr>
      <w:r>
        <w:rPr>
          <w:rFonts w:ascii="Calibri" w:cs="Calibri" w:eastAsia="Calibri" w:hAnsi="Calibri"/>
          <w:i/>
          <w:iCs/>
          <w:sz w:val="20"/>
          <w:szCs w:val="20"/>
        </w:rPr>
        <w:t xml:space="preserve">Table 2. Strategies for computing a flow-accumulation raster from a flow-direction raster or DAG.</w:t>
      </w:r>
    </w:p>
    <w:p>
      <w:pPr>
        <w:spacing w:after="180" w:line="276"/>
        <w:jc w:val="both"/>
      </w:pPr>
      <w:r>
        <w:rPr>
          <w:rFonts w:ascii="Calibri" w:cs="Calibri" w:eastAsia="Calibri" w:hAnsi="Calibri"/>
          <w:b w:val="false"/>
          <w:bCs w:val="false"/>
          <w:i w:val="false"/>
          <w:iCs w:val="false"/>
          <w:sz w:val="22"/>
          <w:szCs w:val="22"/>
        </w:rPr>
        <w:t xml:space="preserve">The key insight uniting the efficient approaches is that flow accumulation is fundamentally a topological-sort problem: every cell's correct accumulated value depends only on its direct upstream neighbours' values already being finalised, so any traversal order that respects this dependency — whether a global elevation sort, a dependency-count queue (Kahn's algorithm applied to the flow-direction DAG), or Barnes' (2017) tiled global-flow-graph decomposition — achieves linear or near-linear time without ever recomputing a shared upstream sub-tree, which is precisely the inefficiency that makes naive recursive tracing impractical at scale. For MFD/D∞ inputs, the same topological principle applies but the underlying structure is a DAG rather than a tree, since a cell may receive fractional inflow from more than one upstream neighbour; this requires each cell's dependency count (in-degree) to reflect the number of upstream contributors before it can be safely processed, a bookkeeping detail several published SFD-only implementations omit and that Section 6 treats as a first-class requirement precisely because AccumFlow must support both SFD and MFD/D∞ inputs from a single engine.</w:t>
      </w:r>
    </w:p>
    <w:p>
      <w:pPr>
        <w:pStyle w:val="Heading2"/>
        <w:spacing w:after="150" w:before="300"/>
      </w:pPr>
      <w:r>
        <w:t xml:space="preserve">3.7 Software and Tooling Landscape</w:t>
      </w:r>
    </w:p>
    <w:p>
      <w:pPr>
        <w:spacing w:after="180" w:line="276"/>
        <w:jc w:val="both"/>
      </w:pPr>
      <w:r>
        <w:rPr>
          <w:rFonts w:ascii="Calibri" w:cs="Calibri" w:eastAsia="Calibri" w:hAnsi="Calibri"/>
          <w:b w:val="false"/>
          <w:bCs w:val="false"/>
          <w:i w:val="false"/>
          <w:iCs w:val="false"/>
          <w:sz w:val="22"/>
          <w:szCs w:val="22"/>
        </w:rPr>
        <w:t xml:space="preserve">As with depression conditioning, a small number of open-source toolchains dominate current practice for flow direction and accumulation: TauDEM implements D8 and D∞ with MPI-parallelised accumulation; WhiteboxTools implements the widest single-package spread of methods (D8, Rho8, D∞, FD8/MFD, and several others) in one actively maintained Rust codebase; RichDEM provides fast D8 and D∞ flow-metric computation with a native NumPy interface; GRASS GIS's r.watershed implements a memory-efficient, disk-based SFD/MFD hybrid explicitly designed for very large rasters; and ArcGIS's Spatial Analyst / Raster Analysis toolset implements D8, D∞ and MFD with parallel-processing support. As established in our companion paper, this review is included for benchmarking and positioning purposes only, to establish the current state of the art and the standard against which a proprietary implementation must be validated; it is explicitly not a dependency plan, for the reasons set out in Section 6.</w:t>
      </w:r>
    </w:p>
    <w:p>
      <w:pPr>
        <w:pStyle w:val="Heading1"/>
        <w:spacing w:after="200" w:before="400"/>
      </w:pPr>
      <w:r>
        <w:t xml:space="preserve">4. Critical Synthesis: Strengths, Weaknesses, and the Gap This Paper Addresses</w:t>
      </w:r>
    </w:p>
    <w:p>
      <w:pPr>
        <w:spacing w:after="180" w:line="276"/>
        <w:jc w:val="both"/>
      </w:pPr>
      <w:r>
        <w:rPr>
          <w:rFonts w:ascii="Calibri" w:cs="Calibri" w:eastAsia="Calibri" w:hAnsi="Calibri"/>
          <w:b w:val="false"/>
          <w:bCs w:val="false"/>
          <w:i w:val="false"/>
          <w:iCs w:val="false"/>
          <w:sz w:val="22"/>
          <w:szCs w:val="22"/>
        </w:rPr>
        <w:t xml:space="preserve">Table 1 consolidates the flow-direction review against the evaluation criteria set out in Section 1: directional accuracy/bias, treatment of convergent versus divergent terrain, computational scalability, and determinism.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700"/>
        <w:gridCol w:w="2700"/>
      </w:tblGrid>
      <w:tr>
        <w:trPr>
          <w:tblHeader/>
        </w:trPr>
        <w:tc>
          <w:tcPr>
            <w:tcW w:type="dxa" w:w="15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Method</w:t>
            </w:r>
          </w:p>
        </w:tc>
        <w:tc>
          <w:tcPr>
            <w:tcW w:type="dxa" w:w="25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Core Mechanism</w:t>
            </w:r>
          </w:p>
        </w:tc>
        <w:tc>
          <w:tcPr>
            <w:tcW w:type="dxa" w:w="27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Strengths</w:t>
            </w:r>
          </w:p>
        </w:tc>
        <w:tc>
          <w:tcPr>
            <w:tcW w:type="dxa" w:w="27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Weaknesses</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D8
(O'Callaghan &amp; Mark, 1984)</w:t>
            </w:r>
          </w:p>
        </w:tc>
        <w:tc>
          <w:tcPr>
            <w:tcW w:type="dxa" w:w="25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Flow routed entirely to the single steepest of 8 neighbours.</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Simple, deterministic, computationally trivial; produces a strict tree structure that is easy and fast to accumulate; the de facto baseline for stream-network extraction.</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Cannot represent flow divergence on convex slopes/ridges; direction is constrained to 8 fixed angles (45° increments), producing systematic grid bias and characteristic parallel-line artefacts, especially visible on planar terrain.</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Rho8
(Fairfield &amp; Leymarie, 1991)</w:t>
            </w:r>
          </w:p>
        </w:tc>
        <w:tc>
          <w:tcPr>
            <w:tcW w:type="dxa" w:w="25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As D8, but the choice between equally- or near-equally-attractive downslope neighbours is randomised so the long-run expected direction matches the true aspect.</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Breaks up the artificial parallel flow-line patterns D8 produces on uniform slopes; still a single-direction, easily accumulated tree.</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Introduces run-to-run non-determinism unless the random seed is fixed and logged; still cannot represent genuine flow divergence; the randomisation can fragment contributing-area distributions, as noted by Seibert &amp; McGlynn (2007).</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D-Infinity (D∞)
(Tarboton, 1997)</w:t>
            </w:r>
          </w:p>
        </w:tc>
        <w:tc>
          <w:tcPr>
            <w:tcW w:type="dxa" w:w="25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Flow direction taken as the steepest descent vector across one of 8 triangular facets formed with each pair of neighbouring cells; flow is split between the two cells bounding that facet in proportion to angular distance.</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Continuous-valued direction (not constrained to 45° steps) substantially reduces grid bias relative to D8; widely implemented, well validated, moderate dispersion.</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Only ever splits flow between exactly two neighbours, which recent re-evaluation (Prescott et al., 2025) shows still carries material bias along cardinal/ordinal directions and under-performs classical MFD against analytic and shallow-water-equation benchmarks in some settings — directly contradicting the assumption, common since 1997, that D∞ is simply superior to MFD.</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MFD / FD8
(Freeman, 1991; Quinn et al., 1991)</w:t>
            </w:r>
          </w:p>
        </w:tc>
        <w:tc>
          <w:tcPr>
            <w:tcW w:type="dxa" w:w="25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Flow is distributed to every downslope neighbour, weighted by (slope × contour-width)^p for a fixed exponent p (commonly p=1.1–1.6).</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Represents divergence on convex hillslopes realistically; conceptually simple; the 2025 re-evaluation found it matches analytic and shallow-water-equation solutions better than D∞ in several benchmark landforms.</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Fixed exponent over-disperses flow even in convergent valleys, spreading contributing area across the entire downslope neighbourhood instead of concentrating it in channels — the classical objection that motivated D∞ in the first place.</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Variable-exponent MFD
(Qin, Zhu, Pei, Li, Zhou &amp; Yang, 2007)</w:t>
            </w:r>
          </w:p>
        </w:tc>
        <w:tc>
          <w:tcPr>
            <w:tcW w:type="dxa" w:w="25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As Freeman/Quinn MFD, but the exponent p is itself a function of local maximum downslope gradient, increasing (more D8-like) on steep, convergent terrain and decreasing (more dispersive) on gentle, divergent terrain.</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Directly addresses fixed-MFD's over-dispersion in channels without sacrificing realistic divergence on hillslopes; consistently reported as an improvement over fixed-exponent MFD in steep terrain.</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The exponent-vs-slope relationship is itself an empirically fitted curve, adding a calibration dependency; still a purely local (single-cell) decision rule with no explicit awareness of whether a cell is actually part of a channel.</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Triangular MD-Infinity / TMFD
(Seibert &amp; McGlynn, 2007)</w:t>
            </w:r>
          </w:p>
        </w:tc>
        <w:tc>
          <w:tcPr>
            <w:tcW w:type="dxa" w:w="25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Combines D∞'s triangular-facet geometry with Quinn-style proportional weighting, allowing flow to spread across more than two neighbours only where multiple facets independently indicate a downslope direction.</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Avoids unrealistic dispersion on planar or concave (channel-like) terrain while still permitting genuine multi-directional spread on convex (ridge-like) terrain; widely regarded, alongside variable-exponent MFD, as the strongest general-purpose compromise in the pre-2025 literature.</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More facet bookkeeping per cell than plain D∞; the 2025 re-evaluation (Section 3.4) tested classical MFD and D∞ directly but did not include MD∞, so its specific bias/accuracy profile against the same analytic benchmarks remains an open validation question rather than an established result.</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Stream-tube / DEMON
(Costa-Cabral &amp; Burges, 1994)</w:t>
            </w:r>
          </w:p>
        </w:tc>
        <w:tc>
          <w:tcPr>
            <w:tcW w:type="dxa" w:w="25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Simulates flow as continuous stream tubes bounded by flow lines derived from local aspect, tracked continuously across cell boundaries rather than snapped to a fixed set of directions each step.</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Most physically faithful representation of continuous overland flow of any grid-compatible method; avoids directional discretisation entirely within a tube.</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Substantially more complex to implement and computationally more expensive than any cell-to-cell method; stream-tube bookkeeping does not compose cleanly with standard raster flow-accumulation algorithms, which is likely why it remains comparatively rare in production GIS software despite its age.</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Path-based nondispersive methods (D8-LAD/D8-LTD)
(Orlandini et al., 2003; Orlandini &amp; Moretti, 2009)</w:t>
            </w:r>
          </w:p>
        </w:tc>
        <w:tc>
          <w:tcPr>
            <w:tcW w:type="dxa" w:w="25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Determines a single, nondispersive drainage direction per cell using either the steepest local descent direction after adjusting for grid geometry (LAD) or by explicitly tracing the path with locally maximal downstream slope (LTD), rather than a purely local 3x3 rule.</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Directly targets D8's grid bias while remaining strictly nondispersive (single-direction), which recent field validation (Orlandini et al., 2012) found matches observed overland-flow paths better than dispersive MFD/D∞ methods in many settings, particularly channelized terrain.</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More computationally demanding than D8 since it is not a strictly local operation; being strictly single-direction, it inherits D8's fundamental inability to represent genuine flow divergence on ridges and convex slopes.</w:t>
            </w:r>
          </w:p>
        </w:tc>
      </w:tr>
    </w:tbl>
    <w:p>
      <w:pPr>
        <w:spacing w:after="240" w:before="80"/>
        <w:jc w:val="center"/>
      </w:pPr>
      <w:r>
        <w:rPr>
          <w:rFonts w:ascii="Calibri" w:cs="Calibri" w:eastAsia="Calibri" w:hAnsi="Calibri"/>
          <w:i/>
          <w:iCs/>
          <w:sz w:val="20"/>
          <w:szCs w:val="20"/>
        </w:rPr>
        <w:t xml:space="preserve">Table 1. Strengths and weaknesses of the major flow-direction determination philosophies reviewed in Section 3.</w:t>
      </w:r>
    </w:p>
    <w:p>
      <w:pPr>
        <w:spacing w:after="180" w:line="276"/>
        <w:jc w:val="both"/>
      </w:pPr>
      <w:r>
        <w:rPr>
          <w:rFonts w:ascii="Calibri" w:cs="Calibri" w:eastAsia="Calibri" w:hAnsi="Calibri"/>
          <w:b w:val="false"/>
          <w:bCs w:val="false"/>
          <w:i w:val="false"/>
          <w:iCs w:val="false"/>
          <w:sz w:val="22"/>
          <w:szCs w:val="22"/>
        </w:rPr>
        <w:t xml:space="preserve">Three cross-cutting conclusions follow directly from Table 1 and Section 3.4, and motivate the methodology in Section 5. First, no single algorithm dominates across terrain regimes, and the 2025 re-evaluation shows this is not merely a matter of taste between reasonable alternatives — the specific, long-held recommendation to prefer D∞ over classical MFD is empirically contradicted in several standard benchmark landforms. A defensible 2026 methodology cannot simply nominate one historically favoured algorithm as a global default. Second, the dispersive-versus-nondispersive question (Section 2.3) is not actually a single question with a single correct answer; it is a question that varies systematically with local terrain context (convergent channel versus divergent hillslope/ridge), and the strongest-performing methods in the literature — variable-exponent MFD and triangular MD∞ — are exactly the ones that make their internal behaviour depend on that local context rather than applying one rule everywhere. Third, flow-accumulation computation, while comparatively more settled than flow-direction determination, still requires deliberate architectural choice (topological order, DAG-aware dependency counting, tiled/external-memory decomposition) to scale correctly; treating it as an afterthought once a direction raster exists is a common and avoidable source of production bottlenecks at scale.</w:t>
      </w:r>
    </w:p>
    <w:p>
      <w:pPr>
        <w:pStyle w:val="Heading1"/>
        <w:spacing w:after="200" w:before="400"/>
      </w:pPr>
      <w:r>
        <w:t xml:space="preserve">5. Proposed Methodology: Convergence-Adaptive Hybrid Flow Routing</w:t>
      </w:r>
    </w:p>
    <w:p>
      <w:pPr>
        <w:pStyle w:val="Heading2"/>
        <w:spacing w:after="150" w:before="300"/>
      </w:pPr>
      <w:r>
        <w:t xml:space="preserve">5.1 Design Principles</w:t>
      </w:r>
    </w:p>
    <w:p>
      <w:pPr>
        <w:pStyle w:val="ListParagraph"/>
        <w:numPr>
          <w:ilvl w:val="0"/>
          <w:numId w:val="2"/>
        </w:numPr>
        <w:spacing w:after="100"/>
      </w:pPr>
      <w:r>
        <w:rPr>
          <w:rFonts w:ascii="Calibri" w:cs="Calibri" w:eastAsia="Calibri" w:hAnsi="Calibri"/>
          <w:sz w:val="22"/>
          <w:szCs w:val="22"/>
        </w:rPr>
        <w:t xml:space="preserve">Do not nominate a single global default algorithm. Given Section 3.4's evidence, no flow-direction method is treated as universally superior; the routing regime is chosen per cell (or per contiguous terrain unit) from local geomorphometric evidence.</w:t>
      </w:r>
    </w:p>
    <w:p>
      <w:pPr>
        <w:pStyle w:val="ListParagraph"/>
        <w:numPr>
          <w:ilvl w:val="0"/>
          <w:numId w:val="2"/>
        </w:numPr>
        <w:spacing w:after="100"/>
      </w:pPr>
      <w:r>
        <w:rPr>
          <w:rFonts w:ascii="Calibri" w:cs="Calibri" w:eastAsia="Calibri" w:hAnsi="Calibri"/>
          <w:sz w:val="22"/>
          <w:szCs w:val="22"/>
        </w:rPr>
        <w:t xml:space="preserve">Route channelized, convergent terrain nondispersively, and hillslope/ridge terrain dispersively. This directly operationalises the finding, consistent across Orlandini et al. (2012) and the classical objection to fixed MFD, that nondispersive methods better match observed channelized flow while dispersive methods better represent hillslope divergence.</w:t>
      </w:r>
    </w:p>
    <w:p>
      <w:pPr>
        <w:pStyle w:val="ListParagraph"/>
        <w:numPr>
          <w:ilvl w:val="0"/>
          <w:numId w:val="2"/>
        </w:numPr>
        <w:spacing w:after="100"/>
      </w:pPr>
      <w:r>
        <w:rPr>
          <w:rFonts w:ascii="Calibri" w:cs="Calibri" w:eastAsia="Calibri" w:hAnsi="Calibri"/>
          <w:sz w:val="22"/>
          <w:szCs w:val="22"/>
        </w:rPr>
        <w:t xml:space="preserve">Prefer geomorphometrically adaptive variants over their fixed-parameter predecessors where a choice exists within a regime — variable-exponent MFD over fixed-exponent MFD; triangular MD∞ over plain D∞ — since both were shown in Section 3.3 to reduce their predecessor's principal weakness with limited added complexity.</w:t>
      </w:r>
    </w:p>
    <w:p>
      <w:pPr>
        <w:pStyle w:val="ListParagraph"/>
        <w:numPr>
          <w:ilvl w:val="0"/>
          <w:numId w:val="2"/>
        </w:numPr>
        <w:spacing w:after="100"/>
      </w:pPr>
      <w:r>
        <w:rPr>
          <w:rFonts w:ascii="Calibri" w:cs="Calibri" w:eastAsia="Calibri" w:hAnsi="Calibri"/>
          <w:sz w:val="22"/>
          <w:szCs w:val="22"/>
        </w:rPr>
        <w:t xml:space="preserve">Treat flow-accumulation computation as a first-class scalability problem from the outset, supporting both SFD-tree and MFD/D∞-DAG inputs through one dependency-count-aware topological engine, rather than bolting scale on after a naive implementation proves too slow.</w:t>
      </w:r>
    </w:p>
    <w:p>
      <w:pPr>
        <w:pStyle w:val="ListParagraph"/>
        <w:numPr>
          <w:ilvl w:val="0"/>
          <w:numId w:val="2"/>
        </w:numPr>
        <w:spacing w:after="100"/>
      </w:pPr>
      <w:r>
        <w:rPr>
          <w:rFonts w:ascii="Calibri" w:cs="Calibri" w:eastAsia="Calibri" w:hAnsi="Calibri"/>
          <w:sz w:val="22"/>
          <w:szCs w:val="22"/>
        </w:rPr>
        <w:t xml:space="preserve">Remain correct on any input DEM, conditioned by TerraCondition or not, consistent with the original commission's requirement that this methodology work on any DEM regardless of source, resolution, or vertical accuracy.</w:t>
      </w:r>
    </w:p>
    <w:p>
      <w:pPr>
        <w:pStyle w:val="ListParagraph"/>
        <w:numPr>
          <w:ilvl w:val="0"/>
          <w:numId w:val="2"/>
        </w:numPr>
        <w:spacing w:after="100"/>
      </w:pPr>
      <w:r>
        <w:rPr>
          <w:rFonts w:ascii="Calibri" w:cs="Calibri" w:eastAsia="Calibri" w:hAnsi="Calibri"/>
          <w:sz w:val="22"/>
          <w:szCs w:val="22"/>
        </w:rPr>
        <w:t xml:space="preserve">Make every routing decision traceable. As with TerraCondition, the pipeline emits, alongside the flow-direction and flow-accumulation rasters, a per-cell record of which regime and method was applied and why, plus a global mass-conservation check, so a reviewer can audit routing decisions rather than take them on faith.</w:t>
      </w:r>
    </w:p>
    <w:p>
      <w:pPr>
        <w:pStyle w:val="ListParagraph"/>
        <w:numPr>
          <w:ilvl w:val="0"/>
          <w:numId w:val="2"/>
        </w:numPr>
        <w:spacing w:after="100"/>
      </w:pPr>
      <w:r>
        <w:rPr>
          <w:rFonts w:ascii="Calibri" w:cs="Calibri" w:eastAsia="Calibri" w:hAnsi="Calibri"/>
          <w:sz w:val="22"/>
          <w:szCs w:val="22"/>
        </w:rPr>
        <w:t xml:space="preserve">Own every algorithm that determines routing. Consistent with the clean-room protocol established in our companion paper (Section 6.1), every method in Section 6 is implemented in-house from its published description, with no runtime dependency on WhiteboxTools, RichDEM, TauDEM, or any other third-party hydrological package.</w:t>
      </w:r>
    </w:p>
    <w:p>
      <w:pPr>
        <w:pStyle w:val="Heading2"/>
        <w:spacing w:after="150" w:before="300"/>
      </w:pPr>
      <w:r>
        <w:t xml:space="preserve">5.2 Pipeline Overview</w:t>
      </w:r>
    </w:p>
    <w:p>
      <w:pPr>
        <w:spacing w:after="180" w:line="276"/>
        <w:jc w:val="both"/>
      </w:pPr>
      <w:r>
        <w:rPr>
          <w:rFonts w:ascii="Calibri" w:cs="Calibri" w:eastAsia="Calibri" w:hAnsi="Calibri"/>
          <w:b w:val="false"/>
          <w:bCs w:val="false"/>
          <w:i w:val="false"/>
          <w:iCs w:val="false"/>
          <w:sz w:val="22"/>
          <w:szCs w:val="22"/>
        </w:rPr>
        <w:t xml:space="preserve">The methodology adds five stages downstream of TerraCondition's eight-stage conditioning pipeline (our companion paper), consuming its hydrology-ready DEM as the default input while remaining independently usable on any conditioned surface.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Stage 1  Terrain Context Classification   (local curvature, slope, convergence index per cell)</w:t>
            </w:r>
          </w:p>
          <w:p>
            <w:pPr>
              <w:spacing w:after="0"/>
            </w:pPr>
            <w:r>
              <w:rPr>
                <w:rFonts w:ascii="Consolas" w:cs="Consolas" w:eastAsia="Consolas" w:hAnsi="Consolas"/>
                <w:sz w:val="18"/>
                <w:szCs w:val="18"/>
              </w:rPr>
              <w:t xml:space="preserve">Stage 2  Regime Assignment                 (convergent/channelized vs. divergent/hillslope vs. transitional)</w:t>
            </w:r>
          </w:p>
          <w:p>
            <w:pPr>
              <w:spacing w:after="0"/>
            </w:pPr>
            <w:r>
              <w:rPr>
                <w:rFonts w:ascii="Consolas" w:cs="Consolas" w:eastAsia="Consolas" w:hAnsi="Consolas"/>
                <w:sz w:val="18"/>
                <w:szCs w:val="18"/>
              </w:rPr>
              <w:t xml:space="preserve">Stage 3  Flow Direction Determination       (nondispersive path-based method in convergent regime;</w:t>
            </w:r>
          </w:p>
          <w:p>
            <w:pPr>
              <w:spacing w:after="0"/>
            </w:pPr>
            <w:r>
              <w:rPr>
                <w:rFonts w:ascii="Consolas" w:cs="Consolas" w:eastAsia="Consolas" w:hAnsi="Consolas"/>
                <w:sz w:val="18"/>
                <w:szCs w:val="18"/>
              </w:rPr>
              <w:t xml:space="preserve">                                             variable-exponent MFD or triangular MD-infinity in divergent</w:t>
            </w:r>
          </w:p>
          <w:p>
            <w:pPr>
              <w:spacing w:after="0"/>
            </w:pPr>
            <w:r>
              <w:rPr>
                <w:rFonts w:ascii="Consolas" w:cs="Consolas" w:eastAsia="Consolas" w:hAnsi="Consolas"/>
                <w:sz w:val="18"/>
                <w:szCs w:val="18"/>
              </w:rPr>
              <w:t xml:space="preserve">                                             regime; blended weighting in the transitional band)</w:t>
            </w:r>
          </w:p>
          <w:p>
            <w:pPr>
              <w:spacing w:after="0"/>
            </w:pPr>
            <w:r>
              <w:rPr>
                <w:rFonts w:ascii="Consolas" w:cs="Consolas" w:eastAsia="Consolas" w:hAnsi="Consolas"/>
                <w:sz w:val="18"/>
                <w:szCs w:val="18"/>
              </w:rPr>
              <w:t xml:space="preserve">Stage 4  Flow Accumulation Computation      (dependency-count-aware topological engine, SFD tree or</w:t>
            </w:r>
          </w:p>
          <w:p>
            <w:pPr>
              <w:spacing w:after="0"/>
            </w:pPr>
            <w:r>
              <w:rPr>
                <w:rFonts w:ascii="Consolas" w:cs="Consolas" w:eastAsia="Consolas" w:hAnsi="Consolas"/>
                <w:sz w:val="18"/>
                <w:szCs w:val="18"/>
              </w:rPr>
              <w:t xml:space="preserve">                                             MFD/D-infinity DAG as appropriate; optional weighting grid)</w:t>
            </w:r>
          </w:p>
          <w:p>
            <w:pPr>
              <w:spacing w:after="0"/>
            </w:pPr>
            <w:r>
              <w:rPr>
                <w:rFonts w:ascii="Consolas" w:cs="Consolas" w:eastAsia="Consolas" w:hAnsi="Consolas"/>
                <w:sz w:val="18"/>
                <w:szCs w:val="18"/>
              </w:rPr>
              <w:t xml:space="preserve">Stage 5  Validation, QA &amp; Provenance Export (mass-conservation check, regime-boundary sensitivity,</w:t>
            </w:r>
          </w:p>
          <w:p>
            <w:pPr>
              <w:spacing w:after="0"/>
            </w:pPr>
            <w:r>
              <w:rPr>
                <w:rFonts w:ascii="Consolas" w:cs="Consolas" w:eastAsia="Consolas" w:hAnsi="Consolas"/>
                <w:sz w:val="18"/>
                <w:szCs w:val="18"/>
              </w:rPr>
              <w:t xml:space="preserve">                                             per-cell method/confidence audit trail)</w:t>
            </w:r>
          </w:p>
        </w:tc>
      </w:tr>
    </w:tbl>
    <w:p>
      <w:pPr>
        <w:spacing w:after="240" w:before="80"/>
        <w:jc w:val="center"/>
      </w:pPr>
      <w:r>
        <w:rPr>
          <w:rFonts w:ascii="Calibri" w:cs="Calibri" w:eastAsia="Calibri" w:hAnsi="Calibri"/>
          <w:i/>
          <w:iCs/>
          <w:sz w:val="20"/>
          <w:szCs w:val="20"/>
        </w:rPr>
        <w:t xml:space="preserve">Figure 1. Five-stage flow-routing pipeline, consuming TerraCondition's conditioned DEM (or any equivalent input) and producing flow-direction and flow-accumulation rasters plus a full provenance record.</w:t>
      </w:r>
    </w:p>
    <w:p>
      <w:pPr>
        <w:pStyle w:val="Heading2"/>
        <w:spacing w:after="150" w:before="300"/>
      </w:pPr>
      <w:r>
        <w:t xml:space="preserve">5.3 Stage-by-Stage Specification</w:t>
      </w:r>
    </w:p>
    <w:p>
      <w:pPr>
        <w:pStyle w:val="Heading3"/>
        <w:spacing w:after="100" w:before="200"/>
      </w:pPr>
      <w:r>
        <w:t xml:space="preserve">Stage 1 — Terrain Context Classification</w:t>
      </w:r>
    </w:p>
    <w:p>
      <w:pPr>
        <w:spacing w:after="180" w:line="276"/>
        <w:jc w:val="both"/>
      </w:pPr>
      <w:r>
        <w:rPr>
          <w:rFonts w:ascii="Calibri" w:cs="Calibri" w:eastAsia="Calibri" w:hAnsi="Calibri"/>
          <w:b w:val="false"/>
          <w:bCs w:val="false"/>
          <w:i w:val="false"/>
          <w:iCs w:val="false"/>
          <w:sz w:val="22"/>
          <w:szCs w:val="22"/>
        </w:rPr>
        <w:t xml:space="preserve">Before any direction is assigned, each cell is characterised by a small set of local geomorphometric indicators computed directly from the elevation surface: profile and plan curvature (identifying convex/divergent versus concave/convergent terrain), local slope, and a provisional convergence index derived from a fast first-pass D8 accumulation (used only as context evidence at this stage, not as the final direction product). This mirrors, deliberately, the evidence-based classification approach TerraCondition applies to depressions: a small set of inspectable, resolution-adaptive features rather than a single hard-coded rule.</w:t>
      </w:r>
    </w:p>
    <w:p>
      <w:pPr>
        <w:pStyle w:val="Heading3"/>
        <w:spacing w:after="100" w:before="200"/>
      </w:pPr>
      <w:r>
        <w:t xml:space="preserve">Stage 2 — Regime Assignment</w:t>
      </w:r>
    </w:p>
    <w:p>
      <w:pPr>
        <w:spacing w:after="180" w:line="276"/>
        <w:jc w:val="both"/>
      </w:pPr>
      <w:r>
        <w:rPr>
          <w:rFonts w:ascii="Calibri" w:cs="Calibri" w:eastAsia="Calibri" w:hAnsi="Calibri"/>
          <w:b w:val="false"/>
          <w:bCs w:val="false"/>
          <w:i w:val="false"/>
          <w:iCs w:val="false"/>
          <w:sz w:val="22"/>
          <w:szCs w:val="22"/>
        </w:rPr>
        <w:t xml:space="preserve">Each cell is assigned to one of three regimes — convergent/channelized, divergent/hillslope, or transitional — based on a threshold, itself resolution- and slope-adaptive, applied to the Stage 1 indicators (following the qualitative logic of Qin et al.'s 2007 variable-exponent approach, but made an explicit, auditable classification step rather than folded invisibly into a single continuous exponent function). The transitional band exists specifically to avoid a hard discontinuity at the regime boundary, which would otherwise manufacture an artificial edge in the resulting flow-accumulation raster.</w:t>
      </w:r>
    </w:p>
    <w:p>
      <w:pPr>
        <w:pStyle w:val="Heading3"/>
        <w:spacing w:after="100" w:before="200"/>
      </w:pPr>
      <w:r>
        <w:t xml:space="preserve">Stage 3 — Flow Direction Determination</w:t>
      </w:r>
    </w:p>
    <w:p>
      <w:pPr>
        <w:spacing w:after="180" w:line="276"/>
        <w:jc w:val="both"/>
      </w:pPr>
      <w:r>
        <w:rPr>
          <w:rFonts w:ascii="Calibri" w:cs="Calibri" w:eastAsia="Calibri" w:hAnsi="Calibri"/>
          <w:b w:val="false"/>
          <w:bCs w:val="false"/>
          <w:i w:val="false"/>
          <w:iCs w:val="false"/>
          <w:sz w:val="22"/>
          <w:szCs w:val="22"/>
        </w:rPr>
        <w:t xml:space="preserve">Convergent/channelized cells are routed using the path-based nondispersive method (Section 3.1.3), consistent with the field-validation evidence (Orlandini et al., 2012) that nondispersive routing best matches observed channelized flow. Divergent/hillslope cells are routed using triangular MD∞ (Section 3.3.3), which the pre-2025 literature and the geometry itself indicate is the strongest available representation of genuine multi-directional spread. Transitional cells are routed using variable-exponent MFD (Section 3.3.2), whose exponent naturally interpolates between near-nondispersive and near-fully-dispersive behaviour as a function of local slope, making it the natural blending method for the band between the other two regimes. D∞ and fixed-exponent MFD remain available as explicit, analyst-selectable overrides — given Section 3.4's findings, this framework does not treat either as an unconditionally safe default, but both remain legitimate, well-understood choices an analyst may select deliberately for a specific study with its own validation basis.</w:t>
      </w:r>
    </w:p>
    <w:p>
      <w:pPr>
        <w:pStyle w:val="Heading3"/>
        <w:spacing w:after="100" w:before="200"/>
      </w:pPr>
      <w:r>
        <w:t xml:space="preserve">Stage 4 — Flow Accumulation Computation</w:t>
      </w:r>
    </w:p>
    <w:p>
      <w:pPr>
        <w:spacing w:after="180" w:line="276"/>
        <w:jc w:val="both"/>
      </w:pPr>
      <w:r>
        <w:rPr>
          <w:rFonts w:ascii="Calibri" w:cs="Calibri" w:eastAsia="Calibri" w:hAnsi="Calibri"/>
          <w:b w:val="false"/>
          <w:bCs w:val="false"/>
          <w:i w:val="false"/>
          <w:iCs w:val="false"/>
          <w:sz w:val="22"/>
          <w:szCs w:val="22"/>
        </w:rPr>
        <w:t xml:space="preserve">Accumulation is computed by AccumFlow's single engine (Section 6), which accepts either an SFD tree (from the convergent regime) or an MFD/D∞ DAG (from the divergent and transitional regimes) — and, in the ordinary case where a raster spans all three regimes, a mixed structure combining both within one topological pass, using per-cell in-degree tracking so that DAG cells with multiple upstream contributors are only finalised once every contributor has resolved. An optional per-cell weighting grid (e.g. rainfall intensity, infiltration capacity) is supported, propagated through the same topological structure rather than requiring a separate accumulation pass.</w:t>
      </w:r>
    </w:p>
    <w:p>
      <w:pPr>
        <w:pStyle w:val="Heading3"/>
        <w:spacing w:after="100" w:before="200"/>
      </w:pPr>
      <w:r>
        <w:t xml:space="preserve">Stage 5 — Validation, QA and Provenance Export</w:t>
      </w:r>
    </w:p>
    <w:p>
      <w:pPr>
        <w:spacing w:after="180" w:line="276"/>
        <w:jc w:val="both"/>
      </w:pPr>
      <w:r>
        <w:rPr>
          <w:rFonts w:ascii="Calibri" w:cs="Calibri" w:eastAsia="Calibri" w:hAnsi="Calibri"/>
          <w:b w:val="false"/>
          <w:bCs w:val="false"/>
          <w:i w:val="false"/>
          <w:iCs w:val="false"/>
          <w:sz w:val="22"/>
          <w:szCs w:val="22"/>
        </w:rPr>
        <w:t xml:space="preserve">The pipeline computes and reports, for every run: a global mass-conservation check (total accumulated outflow at domain edges should equal total input cell count, adjusted for any weighting grid, within floating-point tolerance); a sensitivity check on the Stage 2 regime-assignment thresholds, analogous to the classification-threshold sensitivity check in TerraCondition; and a per-cell audit record of which regime and method was applied. This record, together with the flow-direction and flow-accumulation rasters themselves, constitutes the evidence package a peer reviewer needs to assess the appropriateness of every routing decision the pipeline made, exactly mirroring the provenance standard already established for depression conditioning.</w:t>
      </w:r>
    </w:p>
    <w:p>
      <w:pPr>
        <w:pStyle w:val="Heading2"/>
        <w:spacing w:after="150" w:before="300"/>
      </w:pPr>
      <w:r>
        <w:t xml:space="preserve">5.4 Why Convergence-Adaptive Hybrid Routing, and Not Simply ‘Always Use D-Infinity’ or ‘Always Use MD-Infinity’</w:t>
      </w:r>
    </w:p>
    <w:p>
      <w:pPr>
        <w:spacing w:after="180" w:line="276"/>
        <w:jc w:val="both"/>
      </w:pPr>
      <w:r>
        <w:rPr>
          <w:rFonts w:ascii="Calibri" w:cs="Calibri" w:eastAsia="Calibri" w:hAnsi="Calibri"/>
          <w:b w:val="false"/>
          <w:bCs w:val="false"/>
          <w:i w:val="false"/>
          <w:iCs w:val="false"/>
          <w:sz w:val="22"/>
          <w:szCs w:val="22"/>
        </w:rPr>
        <w:t xml:space="preserve">Every individual algorithm referenced in Section 5.3 already exists in the published literature. The synthesis this methodology contributes is the explicit, auditable regime-assignment layer that decides which of them applies where, built specifically in response to two findings Section 4 identifies as unresolved by any single existing method: that no algorithm dominates across terrain regimes, and that the historically favoured global default (D∞) is no longer defensible as a blanket choice given the 2025 re-evaluation. This is the same kind of contribution as TerraCondition's depression-classification layer — not a new low-level algorithm, but an evidence-based, inspectable decision layer placed above several already-validated methods, addressing a gap the underlying algorithms individually leave open.</w:t>
      </w:r>
    </w:p>
    <w:p>
      <w:pPr>
        <w:pStyle w:val="Heading1"/>
        <w:spacing w:after="200" w:before="400"/>
      </w:pPr>
      <w:r>
        <w:t xml:space="preserve">6. Proprietary Tool Framework and Reference Implementation</w:t>
      </w:r>
    </w:p>
    <w:p>
      <w:pPr>
        <w:pStyle w:val="Heading2"/>
        <w:spacing w:after="150" w:before="300"/>
      </w:pPr>
      <w:r>
        <w:t xml:space="preserve">6.1 Continuity with the TerraCondition Clean-Room Protocol</w:t>
      </w:r>
    </w:p>
    <w:p>
      <w:pPr>
        <w:spacing w:after="180" w:line="276"/>
        <w:jc w:val="both"/>
      </w:pPr>
      <w:r>
        <w:rPr>
          <w:rFonts w:ascii="Calibri" w:cs="Calibri" w:eastAsia="Calibri" w:hAnsi="Calibri"/>
          <w:b w:val="false"/>
          <w:bCs w:val="false"/>
          <w:i w:val="false"/>
          <w:iCs w:val="false"/>
          <w:sz w:val="22"/>
          <w:szCs w:val="22"/>
        </w:rPr>
        <w:t xml:space="preserve">This framework extends TerraCondition rather than starting a parallel engineering standard: every rule established in our companion paper's Section 6 applies unchanged. Algorithms that determine routing or accumulation are implemented in-house, solely from their published description (Section 3's cited papers), never from WhiteboxTools', RichDEM's, TauDEM's or GRASS's source code; engineers who inspect those tools' source for benchmarking or QA test-oracle purposes are not the engineers who write the corresponding production module; every module's provenance record states which paper specified it; and running a third-party tool externally, unmodified, purely to generate reference numbers for a test suite remains permitted and is, as before, the recommended validation strategy, never a runtime dependency. Table 2 of the companion paper's licensing note applies directly here too: WhiteboxTools' open-core MIT licence would technically permit direct code adaptation but would still yield a legal derivative work rather than genuinely independent IP, and RichDEM's GPL-3.0 licence makes source adaptation a real copyleft risk for a proprietary product — so, as before, the line drawn is specification-from-literature only, regardless of which reference tool is in view.</w:t>
      </w:r>
    </w:p>
    <w:p>
      <w:pPr>
        <w:pStyle w:val="Heading2"/>
        <w:spacing w:after="150" w:before="300"/>
      </w:pPr>
      <w:r>
        <w:t xml:space="preserve">6.2 Two New Tools: VectorFlow and AccumFlow</w:t>
      </w:r>
    </w:p>
    <w:p>
      <w:pPr>
        <w:spacing w:after="180" w:line="276"/>
        <w:jc w:val="both"/>
      </w:pPr>
      <w:r>
        <w:rPr>
          <w:rFonts w:ascii="Calibri" w:cs="Calibri" w:eastAsia="Calibri" w:hAnsi="Calibri"/>
          <w:b w:val="false"/>
          <w:bCs w:val="false"/>
          <w:i w:val="false"/>
          <w:iCs w:val="false"/>
          <w:sz w:val="22"/>
          <w:szCs w:val="22"/>
        </w:rPr>
        <w:t xml:space="preserve">Following the same tool-framework discipline as TerraCondition — independent goals, independent deployability, composed rather than fused — this methodology is delivered as two new tools rather than one combined direction-and-accumulation script, summarised in Table 3.</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600"/>
        <w:gridCol w:w="1800"/>
      </w:tblGrid>
      <w:tr>
        <w:trPr>
          <w:tblHeader/>
        </w:trPr>
        <w:tc>
          <w:tcPr>
            <w:tcW w:type="dxa" w:w="15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Tool</w:t>
            </w:r>
          </w:p>
        </w:tc>
        <w:tc>
          <w:tcPr>
            <w:tcW w:type="dxa" w:w="27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Independent Goal (standalone value)</w:t>
            </w:r>
          </w:p>
        </w:tc>
        <w:tc>
          <w:tcPr>
            <w:tcW w:type="dxa" w:w="26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Inputs → Outputs</w:t>
            </w:r>
          </w:p>
        </w:tc>
        <w:tc>
          <w:tcPr>
            <w:tcW w:type="dxa" w:w="18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Role in the Flow-Routing Workflow</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VectorFlow</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Computes a flow-direction raster (or DAG, for multi-direction methods) from any elevation surface using a selectable or convergence-adaptive algorithm. Independently valuable for aspect-adjacent terrain analysis, overland-flow-path studies, and erosion/sediment-transport modelling that need direction alone, with no accumulation step at all.</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Elevation raster (+ optional context: curvature, contributing-area estimate) → flow-direction raster/DAG + per-cell method/confidence record</w:t>
            </w:r>
          </w:p>
        </w:tc>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Pipeline Stages 1–3</w:t>
            </w:r>
          </w:p>
        </w:tc>
      </w:tr>
      <w:tr>
        <w:tc>
          <w:tcPr>
            <w:tcW w:type="dxa" w:w="1500"/>
            <w:tcMar>
              <w:top w:type="dxa" w:w="100"/>
              <w:left w:type="dxa" w:w="120"/>
              <w:bottom w:type="dxa" w:w="100"/>
              <w:right w:type="dxa" w:w="120"/>
            </w:tcMar>
          </w:tcPr>
          <w:p>
            <w:pPr>
              <w:spacing w:after="0"/>
            </w:pPr>
            <w:r>
              <w:rPr>
                <w:rFonts w:ascii="Calibri" w:cs="Calibri" w:eastAsia="Calibri" w:hAnsi="Calibri"/>
                <w:b/>
                <w:bCs/>
                <w:sz w:val="18"/>
                <w:szCs w:val="18"/>
              </w:rPr>
              <w:t xml:space="preserve">AccumFlow</w:t>
            </w:r>
          </w:p>
        </w:tc>
        <w:tc>
          <w:tcPr>
            <w:tcW w:type="dxa" w:w="27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Computes a flow-accumulation raster from any flow-direction input, at any scale from single-tile in-memory rasters to multi-billion-cell datasets. Independently valuable to any team that already has a flow-direction product (e.g. from a third-party or legacy source) and needs a fast, scalable accumulation engine without adopting a whole new GIS toolchain.</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Flow-direction raster/DAG (+ optional per-cell weighting, e.g. rainfall or infiltration grids) → flow-accumulation raster + mass-conservation report</w:t>
            </w:r>
          </w:p>
        </w:tc>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Pipeline Stages 4–5</w:t>
            </w:r>
          </w:p>
        </w:tc>
      </w:tr>
    </w:tbl>
    <w:p>
      <w:pPr>
        <w:spacing w:after="240" w:before="80"/>
        <w:jc w:val="center"/>
      </w:pPr>
      <w:r>
        <w:rPr>
          <w:rFonts w:ascii="Calibri" w:cs="Calibri" w:eastAsia="Calibri" w:hAnsi="Calibri"/>
          <w:i/>
          <w:iCs/>
          <w:sz w:val="20"/>
          <w:szCs w:val="20"/>
        </w:rPr>
        <w:t xml:space="preserve">Table 3. The two proprietary tools extending the TerraCondition framework to flow direction and flow accumulation, each with a standalone goal distinct from the combined workflow.</w:t>
      </w:r>
    </w:p>
    <w:p>
      <w:pPr>
        <w:spacing w:after="180" w:line="276"/>
        <w:jc w:val="both"/>
      </w:pPr>
      <w:r>
        <w:rPr>
          <w:rFonts w:ascii="Calibri" w:cs="Calibri" w:eastAsia="Calibri" w:hAnsi="Calibri"/>
          <w:b w:val="false"/>
          <w:bCs w:val="false"/>
          <w:i w:val="false"/>
          <w:iCs w:val="false"/>
          <w:sz w:val="22"/>
          <w:szCs w:val="22"/>
        </w:rPr>
        <w:t xml:space="preserve">Both tools consume and produce the same RasterManifest contract already established in TerraCondition (Section 6.3 of the companion paper), so VectorFlow can accept a DEM manifest produced by FlowForge/GradientLevel directly, and AccumFlow can accept a flow-direction manifest produced by VectorFlow, a legacy tool, or a third-party product, without any of the tools needing to import or link against one another's code.</w:t>
      </w:r>
    </w:p>
    <w:p>
      <w:pPr>
        <w:pStyle w:val="Heading2"/>
        <w:spacing w:after="150" w:before="300"/>
      </w:pPr>
      <w:r>
        <w:t xml:space="preserve">6.3 Proprietary Algorithm Implementations</w:t>
      </w:r>
    </w:p>
    <w:p>
      <w:pPr>
        <w:spacing w:after="180" w:line="276"/>
        <w:jc w:val="both"/>
      </w:pPr>
      <w:r>
        <w:rPr>
          <w:rFonts w:ascii="Calibri" w:cs="Calibri" w:eastAsia="Calibri" w:hAnsi="Calibri"/>
          <w:b w:val="false"/>
          <w:bCs w:val="false"/>
          <w:i w:val="false"/>
          <w:iCs w:val="false"/>
          <w:sz w:val="22"/>
          <w:szCs w:val="22"/>
        </w:rPr>
        <w:t xml:space="preserve">The listings below are original, in-house implementations of the published methods identified in Section 5.3 as the correct building blocks for each terrain regime, together with AccumFlow's dependency-count-aware topological accumulation engine. As with FlowForge and GradientLevel in the companion paper, these are written here for clarity; production versions compile the innermost loops via an in-house-owned Cython or Rust extension to reach production throughput.</w:t>
      </w:r>
    </w:p>
    <w:p>
      <w:pPr>
        <w:spacing w:after="180" w:line="276"/>
        <w:jc w:val="both"/>
      </w:pPr>
      <w:r>
        <w:rPr>
          <w:rFonts w:ascii="Calibri" w:cs="Calibri" w:eastAsia="Calibri" w:hAnsi="Calibri"/>
          <w:b w:val="false"/>
          <w:bCs w:val="false"/>
          <w:i w:val="false"/>
          <w:iCs w:val="false"/>
          <w:sz w:val="22"/>
          <w:szCs w:val="22"/>
        </w:rPr>
        <w:t xml:space="preserve">VectorFlow's convergent-regime router computes the D8-LAD-style, path-based nondispersive direction (Section 3.1.3), written from Orlandini et al.'s (2003) published method rather than from any existing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vectorflow/nondispersive.py  — proprietary, clean-room implementation</w:t>
            </w:r>
          </w:p>
          <w:p>
            <w:pPr>
              <w:spacing w:after="0"/>
            </w:pPr>
            <w:r>
              <w:rPr>
                <w:rFonts w:ascii="Consolas" w:cs="Consolas" w:eastAsia="Consolas" w:hAnsi="Consolas"/>
                <w:sz w:val="18"/>
                <w:szCs w:val="18"/>
              </w:rPr>
              <w:t xml:space="preserve">import numpy as np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_D8 = [(-1,-1),(-1,0),(-1,1),(0,-1),(0,1),(1,-1),(1,0),(1,1)]</w:t>
            </w:r>
          </w:p>
          <w:p>
            <w:pPr>
              <w:spacing w:after="0"/>
            </w:pPr>
            <w:r>
              <w:rPr>
                <w:rFonts w:ascii="Consolas" w:cs="Consolas" w:eastAsia="Consolas" w:hAnsi="Consolas"/>
                <w:sz w:val="18"/>
                <w:szCs w:val="18"/>
              </w:rPr>
              <w:t xml:space="preserve">_DIST = [np.sqrt(2),1,np.sqrt(2),1,1,np.sqrt(2),1,np.sqrt(2)]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steepest_descent_direction(dem: np.ndarray, r: int, c: int) -&gt; int:</w:t>
            </w:r>
          </w:p>
          <w:p>
            <w:pPr>
              <w:spacing w:after="0"/>
            </w:pPr>
            <w:r>
              <w:rPr>
                <w:rFonts w:ascii="Consolas" w:cs="Consolas" w:eastAsia="Consolas" w:hAnsi="Consolas"/>
                <w:sz w:val="18"/>
                <w:szCs w:val="18"/>
              </w:rPr>
              <w:t xml:space="preserve">    """In-house implementation of the local descent step underlying the</w:t>
            </w:r>
          </w:p>
          <w:p>
            <w:pPr>
              <w:spacing w:after="0"/>
            </w:pPr>
            <w:r>
              <w:rPr>
                <w:rFonts w:ascii="Consolas" w:cs="Consolas" w:eastAsia="Consolas" w:hAnsi="Consolas"/>
                <w:sz w:val="18"/>
                <w:szCs w:val="18"/>
              </w:rPr>
              <w:t xml:space="preserve">    path-based nondispersive method (specified from Orlandini et al.,</w:t>
            </w:r>
          </w:p>
          <w:p>
            <w:pPr>
              <w:spacing w:after="0"/>
            </w:pPr>
            <w:r>
              <w:rPr>
                <w:rFonts w:ascii="Consolas" w:cs="Consolas" w:eastAsia="Consolas" w:hAnsi="Consolas"/>
                <w:sz w:val="18"/>
                <w:szCs w:val="18"/>
              </w:rPr>
              <w:t xml:space="preserve">    2003; no WhiteboxTools/RichDEM/TauDEM source consulted). Returns the</w:t>
            </w:r>
          </w:p>
          <w:p>
            <w:pPr>
              <w:spacing w:after="0"/>
            </w:pPr>
            <w:r>
              <w:rPr>
                <w:rFonts w:ascii="Consolas" w:cs="Consolas" w:eastAsia="Consolas" w:hAnsi="Consolas"/>
                <w:sz w:val="18"/>
                <w:szCs w:val="18"/>
              </w:rPr>
              <w:t xml:space="preserve">    index into _D8 of the steepest downslope neighbour, or -1 if none."""</w:t>
            </w:r>
          </w:p>
          <w:p>
            <w:pPr>
              <w:spacing w:after="0"/>
            </w:pPr>
            <w:r>
              <w:rPr>
                <w:rFonts w:ascii="Consolas" w:cs="Consolas" w:eastAsia="Consolas" w:hAnsi="Consolas"/>
                <w:sz w:val="18"/>
                <w:szCs w:val="18"/>
              </w:rPr>
              <w:t xml:space="preserve">    z = dem[r, c]</w:t>
            </w:r>
          </w:p>
          <w:p>
            <w:pPr>
              <w:spacing w:after="0"/>
            </w:pPr>
            <w:r>
              <w:rPr>
                <w:rFonts w:ascii="Consolas" w:cs="Consolas" w:eastAsia="Consolas" w:hAnsi="Consolas"/>
                <w:sz w:val="18"/>
                <w:szCs w:val="18"/>
              </w:rPr>
              <w:t xml:space="preserve">    best_idx, best_slope = -1, 0.0</w:t>
            </w:r>
          </w:p>
          <w:p>
            <w:pPr>
              <w:spacing w:after="0"/>
            </w:pPr>
            <w:r>
              <w:rPr>
                <w:rFonts w:ascii="Consolas" w:cs="Consolas" w:eastAsia="Consolas" w:hAnsi="Consolas"/>
                <w:sz w:val="18"/>
                <w:szCs w:val="18"/>
              </w:rPr>
              <w:t xml:space="preserve">    for i, (dr, dc) in enumerate(_D8):</w:t>
            </w:r>
          </w:p>
          <w:p>
            <w:pPr>
              <w:spacing w:after="0"/>
            </w:pPr>
            <w:r>
              <w:rPr>
                <w:rFonts w:ascii="Consolas" w:cs="Consolas" w:eastAsia="Consolas" w:hAnsi="Consolas"/>
                <w:sz w:val="18"/>
                <w:szCs w:val="18"/>
              </w:rPr>
              <w:t xml:space="preserve">        nr, nc = r + dr, c + dc</w:t>
            </w:r>
          </w:p>
          <w:p>
            <w:pPr>
              <w:spacing w:after="0"/>
            </w:pPr>
            <w:r>
              <w:rPr>
                <w:rFonts w:ascii="Consolas" w:cs="Consolas" w:eastAsia="Consolas" w:hAnsi="Consolas"/>
                <w:sz w:val="18"/>
                <w:szCs w:val="18"/>
              </w:rPr>
              <w:t xml:space="preserve">        if not (0 &lt;= nr &lt; dem.shape[0] and 0 &lt;= nc &lt; dem.shape[1]):</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drop = z - dem[nr, nc]</w:t>
            </w:r>
          </w:p>
          <w:p>
            <w:pPr>
              <w:spacing w:after="0"/>
            </w:pPr>
            <w:r>
              <w:rPr>
                <w:rFonts w:ascii="Consolas" w:cs="Consolas" w:eastAsia="Consolas" w:hAnsi="Consolas"/>
                <w:sz w:val="18"/>
                <w:szCs w:val="18"/>
              </w:rPr>
              <w:t xml:space="preserve">        slope = drop / _DIST[i]</w:t>
            </w:r>
          </w:p>
          <w:p>
            <w:pPr>
              <w:spacing w:after="0"/>
            </w:pPr>
            <w:r>
              <w:rPr>
                <w:rFonts w:ascii="Consolas" w:cs="Consolas" w:eastAsia="Consolas" w:hAnsi="Consolas"/>
                <w:sz w:val="18"/>
                <w:szCs w:val="18"/>
              </w:rPr>
              <w:t xml:space="preserve">        if slope &gt; best_slope:</w:t>
            </w:r>
          </w:p>
          <w:p>
            <w:pPr>
              <w:spacing w:after="0"/>
            </w:pPr>
            <w:r>
              <w:rPr>
                <w:rFonts w:ascii="Consolas" w:cs="Consolas" w:eastAsia="Consolas" w:hAnsi="Consolas"/>
                <w:sz w:val="18"/>
                <w:szCs w:val="18"/>
              </w:rPr>
              <w:t xml:space="preserve">            best_slope, best_idx = slope, i</w:t>
            </w:r>
          </w:p>
          <w:p>
            <w:pPr>
              <w:spacing w:after="0"/>
            </w:pPr>
            <w:r>
              <w:rPr>
                <w:rFonts w:ascii="Consolas" w:cs="Consolas" w:eastAsia="Consolas" w:hAnsi="Consolas"/>
                <w:sz w:val="18"/>
                <w:szCs w:val="18"/>
              </w:rPr>
              <w:t xml:space="preserve">    return best_idx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path_based_nondispersive_direction(dem: np.ndarray, r: int, c: int,</w:t>
            </w:r>
          </w:p>
          <w:p>
            <w:pPr>
              <w:spacing w:after="0"/>
            </w:pPr>
            <w:r>
              <w:rPr>
                <w:rFonts w:ascii="Consolas" w:cs="Consolas" w:eastAsia="Consolas" w:hAnsi="Consolas"/>
                <w:sz w:val="18"/>
                <w:szCs w:val="18"/>
              </w:rPr>
              <w:t xml:space="preserve">                                        path_len: int = 3) -&gt; int:</w:t>
            </w:r>
          </w:p>
          <w:p>
            <w:pPr>
              <w:spacing w:after="0"/>
            </w:pPr>
            <w:r>
              <w:rPr>
                <w:rFonts w:ascii="Consolas" w:cs="Consolas" w:eastAsia="Consolas" w:hAnsi="Consolas"/>
                <w:sz w:val="18"/>
                <w:szCs w:val="18"/>
              </w:rPr>
              <w:t xml:space="preserve">    """Extends the local descent choice with a short forward-path check:</w:t>
            </w:r>
          </w:p>
          <w:p>
            <w:pPr>
              <w:spacing w:after="0"/>
            </w:pPr>
            <w:r>
              <w:rPr>
                <w:rFonts w:ascii="Consolas" w:cs="Consolas" w:eastAsia="Consolas" w:hAnsi="Consolas"/>
                <w:sz w:val="18"/>
                <w:szCs w:val="18"/>
              </w:rPr>
              <w:t xml:space="preserve">    among the candidate steepest neighbours, prefer the one whose own</w:t>
            </w:r>
          </w:p>
          <w:p>
            <w:pPr>
              <w:spacing w:after="0"/>
            </w:pPr>
            <w:r>
              <w:rPr>
                <w:rFonts w:ascii="Consolas" w:cs="Consolas" w:eastAsia="Consolas" w:hAnsi="Consolas"/>
                <w:sz w:val="18"/>
                <w:szCs w:val="18"/>
              </w:rPr>
              <w:t xml:space="preserve">    subsequent `path_len` steps deviate least from the direct local</w:t>
            </w:r>
          </w:p>
          <w:p>
            <w:pPr>
              <w:spacing w:after="0"/>
            </w:pPr>
            <w:r>
              <w:rPr>
                <w:rFonts w:ascii="Consolas" w:cs="Consolas" w:eastAsia="Consolas" w:hAnsi="Consolas"/>
                <w:sz w:val="18"/>
                <w:szCs w:val="18"/>
              </w:rPr>
              <w:t xml:space="preserve">    descent vector (least-angular-deviation criterion, Orlandini et al.,</w:t>
            </w:r>
          </w:p>
          <w:p>
            <w:pPr>
              <w:spacing w:after="0"/>
            </w:pPr>
            <w:r>
              <w:rPr>
                <w:rFonts w:ascii="Consolas" w:cs="Consolas" w:eastAsia="Consolas" w:hAnsi="Consolas"/>
                <w:sz w:val="18"/>
                <w:szCs w:val="18"/>
              </w:rPr>
              <w:t xml:space="preserve">    2003), rather than committing to a single-cell-local decision."""</w:t>
            </w:r>
          </w:p>
          <w:p>
            <w:pPr>
              <w:spacing w:after="0"/>
            </w:pPr>
            <w:r>
              <w:rPr>
                <w:rFonts w:ascii="Consolas" w:cs="Consolas" w:eastAsia="Consolas" w:hAnsi="Consolas"/>
                <w:sz w:val="18"/>
                <w:szCs w:val="18"/>
              </w:rPr>
              <w:t xml:space="preserve">    candidates = _tied_or_near_steepest(dem, r, c)</w:t>
            </w:r>
          </w:p>
          <w:p>
            <w:pPr>
              <w:spacing w:after="0"/>
            </w:pPr>
            <w:r>
              <w:rPr>
                <w:rFonts w:ascii="Consolas" w:cs="Consolas" w:eastAsia="Consolas" w:hAnsi="Consolas"/>
                <w:sz w:val="18"/>
                <w:szCs w:val="18"/>
              </w:rPr>
              <w:t xml:space="preserve">    if len(candidates) == 1:</w:t>
            </w:r>
          </w:p>
          <w:p>
            <w:pPr>
              <w:spacing w:after="0"/>
            </w:pPr>
            <w:r>
              <w:rPr>
                <w:rFonts w:ascii="Consolas" w:cs="Consolas" w:eastAsia="Consolas" w:hAnsi="Consolas"/>
                <w:sz w:val="18"/>
                <w:szCs w:val="18"/>
              </w:rPr>
              <w:t xml:space="preserve">        return candidates[0]</w:t>
            </w:r>
          </w:p>
          <w:p>
            <w:pPr>
              <w:spacing w:after="0"/>
            </w:pPr>
            <w:r>
              <w:rPr>
                <w:rFonts w:ascii="Consolas" w:cs="Consolas" w:eastAsia="Consolas" w:hAnsi="Consolas"/>
                <w:sz w:val="18"/>
                <w:szCs w:val="18"/>
              </w:rPr>
              <w:t xml:space="preserve">    return min(candidates, key=lambda i: _path_angular_deviation(dem, r, c, i, path_len))</w:t>
            </w:r>
          </w:p>
        </w:tc>
      </w:tr>
    </w:tbl>
    <w:p>
      <w:pPr>
        <w:spacing w:after="240" w:before="80"/>
        <w:jc w:val="center"/>
      </w:pPr>
      <w:r>
        <w:rPr>
          <w:rFonts w:ascii="Calibri" w:cs="Calibri" w:eastAsia="Calibri" w:hAnsi="Calibri"/>
          <w:i/>
          <w:iCs/>
          <w:sz w:val="20"/>
          <w:szCs w:val="20"/>
        </w:rPr>
        <w:t xml:space="preserve">Listing 1. VectorFlow's convergent-regime, path-based nondispersive direction module.</w:t>
      </w:r>
    </w:p>
    <w:p>
      <w:pPr>
        <w:spacing w:after="180" w:line="276"/>
        <w:jc w:val="both"/>
      </w:pPr>
      <w:r>
        <w:rPr>
          <w:rFonts w:ascii="Calibri" w:cs="Calibri" w:eastAsia="Calibri" w:hAnsi="Calibri"/>
          <w:b w:val="false"/>
          <w:bCs w:val="false"/>
          <w:i w:val="false"/>
          <w:iCs w:val="false"/>
          <w:sz w:val="22"/>
          <w:szCs w:val="22"/>
        </w:rPr>
        <w:t xml:space="preserve">The divergent-regime router implements Seibert and McGlynn's (2007) triangular MD-infinity method from its published facet-weighting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vectorflow/triangular_mdinf.py  — proprietary, clean-room implementation</w:t>
            </w:r>
          </w:p>
          <w:p>
            <w:pPr>
              <w:spacing w:after="0"/>
            </w:pPr>
            <w:r>
              <w:rPr>
                <w:rFonts w:ascii="Consolas" w:cs="Consolas" w:eastAsia="Consolas" w:hAnsi="Consolas"/>
                <w:sz w:val="18"/>
                <w:szCs w:val="18"/>
              </w:rPr>
              <w:t xml:space="preserve">import numpy as np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triangular_mdinf_direction(dem: np.ndarray, r: int, c: int):</w:t>
            </w:r>
          </w:p>
          <w:p>
            <w:pPr>
              <w:spacing w:after="0"/>
            </w:pPr>
            <w:r>
              <w:rPr>
                <w:rFonts w:ascii="Consolas" w:cs="Consolas" w:eastAsia="Consolas" w:hAnsi="Consolas"/>
                <w:sz w:val="18"/>
                <w:szCs w:val="18"/>
              </w:rPr>
              <w:t xml:space="preserve">    """In-house implementation of triangular MD-infinity (specified from</w:t>
            </w:r>
          </w:p>
          <w:p>
            <w:pPr>
              <w:spacing w:after="0"/>
            </w:pPr>
            <w:r>
              <w:rPr>
                <w:rFonts w:ascii="Consolas" w:cs="Consolas" w:eastAsia="Consolas" w:hAnsi="Consolas"/>
                <w:sz w:val="18"/>
                <w:szCs w:val="18"/>
              </w:rPr>
              <w:t xml:space="preserve">    Seibert &amp; McGlynn, 2007). Returns a list of (neighbour_index, weight)</w:t>
            </w:r>
          </w:p>
          <w:p>
            <w:pPr>
              <w:spacing w:after="0"/>
            </w:pPr>
            <w:r>
              <w:rPr>
                <w:rFonts w:ascii="Consolas" w:cs="Consolas" w:eastAsia="Consolas" w:hAnsi="Consolas"/>
                <w:sz w:val="18"/>
                <w:szCs w:val="18"/>
              </w:rPr>
              <w:t xml:space="preserve">    pairs summing to 1.0 across every neighbour indicated as downslope</w:t>
            </w:r>
          </w:p>
          <w:p>
            <w:pPr>
              <w:spacing w:after="0"/>
            </w:pPr>
            <w:r>
              <w:rPr>
                <w:rFonts w:ascii="Consolas" w:cs="Consolas" w:eastAsia="Consolas" w:hAnsi="Consolas"/>
                <w:sz w:val="18"/>
                <w:szCs w:val="18"/>
              </w:rPr>
              <w:t xml:space="preserve">    by at least one of the 8 triangular facets."""</w:t>
            </w:r>
          </w:p>
          <w:p>
            <w:pPr>
              <w:spacing w:after="0"/>
            </w:pPr>
            <w:r>
              <w:rPr>
                <w:rFonts w:ascii="Consolas" w:cs="Consolas" w:eastAsia="Consolas" w:hAnsi="Consolas"/>
                <w:sz w:val="18"/>
                <w:szCs w:val="18"/>
              </w:rPr>
              <w:t xml:space="preserve">    facets = _build_facets(dem, r, c)              # 8 triangular facets, as in Tarboton (1997)</w:t>
            </w:r>
          </w:p>
          <w:p>
            <w:pPr>
              <w:spacing w:after="0"/>
            </w:pPr>
            <w:r>
              <w:rPr>
                <w:rFonts w:ascii="Consolas" w:cs="Consolas" w:eastAsia="Consolas" w:hAnsi="Consolas"/>
                <w:sz w:val="18"/>
                <w:szCs w:val="18"/>
              </w:rPr>
              <w:t xml:space="preserve">    downslope_facets = [f for f in facets if f.max_slope &gt; 0]</w:t>
            </w:r>
          </w:p>
          <w:p>
            <w:pPr>
              <w:spacing w:after="0"/>
            </w:pPr>
            <w:r>
              <w:rPr>
                <w:rFonts w:ascii="Consolas" w:cs="Consolas" w:eastAsia="Consolas" w:hAnsi="Consolas"/>
                <w:sz w:val="18"/>
                <w:szCs w:val="18"/>
              </w:rPr>
              <w:t xml:space="preserve">    contributions = {}</w:t>
            </w:r>
          </w:p>
          <w:p>
            <w:pPr>
              <w:spacing w:after="0"/>
            </w:pPr>
            <w:r>
              <w:rPr>
                <w:rFonts w:ascii="Consolas" w:cs="Consolas" w:eastAsia="Consolas" w:hAnsi="Consolas"/>
                <w:sz w:val="18"/>
                <w:szCs w:val="18"/>
              </w:rPr>
              <w:t xml:space="preserve">    for facet in downslope_facets:</w:t>
            </w:r>
          </w:p>
          <w:p>
            <w:pPr>
              <w:spacing w:after="0"/>
            </w:pPr>
            <w:r>
              <w:rPr>
                <w:rFonts w:ascii="Consolas" w:cs="Consolas" w:eastAsia="Consolas" w:hAnsi="Consolas"/>
                <w:sz w:val="18"/>
                <w:szCs w:val="18"/>
              </w:rPr>
              <w:t xml:space="preserve">        # Quinn-style proportional weighting within each contributing facet</w:t>
            </w:r>
          </w:p>
          <w:p>
            <w:pPr>
              <w:spacing w:after="0"/>
            </w:pPr>
            <w:r>
              <w:rPr>
                <w:rFonts w:ascii="Consolas" w:cs="Consolas" w:eastAsia="Consolas" w:hAnsi="Consolas"/>
                <w:sz w:val="18"/>
                <w:szCs w:val="18"/>
              </w:rPr>
              <w:t xml:space="preserve">        for neighbour_idx, w in facet.slope_weighted_split():</w:t>
            </w:r>
          </w:p>
          <w:p>
            <w:pPr>
              <w:spacing w:after="0"/>
            </w:pPr>
            <w:r>
              <w:rPr>
                <w:rFonts w:ascii="Consolas" w:cs="Consolas" w:eastAsia="Consolas" w:hAnsi="Consolas"/>
                <w:sz w:val="18"/>
                <w:szCs w:val="18"/>
              </w:rPr>
              <w:t xml:space="preserve">            contributions[neighbour_idx] = contributions.get(neighbour_idx, 0.0) + w</w:t>
            </w:r>
          </w:p>
          <w:p>
            <w:pPr>
              <w:spacing w:after="0"/>
            </w:pPr>
            <w:r>
              <w:rPr>
                <w:rFonts w:ascii="Consolas" w:cs="Consolas" w:eastAsia="Consolas" w:hAnsi="Consolas"/>
                <w:sz w:val="18"/>
                <w:szCs w:val="18"/>
              </w:rPr>
              <w:t xml:space="preserve">    total = sum(contributions.values()) or 1.0</w:t>
            </w:r>
          </w:p>
          <w:p>
            <w:pPr>
              <w:spacing w:after="0"/>
            </w:pPr>
            <w:r>
              <w:rPr>
                <w:rFonts w:ascii="Consolas" w:cs="Consolas" w:eastAsia="Consolas" w:hAnsi="Consolas"/>
                <w:sz w:val="18"/>
                <w:szCs w:val="18"/>
              </w:rPr>
              <w:t xml:space="preserve">    return [(idx, w / total) for idx, w in contributions.items()]</w:t>
            </w:r>
          </w:p>
        </w:tc>
      </w:tr>
    </w:tbl>
    <w:p>
      <w:pPr>
        <w:spacing w:after="240" w:before="80"/>
        <w:jc w:val="center"/>
      </w:pPr>
      <w:r>
        <w:rPr>
          <w:rFonts w:ascii="Calibri" w:cs="Calibri" w:eastAsia="Calibri" w:hAnsi="Calibri"/>
          <w:i/>
          <w:iCs/>
          <w:sz w:val="20"/>
          <w:szCs w:val="20"/>
        </w:rPr>
        <w:t xml:space="preserve">Listing 2. VectorFlow's divergent-regime, triangular MD-infinity module.</w:t>
      </w:r>
    </w:p>
    <w:p>
      <w:pPr>
        <w:spacing w:after="180" w:line="276"/>
        <w:jc w:val="both"/>
      </w:pPr>
      <w:r>
        <w:rPr>
          <w:rFonts w:ascii="Calibri" w:cs="Calibri" w:eastAsia="Calibri" w:hAnsi="Calibri"/>
          <w:b w:val="false"/>
          <w:bCs w:val="false"/>
          <w:i w:val="false"/>
          <w:iCs w:val="false"/>
          <w:sz w:val="22"/>
          <w:szCs w:val="22"/>
        </w:rPr>
        <w:t xml:space="preserve">AccumFlow's engine performs a single, dependency-count-aware topological traversal that accepts a mixed SFD/MFD structure — exactly the requirement identified in Section 3.6 as commonly omitted from published SFD-only implementations: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accumflow/topological.py  — proprietary, clean-room implementation</w:t>
            </w:r>
          </w:p>
          <w:p>
            <w:pPr>
              <w:spacing w:after="0"/>
            </w:pPr>
            <w:r>
              <w:rPr>
                <w:rFonts w:ascii="Consolas" w:cs="Consolas" w:eastAsia="Consolas" w:hAnsi="Consolas"/>
                <w:sz w:val="18"/>
                <w:szCs w:val="18"/>
              </w:rPr>
              <w:t xml:space="preserve">import numpy as np</w:t>
            </w:r>
          </w:p>
          <w:p>
            <w:pPr>
              <w:spacing w:after="0"/>
            </w:pPr>
            <w:r>
              <w:rPr>
                <w:rFonts w:ascii="Consolas" w:cs="Consolas" w:eastAsia="Consolas" w:hAnsi="Consolas"/>
                <w:sz w:val="18"/>
                <w:szCs w:val="18"/>
              </w:rPr>
              <w:t xml:space="preserve">from collections import deque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compute_flow_accumulation(flow_graph, weight_grid=None):</w:t>
            </w:r>
          </w:p>
          <w:p>
            <w:pPr>
              <w:spacing w:after="0"/>
            </w:pPr>
            <w:r>
              <w:rPr>
                <w:rFonts w:ascii="Consolas" w:cs="Consolas" w:eastAsia="Consolas" w:hAnsi="Consolas"/>
                <w:sz w:val="18"/>
                <w:szCs w:val="18"/>
              </w:rPr>
              <w:t xml:space="preserve">    """In-house dependency-count-aware topological accumulation engine</w:t>
            </w:r>
          </w:p>
          <w:p>
            <w:pPr>
              <w:spacing w:after="0"/>
            </w:pPr>
            <w:r>
              <w:rPr>
                <w:rFonts w:ascii="Consolas" w:cs="Consolas" w:eastAsia="Consolas" w:hAnsi="Consolas"/>
                <w:sz w:val="18"/>
                <w:szCs w:val="18"/>
              </w:rPr>
              <w:t xml:space="preserve">    (method specified from the topological-sort principle described in</w:t>
            </w:r>
          </w:p>
          <w:p>
            <w:pPr>
              <w:spacing w:after="0"/>
            </w:pPr>
            <w:r>
              <w:rPr>
                <w:rFonts w:ascii="Consolas" w:cs="Consolas" w:eastAsia="Consolas" w:hAnsi="Consolas"/>
                <w:sz w:val="18"/>
                <w:szCs w:val="18"/>
              </w:rPr>
              <w:t xml:space="preserve">    Jenson &amp; Domingue, 1988 and Barnes, 2017; this implementation is</w:t>
            </w:r>
          </w:p>
          <w:p>
            <w:pPr>
              <w:spacing w:after="0"/>
            </w:pPr>
            <w:r>
              <w:rPr>
                <w:rFonts w:ascii="Consolas" w:cs="Consolas" w:eastAsia="Consolas" w:hAnsi="Consolas"/>
                <w:sz w:val="18"/>
                <w:szCs w:val="18"/>
              </w:rPr>
              <w:t xml:space="preserve">    original and was not derived from WhiteboxTools, RichDEM, TauDEM or</w:t>
            </w:r>
          </w:p>
          <w:p>
            <w:pPr>
              <w:spacing w:after="0"/>
            </w:pPr>
            <w:r>
              <w:rPr>
                <w:rFonts w:ascii="Consolas" w:cs="Consolas" w:eastAsia="Consolas" w:hAnsi="Consolas"/>
                <w:sz w:val="18"/>
                <w:szCs w:val="18"/>
              </w:rPr>
              <w:t xml:space="preserve">    GRASS source). `flow_graph` maps each cell to a list of</w:t>
            </w:r>
          </w:p>
          <w:p>
            <w:pPr>
              <w:spacing w:after="0"/>
            </w:pPr>
            <w:r>
              <w:rPr>
                <w:rFonts w:ascii="Consolas" w:cs="Consolas" w:eastAsia="Consolas" w:hAnsi="Consolas"/>
                <w:sz w:val="18"/>
                <w:szCs w:val="18"/>
              </w:rPr>
              <w:t xml:space="preserve">    (downstream_cell, fraction) pairs -- length 1 for SFD, length &gt;1</w:t>
            </w:r>
          </w:p>
          <w:p>
            <w:pPr>
              <w:spacing w:after="0"/>
            </w:pPr>
            <w:r>
              <w:rPr>
                <w:rFonts w:ascii="Consolas" w:cs="Consolas" w:eastAsia="Consolas" w:hAnsi="Consolas"/>
                <w:sz w:val="18"/>
                <w:szCs w:val="18"/>
              </w:rPr>
              <w:t xml:space="preserve">    for MFD/D-infinity cells."""</w:t>
            </w:r>
          </w:p>
          <w:p>
            <w:pPr>
              <w:spacing w:after="0"/>
            </w:pPr>
            <w:r>
              <w:rPr>
                <w:rFonts w:ascii="Consolas" w:cs="Consolas" w:eastAsia="Consolas" w:hAnsi="Consolas"/>
                <w:sz w:val="18"/>
                <w:szCs w:val="18"/>
              </w:rPr>
              <w:t xml:space="preserve">    in_degree = _count_upstream_contributors(flow_graph)</w:t>
            </w:r>
          </w:p>
          <w:p>
            <w:pPr>
              <w:spacing w:after="0"/>
            </w:pPr>
            <w:r>
              <w:rPr>
                <w:rFonts w:ascii="Consolas" w:cs="Consolas" w:eastAsia="Consolas" w:hAnsi="Consolas"/>
                <w:sz w:val="18"/>
                <w:szCs w:val="18"/>
              </w:rPr>
              <w:t xml:space="preserve">    accum = {cell: (weight_grid[cell] if weight_grid is not None else 1.0)</w:t>
            </w:r>
          </w:p>
          <w:p>
            <w:pPr>
              <w:spacing w:after="0"/>
            </w:pPr>
            <w:r>
              <w:rPr>
                <w:rFonts w:ascii="Consolas" w:cs="Consolas" w:eastAsia="Consolas" w:hAnsi="Consolas"/>
                <w:sz w:val="18"/>
                <w:szCs w:val="18"/>
              </w:rPr>
              <w:t xml:space="preserve">             for cell in flow_graph}</w:t>
            </w:r>
          </w:p>
          <w:p>
            <w:pPr>
              <w:spacing w:after="0"/>
            </w:pPr>
            <w:r>
              <w:rPr>
                <w:rFonts w:ascii="Consolas" w:cs="Consolas" w:eastAsia="Consolas" w:hAnsi="Consolas"/>
                <w:sz w:val="18"/>
                <w:szCs w:val="18"/>
              </w:rPr>
              <w:t xml:space="preserve">    ready = deque(c for c, deg in in_degree.items() if deg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ready:</w:t>
            </w:r>
          </w:p>
          <w:p>
            <w:pPr>
              <w:spacing w:after="0"/>
            </w:pPr>
            <w:r>
              <w:rPr>
                <w:rFonts w:ascii="Consolas" w:cs="Consolas" w:eastAsia="Consolas" w:hAnsi="Consolas"/>
                <w:sz w:val="18"/>
                <w:szCs w:val="18"/>
              </w:rPr>
              <w:t xml:space="preserve">        cell = ready.popleft()</w:t>
            </w:r>
          </w:p>
          <w:p>
            <w:pPr>
              <w:spacing w:after="0"/>
            </w:pPr>
            <w:r>
              <w:rPr>
                <w:rFonts w:ascii="Consolas" w:cs="Consolas" w:eastAsia="Consolas" w:hAnsi="Consolas"/>
                <w:sz w:val="18"/>
                <w:szCs w:val="18"/>
              </w:rPr>
              <w:t xml:space="preserve">        for downstream, fraction in flow_graph.get(cell, []):</w:t>
            </w:r>
          </w:p>
          <w:p>
            <w:pPr>
              <w:spacing w:after="0"/>
            </w:pPr>
            <w:r>
              <w:rPr>
                <w:rFonts w:ascii="Consolas" w:cs="Consolas" w:eastAsia="Consolas" w:hAnsi="Consolas"/>
                <w:sz w:val="18"/>
                <w:szCs w:val="18"/>
              </w:rPr>
              <w:t xml:space="preserve">            accum[downstream] = accum.get(downstream, 0.0) + accum[cell] * fraction</w:t>
            </w:r>
          </w:p>
          <w:p>
            <w:pPr>
              <w:spacing w:after="0"/>
            </w:pPr>
            <w:r>
              <w:rPr>
                <w:rFonts w:ascii="Consolas" w:cs="Consolas" w:eastAsia="Consolas" w:hAnsi="Consolas"/>
                <w:sz w:val="18"/>
                <w:szCs w:val="18"/>
              </w:rPr>
              <w:t xml:space="preserve">            in_degree[downstream] -= 1</w:t>
            </w:r>
          </w:p>
          <w:p>
            <w:pPr>
              <w:spacing w:after="0"/>
            </w:pPr>
            <w:r>
              <w:rPr>
                <w:rFonts w:ascii="Consolas" w:cs="Consolas" w:eastAsia="Consolas" w:hAnsi="Consolas"/>
                <w:sz w:val="18"/>
                <w:szCs w:val="18"/>
              </w:rPr>
              <w:t xml:space="preserve">            if in_degree[downstream] == 0:</w:t>
            </w:r>
          </w:p>
          <w:p>
            <w:pPr>
              <w:spacing w:after="0"/>
            </w:pPr>
            <w:r>
              <w:rPr>
                <w:rFonts w:ascii="Consolas" w:cs="Consolas" w:eastAsia="Consolas" w:hAnsi="Consolas"/>
                <w:sz w:val="18"/>
                <w:szCs w:val="18"/>
              </w:rPr>
              <w:t xml:space="preserve">                ready.append(downstream)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accum   # one topological pass; O(n) in cells + edges</w:t>
            </w:r>
          </w:p>
        </w:tc>
      </w:tr>
    </w:tbl>
    <w:p>
      <w:pPr>
        <w:spacing w:after="240" w:before="80"/>
        <w:jc w:val="center"/>
      </w:pPr>
      <w:r>
        <w:rPr>
          <w:rFonts w:ascii="Calibri" w:cs="Calibri" w:eastAsia="Calibri" w:hAnsi="Calibri"/>
          <w:i/>
          <w:iCs/>
          <w:sz w:val="20"/>
          <w:szCs w:val="20"/>
        </w:rPr>
        <w:t xml:space="preserve">Listing 3. AccumFlow's proprietary topological accumulation engine, accepting mixed SFD/MFD input from a single code path.</w:t>
      </w:r>
    </w:p>
    <w:p>
      <w:pPr>
        <w:pStyle w:val="Heading2"/>
        <w:spacing w:after="150" w:before="300"/>
      </w:pPr>
      <w:r>
        <w:t xml:space="preserve">6.4 Orchestration and Composition with TerraCondition</w:t>
      </w:r>
    </w:p>
    <w:p>
      <w:pPr>
        <w:spacing w:after="180" w:line="276"/>
        <w:jc w:val="both"/>
      </w:pPr>
      <w:r>
        <w:rPr>
          <w:rFonts w:ascii="Calibri" w:cs="Calibri" w:eastAsia="Calibri" w:hAnsi="Calibri"/>
          <w:b w:val="false"/>
          <w:bCs w:val="false"/>
          <w:i w:val="false"/>
          <w:iCs w:val="false"/>
          <w:sz w:val="22"/>
          <w:szCs w:val="22"/>
        </w:rPr>
        <w:t xml:space="preserve">VectorFlow and AccumFlow are sequenced by a thin orchestrator identical in spirit to TerraCondition's, containing no routing or accumulation logic of its own — only Stage 1–2 context classification and regime assignment, plus calls out to the two tools' public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orchestrator/route.py  — sequencing only; no algorithmic logic of its own</w:t>
            </w:r>
          </w:p>
          <w:p>
            <w:pPr>
              <w:spacing w:after="0"/>
            </w:pPr>
            <w:r>
              <w:rPr>
                <w:rFonts w:ascii="Consolas" w:cs="Consolas" w:eastAsia="Consolas" w:hAnsi="Consolas"/>
                <w:sz w:val="18"/>
                <w:szCs w:val="18"/>
              </w:rPr>
              <w:t xml:space="preserve">from terraincontext import classify_regime          # Stages 1-2</w:t>
            </w:r>
          </w:p>
          <w:p>
            <w:pPr>
              <w:spacing w:after="0"/>
            </w:pPr>
            <w:r>
              <w:rPr>
                <w:rFonts w:ascii="Consolas" w:cs="Consolas" w:eastAsia="Consolas" w:hAnsi="Consolas"/>
                <w:sz w:val="18"/>
                <w:szCs w:val="18"/>
              </w:rPr>
              <w:t xml:space="preserve">from vectorflow import route as vf_route             # Stage 3, Tool: VectorFlow</w:t>
            </w:r>
          </w:p>
          <w:p>
            <w:pPr>
              <w:spacing w:after="0"/>
            </w:pPr>
            <w:r>
              <w:rPr>
                <w:rFonts w:ascii="Consolas" w:cs="Consolas" w:eastAsia="Consolas" w:hAnsi="Consolas"/>
                <w:sz w:val="18"/>
                <w:szCs w:val="18"/>
              </w:rPr>
              <w:t xml:space="preserve">from accumflow import compute as af_compute           # Stage 4, Tool: AccumFlow</w:t>
            </w:r>
          </w:p>
          <w:p>
            <w:pPr>
              <w:spacing w:after="0"/>
            </w:pPr>
            <w:r>
              <w:rPr>
                <w:rFonts w:ascii="Consolas" w:cs="Consolas" w:eastAsia="Consolas" w:hAnsi="Consolas"/>
                <w:sz w:val="18"/>
                <w:szCs w:val="18"/>
              </w:rPr>
              <w:t xml:space="preserve">from provenanceledger import audit, validate           # Stage 5, reused from TerraCondition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run_flow_routing(dem_manifest, config):</w:t>
            </w:r>
          </w:p>
          <w:p>
            <w:pPr>
              <w:spacing w:after="0"/>
            </w:pPr>
            <w:r>
              <w:rPr>
                <w:rFonts w:ascii="Consolas" w:cs="Consolas" w:eastAsia="Consolas" w:hAnsi="Consolas"/>
                <w:sz w:val="18"/>
                <w:szCs w:val="18"/>
              </w:rPr>
              <w:t xml:space="preserve">    regimes = classify_regime.run(dem_manifest, config.context)      # Stage 1-2</w:t>
            </w:r>
          </w:p>
          <w:p>
            <w:pPr>
              <w:spacing w:after="0"/>
            </w:pPr>
            <w:r>
              <w:rPr>
                <w:rFonts w:ascii="Consolas" w:cs="Consolas" w:eastAsia="Consolas" w:hAnsi="Consolas"/>
                <w:sz w:val="18"/>
                <w:szCs w:val="18"/>
              </w:rPr>
              <w:t xml:space="preserve">    directions = vf_route.run(dem_manifest, regimes, config.routing)  # Tool: VectorFlow</w:t>
            </w:r>
          </w:p>
          <w:p>
            <w:pPr>
              <w:spacing w:after="0"/>
            </w:pPr>
            <w:r>
              <w:rPr>
                <w:rFonts w:ascii="Consolas" w:cs="Consolas" w:eastAsia="Consolas" w:hAnsi="Consolas"/>
                <w:sz w:val="18"/>
                <w:szCs w:val="18"/>
              </w:rPr>
              <w:t xml:space="preserve">    accumulation = af_compute.run(directions, config.accumulation)    # Tool: AccumFlow</w:t>
            </w:r>
          </w:p>
          <w:p>
            <w:pPr>
              <w:spacing w:after="0"/>
            </w:pPr>
            <w:r>
              <w:rPr>
                <w:rFonts w:ascii="Consolas" w:cs="Consolas" w:eastAsia="Consolas" w:hAnsi="Consolas"/>
                <w:sz w:val="18"/>
                <w:szCs w:val="18"/>
              </w:rPr>
              <w:t xml:space="preserve">    report = validate.run(directions, accumulation, config.qa)        # reused QA tool</w:t>
            </w:r>
          </w:p>
          <w:p>
            <w:pPr>
              <w:spacing w:after="0"/>
            </w:pPr>
            <w:r>
              <w:rPr>
                <w:rFonts w:ascii="Consolas" w:cs="Consolas" w:eastAsia="Consolas" w:hAnsi="Consolas"/>
                <w:sz w:val="18"/>
                <w:szCs w:val="18"/>
              </w:rPr>
              <w:t xml:space="preserve">    audit.finalize(accumulation, report)</w:t>
            </w:r>
          </w:p>
          <w:p>
            <w:pPr>
              <w:spacing w:after="0"/>
            </w:pPr>
            <w:r>
              <w:rPr>
                <w:rFonts w:ascii="Consolas" w:cs="Consolas" w:eastAsia="Consolas" w:hAnsi="Consolas"/>
                <w:sz w:val="18"/>
                <w:szCs w:val="18"/>
              </w:rPr>
              <w:t xml:space="preserve">    return directions, accumulation, report</w:t>
            </w:r>
          </w:p>
        </w:tc>
      </w:tr>
    </w:tbl>
    <w:p>
      <w:pPr>
        <w:spacing w:after="240" w:before="80"/>
        <w:jc w:val="center"/>
      </w:pPr>
      <w:r>
        <w:rPr>
          <w:rFonts w:ascii="Calibri" w:cs="Calibri" w:eastAsia="Calibri" w:hAnsi="Calibri"/>
          <w:i/>
          <w:iCs/>
          <w:sz w:val="20"/>
          <w:szCs w:val="20"/>
        </w:rPr>
        <w:t xml:space="preserve">Listing 4. Flow-routing orchestrator, reusing TerraCondition's ProvenanceLedger tool directly — a concrete demonstration of the tool framework's intended cross-workflow composability.</w:t>
      </w:r>
    </w:p>
    <w:p>
      <w:pPr>
        <w:pStyle w:val="Heading2"/>
        <w:spacing w:after="150" w:before="300"/>
      </w:pPr>
      <w:r>
        <w:t xml:space="preserve">6.5 Independent and Composed Invocation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Each tool is independently installable and independently invokable.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vectorflow route --dem conditioned.tif --regimes auto \</w:t>
            </w:r>
          </w:p>
          <w:p>
            <w:pPr>
              <w:spacing w:after="0"/>
            </w:pPr>
            <w:r>
              <w:rPr>
                <w:rFonts w:ascii="Consolas" w:cs="Consolas" w:eastAsia="Consolas" w:hAnsi="Consolas"/>
                <w:sz w:val="18"/>
                <w:szCs w:val="18"/>
              </w:rPr>
              <w:t xml:space="preserve">      --convergent-method path-nondispersive --divergent-method triangular-mdinf \</w:t>
            </w:r>
          </w:p>
          <w:p>
            <w:pPr>
              <w:spacing w:after="0"/>
            </w:pPr>
            <w:r>
              <w:rPr>
                <w:rFonts w:ascii="Consolas" w:cs="Consolas" w:eastAsia="Consolas" w:hAnsi="Consolas"/>
                <w:sz w:val="18"/>
                <w:szCs w:val="18"/>
              </w:rPr>
              <w:t xml:space="preserve">      --transitional-method variable-mfd --out flowdir.tif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accumflow compute --flowdir flowdir.tif --weight-grid rainfall.tif \</w:t>
            </w:r>
          </w:p>
          <w:p>
            <w:pPr>
              <w:spacing w:after="0"/>
            </w:pPr>
            <w:r>
              <w:rPr>
                <w:rFonts w:ascii="Consolas" w:cs="Consolas" w:eastAsia="Consolas" w:hAnsi="Consolas"/>
                <w:sz w:val="18"/>
                <w:szCs w:val="18"/>
              </w:rPr>
              <w:t xml:space="preserve">      --out flowaccum.tif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provenanceledger validate --manifest flowaccum.manifest.json --out qa_report.html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...or the full routing workflow through the orchestrator in one call,</w:t>
            </w:r>
          </w:p>
          <w:p>
            <w:pPr>
              <w:spacing w:after="0"/>
            </w:pPr>
            <w:r>
              <w:rPr>
                <w:rFonts w:ascii="Consolas" w:cs="Consolas" w:eastAsia="Consolas" w:hAnsi="Consolas"/>
                <w:sz w:val="18"/>
                <w:szCs w:val="18"/>
              </w:rPr>
              <w:t xml:space="preserve"># consuming TerraCondition's hydrology-ready output directly:</w:t>
            </w:r>
          </w:p>
          <w:p>
            <w:pPr>
              <w:spacing w:after="0"/>
            </w:pPr>
            <w:r>
              <w:rPr>
                <w:rFonts w:ascii="Consolas" w:cs="Consolas" w:eastAsia="Consolas" w:hAnsi="Consolas"/>
                <w:sz w:val="18"/>
                <w:szCs w:val="18"/>
              </w:rPr>
              <w:t xml:space="preserve">$ flowroute run --dem ./conditioned/dem_hydro_ready.tif \</w:t>
            </w:r>
          </w:p>
          <w:p>
            <w:pPr>
              <w:spacing w:after="0"/>
            </w:pPr>
            <w:r>
              <w:rPr>
                <w:rFonts w:ascii="Consolas" w:cs="Consolas" w:eastAsia="Consolas" w:hAnsi="Consolas"/>
                <w:sz w:val="18"/>
                <w:szCs w:val="18"/>
              </w:rPr>
              <w:t xml:space="preserve">      --weight-grid rainfall.tif --out-dir ./routed/</w:t>
            </w:r>
          </w:p>
        </w:tc>
      </w:tr>
    </w:tbl>
    <w:p>
      <w:pPr>
        <w:spacing w:after="240" w:before="80"/>
        <w:jc w:val="center"/>
      </w:pPr>
      <w:r>
        <w:rPr>
          <w:rFonts w:ascii="Calibri" w:cs="Calibri" w:eastAsia="Calibri" w:hAnsi="Calibri"/>
          <w:i/>
          <w:iCs/>
          <w:sz w:val="20"/>
          <w:szCs w:val="20"/>
        </w:rPr>
        <w:t xml:space="preserve">Listing 5. Standalone tool invocation versus orchestrated full-workflow invocation, chaining directly onto TerraCondition's own CLI output.</w:t>
      </w:r>
    </w:p>
    <w:p>
      <w:pPr>
        <w:pStyle w:val="Heading1"/>
        <w:spacing w:after="200" w:before="400"/>
      </w:pPr>
      <w:r>
        <w:t xml:space="preserve">7. Discussion: Limitations, Computational Considerations, and Future Work</w:t>
      </w:r>
    </w:p>
    <w:p>
      <w:pPr>
        <w:spacing w:after="180" w:line="276"/>
        <w:jc w:val="both"/>
      </w:pPr>
      <w:r>
        <w:rPr>
          <w:rFonts w:ascii="Calibri" w:cs="Calibri" w:eastAsia="Calibri" w:hAnsi="Calibri"/>
          <w:b w:val="false"/>
          <w:bCs w:val="false"/>
          <w:i w:val="false"/>
          <w:iCs w:val="false"/>
          <w:sz w:val="22"/>
          <w:szCs w:val="22"/>
        </w:rPr>
        <w:t xml:space="preserve">This methodology's central design choice — regime-adaptive routing rather than a single global algorithm — is itself a limitation as much as a strength, and a strict reviewer should weigh it explicitly. The Stage 2 regime-assignment thresholds, like TerraCondition's depression-classification thresholds, are presented with defensible starting values but require calibration against labelled, multi-terrain-type benchmark data before they can be trusted unattended at scale; until that calibration programme is complete, the “review” posture recommended for TerraCondition's borderline depressions should be applied equally to cells near a regime boundary here. Second, the transitional-band blending via variable-exponent MFD, while a natural interpolation, has not itself been validated against the same analytic and shallow-water-equation benchmarks Prescott et al. (2025) applied to the base algorithms; validating the blended behaviour at regime boundaries, not only the pure-regime behaviour away from them, is a specific, currently open item for the validation programme required before production use. Third, AccumFlow's topological engine, while architecturally sound, inherits the same validation debt already flagged for FlowForge and GradientLevel in the companion paper: it must pass unit tests against hand-computed toy networks, regression tests against the published numerical results in Barnes (2017) and related papers, and differential testing against external tools used strictly as an offline oracle, before it is production-qualified. Fourth, Rho8-style stochastic tie-breaking is deliberately not adopted as a default anywhere in this methodology, precisely because of the determinism/provenance requirement in Section 5.1; where an analyst does want it for a specific study, it must be invoked with an explicitly logged random seed so the run remains reproducible, exactly as flagged as a requirement rather than left implicit.</w:t>
      </w:r>
    </w:p>
    <w:p>
      <w:pPr>
        <w:spacing w:after="180" w:line="276"/>
        <w:jc w:val="both"/>
      </w:pPr>
      <w:r>
        <w:rPr>
          <w:rFonts w:ascii="Calibri" w:cs="Calibri" w:eastAsia="Calibri" w:hAnsi="Calibri"/>
          <w:b w:val="false"/>
          <w:bCs w:val="false"/>
          <w:i w:val="false"/>
          <w:iCs w:val="false"/>
          <w:sz w:val="22"/>
          <w:szCs w:val="22"/>
        </w:rPr>
        <w:t xml:space="preserve">Future development priorities, in order of expected impact, mirror those identified for TerraCondition: building a labelled, multi-terrain-type (channelized, hillslope, ridge, low-relief/flat-adjacent) benchmark suite against which the Stage 2 regime-assignment thresholds and the transitional-band blending can be formally calibrated and validated against the same analytic/shallow-water-equation methodology Prescott et al. (2025) used; extending AccumFlow's engine with the tiled, external-memory decomposition needed for continental-scale, out-of-core datasets, following the architectural principle (though not the code) of Barnes' (2017) global-flow-graph approach; and formally integrating VectorFlow's regime classification with TerraCondition's own depression-hierarchy output, since a real depression's boundary is, definitionally, exactly the kind of convergent terrain feature Stage 2 is designed to detect — an integration opportunity the current version of this methodology identifies but does not yet implement.</w:t>
      </w:r>
    </w:p>
    <w:p>
      <w:pPr>
        <w:pStyle w:val="Heading1"/>
        <w:spacing w:after="200" w:before="400"/>
      </w:pPr>
      <w:r>
        <w:t xml:space="preserve">8. Conclusion</w:t>
      </w:r>
    </w:p>
    <w:p>
      <w:pPr>
        <w:spacing w:after="180" w:line="276"/>
        <w:jc w:val="both"/>
      </w:pPr>
      <w:r>
        <w:rPr>
          <w:rFonts w:ascii="Calibri" w:cs="Calibri" w:eastAsia="Calibri" w:hAnsi="Calibri"/>
          <w:b w:val="false"/>
          <w:bCs w:val="false"/>
          <w:i w:val="false"/>
          <w:iCs w:val="false"/>
          <w:sz w:val="22"/>
          <w:szCs w:val="22"/>
        </w:rPr>
        <w:t xml:space="preserve">Flow direction and flow accumulation are frequently treated as a mechanical formality once a DEM has been conditioned, and the literature reviewed here shows that assumption to be unsafe: forty years of competing flow-direction algorithms reflect a genuine, still-unresolved tension between grid-imposed directional bias and the real physical distinction between convergent and divergent flow, and a 2025 re-evaluation has directly overturned close to three decades of practitioner consensus about which single algorithm should be preferred by default. No existing method, reviewed individually, resolves this tension across all terrain regimes. The convergence-adaptive hybrid methodology and the VectorFlow/AccumFlow tool framework proposed in Sections 5 and 6 do not introduce new low-level routing algorithms; they compose already-validated methods — path-based nondispersive routing, triangular MD-infinity, variable-exponent MFD, and a dependency-count-aware topological accumulation engine — behind an explicit, auditable, per-cell regime-assignment layer, built and delivered under the same proprietary, clean-room engineering standard already established for hydrological conditioning. We believe this combination, rather than a default recommendation of any single historically favoured algorithm, is the defensible response to a state of the literature in which the previous consensus recommendation has itself just been called into question.</w:t>
      </w:r>
    </w:p>
    <w:p>
      <w:r>
        <w:br w:type="page"/>
      </w:r>
    </w:p>
    <w:p>
      <w:pPr>
        <w:pStyle w:val="Heading1"/>
        <w:spacing w:after="200" w:before="400"/>
      </w:pPr>
      <w:r>
        <w:t xml:space="preserve">References</w:t>
      </w:r>
    </w:p>
    <w:p>
      <w:pPr>
        <w:spacing w:after="140"/>
        <w:ind w:left="431" w:hanging="431"/>
      </w:pPr>
      <w:r>
        <w:rPr>
          <w:rFonts w:ascii="Calibri" w:cs="Calibri" w:eastAsia="Calibri" w:hAnsi="Calibri"/>
          <w:sz w:val="20"/>
          <w:szCs w:val="20"/>
        </w:rPr>
        <w:t xml:space="preserve">Barnes, R., Lehman, C., &amp; Mulla, D. (2014). An efficient assignment of drainage direction over flat surfaces in raster digital elevation models. Computers &amp; Geosciences, 62, 128–135.</w:t>
      </w:r>
    </w:p>
    <w:p>
      <w:pPr>
        <w:spacing w:after="140"/>
        <w:ind w:left="431" w:hanging="431"/>
      </w:pPr>
      <w:r>
        <w:rPr>
          <w:rFonts w:ascii="Calibri" w:cs="Calibri" w:eastAsia="Calibri" w:hAnsi="Calibri"/>
          <w:sz w:val="20"/>
          <w:szCs w:val="20"/>
        </w:rPr>
        <w:t xml:space="preserve">Barnes, R. (2016). Parallel priority-flood depression filling for trillion cell digital elevation models on desktops or clusters. Computers &amp; Geosciences, 96, 56–68.</w:t>
      </w:r>
    </w:p>
    <w:p>
      <w:pPr>
        <w:spacing w:after="140"/>
        <w:ind w:left="431" w:hanging="431"/>
      </w:pPr>
      <w:r>
        <w:rPr>
          <w:rFonts w:ascii="Calibri" w:cs="Calibri" w:eastAsia="Calibri" w:hAnsi="Calibri"/>
          <w:sz w:val="20"/>
          <w:szCs w:val="20"/>
        </w:rPr>
        <w:t xml:space="preserve">Barnes, R. (2017). Parallel non-divergent flow accumulation for trillion cell digital elevation models on desktops or clusters. Environmental Modelling &amp; Software, 92, 202–212.</w:t>
      </w:r>
    </w:p>
    <w:p>
      <w:pPr>
        <w:spacing w:after="140"/>
        <w:ind w:left="431" w:hanging="431"/>
      </w:pPr>
      <w:r>
        <w:rPr>
          <w:rFonts w:ascii="Calibri" w:cs="Calibri" w:eastAsia="Calibri" w:hAnsi="Calibri"/>
          <w:sz w:val="20"/>
          <w:szCs w:val="20"/>
        </w:rPr>
        <w:t xml:space="preserve">Costa-Cabral, M. C., &amp; Burges, S. J. (1994). Digital Elevation Model Networks (DEMON): a model of flow over hillslopes for computation of contributing and dispersal areas. Water Resources Research, 30(6), 1681–1692.</w:t>
      </w:r>
    </w:p>
    <w:p>
      <w:pPr>
        <w:spacing w:after="140"/>
        <w:ind w:left="431" w:hanging="431"/>
      </w:pPr>
      <w:r>
        <w:rPr>
          <w:rFonts w:ascii="Calibri" w:cs="Calibri" w:eastAsia="Calibri" w:hAnsi="Calibri"/>
          <w:sz w:val="20"/>
          <w:szCs w:val="20"/>
        </w:rPr>
        <w:t xml:space="preserve">Fairfield, J., &amp; Leymarie, P. (1991). Drainage networks from grid digital elevation models. Water Resources Research, 27(5), 709–717.</w:t>
      </w:r>
    </w:p>
    <w:p>
      <w:pPr>
        <w:spacing w:after="140"/>
        <w:ind w:left="431" w:hanging="431"/>
      </w:pPr>
      <w:r>
        <w:rPr>
          <w:rFonts w:ascii="Calibri" w:cs="Calibri" w:eastAsia="Calibri" w:hAnsi="Calibri"/>
          <w:sz w:val="20"/>
          <w:szCs w:val="20"/>
        </w:rPr>
        <w:t xml:space="preserve">Freeman, T. G. (1991). Calculating catchment area with divergent flow based on a regular grid. Computers &amp; Geosciences, 17(3), 413–422.</w:t>
      </w:r>
    </w:p>
    <w:p>
      <w:pPr>
        <w:spacing w:after="140"/>
        <w:ind w:left="431" w:hanging="431"/>
      </w:pPr>
      <w:r>
        <w:rPr>
          <w:rFonts w:ascii="Calibri" w:cs="Calibri" w:eastAsia="Calibri" w:hAnsi="Calibri"/>
          <w:sz w:val="20"/>
          <w:szCs w:val="20"/>
        </w:rPr>
        <w:t xml:space="preserve">Gallant, J. C., &amp; Hutchinson, M. F. (2011). A differential equation for specific catchment area. Water Resources Research, 47, W05535.</w:t>
      </w:r>
    </w:p>
    <w:p>
      <w:pPr>
        <w:spacing w:after="140"/>
        <w:ind w:left="431" w:hanging="431"/>
      </w:pPr>
      <w:r>
        <w:rPr>
          <w:rFonts w:ascii="Calibri" w:cs="Calibri" w:eastAsia="Calibri" w:hAnsi="Calibri"/>
          <w:sz w:val="20"/>
          <w:szCs w:val="20"/>
        </w:rPr>
        <w:t xml:space="preserve">Garbrecht, J., &amp; Martz, L. W. (1997). The assignment of drainage direction over flat surfaces in raster digital elevation models. Journal of Hydrology, 193(1–4), 204–213.</w:t>
      </w:r>
    </w:p>
    <w:p>
      <w:pPr>
        <w:spacing w:after="140"/>
        <w:ind w:left="431" w:hanging="431"/>
      </w:pPr>
      <w:r>
        <w:rPr>
          <w:rFonts w:ascii="Calibri" w:cs="Calibri" w:eastAsia="Calibri" w:hAnsi="Calibri"/>
          <w:sz w:val="20"/>
          <w:szCs w:val="20"/>
        </w:rPr>
        <w:t xml:space="preserve">Jenson, S. K., &amp; Domingue, J. O. (1988). Extracting topographic structure from digital elevation data for geographic information system analysis. Photogrammetric Engineering and Remote Sensing, 54(11), 1593–1600.</w:t>
      </w:r>
    </w:p>
    <w:p>
      <w:pPr>
        <w:spacing w:after="140"/>
        <w:ind w:left="431" w:hanging="431"/>
      </w:pPr>
      <w:r>
        <w:rPr>
          <w:rFonts w:ascii="Calibri" w:cs="Calibri" w:eastAsia="Calibri" w:hAnsi="Calibri"/>
          <w:sz w:val="20"/>
          <w:szCs w:val="20"/>
        </w:rPr>
        <w:t xml:space="preserve">Lea, N. L. (1992). An aspect-driven kinematic routing algorithm. In A. J. Parsons &amp; A. D. Abrahams (Eds.), Overland Flow: Hydraulics and Erosion Mechanics (pp. 147–175).</w:t>
      </w:r>
    </w:p>
    <w:p>
      <w:pPr>
        <w:spacing w:after="140"/>
        <w:ind w:left="431" w:hanging="431"/>
      </w:pPr>
      <w:r>
        <w:rPr>
          <w:rFonts w:ascii="Calibri" w:cs="Calibri" w:eastAsia="Calibri" w:hAnsi="Calibri"/>
          <w:sz w:val="20"/>
          <w:szCs w:val="20"/>
        </w:rPr>
        <w:t xml:space="preserve">Magalhães, S. V. G. et al. EMFlow: Computing the drainage network on huge grid terrains. Proceedings of the 1st ACM SIGSPATIAL International Workshop on Analytics for Big Geospatial Data. [Author list should be independently verified against the ACM Digital Library entry before external submission.]</w:t>
      </w:r>
    </w:p>
    <w:p>
      <w:pPr>
        <w:spacing w:after="140"/>
        <w:ind w:left="431" w:hanging="431"/>
      </w:pPr>
      <w:r>
        <w:rPr>
          <w:rFonts w:ascii="Calibri" w:cs="Calibri" w:eastAsia="Calibri" w:hAnsi="Calibri"/>
          <w:sz w:val="20"/>
          <w:szCs w:val="20"/>
        </w:rPr>
        <w:t xml:space="preserve">Nardi, F., Grimaldi, S., Santini, M., Petroselli, A., &amp; Ubertini, L. (2008). Hydrogeomorphic properties of simulated drainage patterns using DEMs: the flat area issue. Hydrological Sciences Journal, 53(6), 1176–1193.</w:t>
      </w:r>
    </w:p>
    <w:p>
      <w:pPr>
        <w:spacing w:after="140"/>
        <w:ind w:left="431" w:hanging="431"/>
      </w:pPr>
      <w:r>
        <w:rPr>
          <w:rFonts w:ascii="Calibri" w:cs="Calibri" w:eastAsia="Calibri" w:hAnsi="Calibri"/>
          <w:sz w:val="20"/>
          <w:szCs w:val="20"/>
        </w:rPr>
        <w:t xml:space="preserve">O'Callaghan, J. F., &amp; Mark, D. M. (1984). The extraction of drainage networks from digital elevation data. Computer Vision, Graphics, and Image Processing, 28(3), 323–344.</w:t>
      </w:r>
    </w:p>
    <w:p>
      <w:pPr>
        <w:spacing w:after="140"/>
        <w:ind w:left="431" w:hanging="431"/>
      </w:pPr>
      <w:r>
        <w:rPr>
          <w:rFonts w:ascii="Calibri" w:cs="Calibri" w:eastAsia="Calibri" w:hAnsi="Calibri"/>
          <w:sz w:val="20"/>
          <w:szCs w:val="20"/>
        </w:rPr>
        <w:t xml:space="preserve">Orlandini, S., Moretti, G., Franchini, M., Aldighieri, B., &amp; Testa, B. (2003). Path-based methods for the determination of nondispersive drainage directions in grid-based digital elevation models. Water Resources Research, 39(6), 1144.</w:t>
      </w:r>
    </w:p>
    <w:p>
      <w:pPr>
        <w:spacing w:after="140"/>
        <w:ind w:left="431" w:hanging="431"/>
      </w:pPr>
      <w:r>
        <w:rPr>
          <w:rFonts w:ascii="Calibri" w:cs="Calibri" w:eastAsia="Calibri" w:hAnsi="Calibri"/>
          <w:sz w:val="20"/>
          <w:szCs w:val="20"/>
        </w:rPr>
        <w:t xml:space="preserve">Orlandini, S., &amp; Moretti, G. (2009). Comment on “Global search algorithm for nondispersive flow path extraction” by Kyungrock Paik. Journal of Geophysical Research, 114, F04004.</w:t>
      </w:r>
    </w:p>
    <w:p>
      <w:pPr>
        <w:spacing w:after="140"/>
        <w:ind w:left="431" w:hanging="431"/>
      </w:pPr>
      <w:r>
        <w:rPr>
          <w:rFonts w:ascii="Calibri" w:cs="Calibri" w:eastAsia="Calibri" w:hAnsi="Calibri"/>
          <w:sz w:val="20"/>
          <w:szCs w:val="20"/>
        </w:rPr>
        <w:t xml:space="preserve">Orlandini, S., Moretti, G., Corticelli, M. A., Santangelo, P. E., Capra, A., Rivola, R., &amp; Albertson, J. D. (2012). Evaluation of flow direction methods against field observations of overland flow dispersion. Water Resources Research, 48, W10523.</w:t>
      </w:r>
    </w:p>
    <w:p>
      <w:pPr>
        <w:spacing w:after="140"/>
        <w:ind w:left="431" w:hanging="431"/>
      </w:pPr>
      <w:r>
        <w:rPr>
          <w:rFonts w:ascii="Calibri" w:cs="Calibri" w:eastAsia="Calibri" w:hAnsi="Calibri"/>
          <w:sz w:val="20"/>
          <w:szCs w:val="20"/>
        </w:rPr>
        <w:t xml:space="preserve">Prescott, A. B. et al. (2025). An evaluation of flow-routing algorithms for calculating contributing area on regular grids. Earth Surface Dynamics, 13, 239–.</w:t>
      </w:r>
    </w:p>
    <w:p>
      <w:pPr>
        <w:spacing w:after="140"/>
        <w:ind w:left="431" w:hanging="431"/>
      </w:pPr>
      <w:r>
        <w:rPr>
          <w:rFonts w:ascii="Calibri" w:cs="Calibri" w:eastAsia="Calibri" w:hAnsi="Calibri"/>
          <w:sz w:val="20"/>
          <w:szCs w:val="20"/>
        </w:rPr>
        <w:t xml:space="preserve">Qin, C., Zhu, A. X., Pei, T., Li, B., Zhou, C., &amp; Yang, L. (2007). An adaptive approach to selecting a flow-partition exponent for a multiple-flow-direction algorithm. International Journal of Geographical Information Science, 21(4), 443–458.</w:t>
      </w:r>
    </w:p>
    <w:p>
      <w:pPr>
        <w:spacing w:after="140"/>
        <w:ind w:left="431" w:hanging="431"/>
      </w:pPr>
      <w:r>
        <w:rPr>
          <w:rFonts w:ascii="Calibri" w:cs="Calibri" w:eastAsia="Calibri" w:hAnsi="Calibri"/>
          <w:sz w:val="20"/>
          <w:szCs w:val="20"/>
        </w:rPr>
        <w:t xml:space="preserve">Quinn, P., Beven, K., Chevallier, P., &amp; Planchon, O. (1991). The prediction of hillslope flow paths for distributed hydrological modelling using digital terrain models. Hydrological Processes, 5(1), 59–79.</w:t>
      </w:r>
    </w:p>
    <w:p>
      <w:pPr>
        <w:spacing w:after="140"/>
        <w:ind w:left="431" w:hanging="431"/>
      </w:pPr>
      <w:r>
        <w:rPr>
          <w:rFonts w:ascii="Calibri" w:cs="Calibri" w:eastAsia="Calibri" w:hAnsi="Calibri"/>
          <w:sz w:val="20"/>
          <w:szCs w:val="20"/>
        </w:rPr>
        <w:t xml:space="preserve">Seibert, J., &amp; McGlynn, B. L. (2007). A new triangular multiple flow direction algorithm for computing upslope areas from gridded digital elevation models. Water Resources Research, 43, W04501.</w:t>
      </w:r>
    </w:p>
    <w:p>
      <w:pPr>
        <w:spacing w:after="140"/>
        <w:ind w:left="431" w:hanging="431"/>
      </w:pPr>
      <w:r>
        <w:rPr>
          <w:rFonts w:ascii="Calibri" w:cs="Calibri" w:eastAsia="Calibri" w:hAnsi="Calibri"/>
          <w:sz w:val="20"/>
          <w:szCs w:val="20"/>
        </w:rPr>
        <w:t xml:space="preserve">Tarboton, D. G. (1997). A new method for the determination of flow directions and upslope areas in grid digital elevation models. Water Resources Research, 33(2), 309–319.</w:t>
      </w:r>
    </w:p>
    <w:p>
      <w:pPr>
        <w:spacing w:after="140"/>
        <w:ind w:left="431" w:hanging="431"/>
      </w:pPr>
      <w:r>
        <w:rPr>
          <w:rFonts w:ascii="Calibri" w:cs="Calibri" w:eastAsia="Calibri" w:hAnsi="Calibri"/>
          <w:sz w:val="20"/>
          <w:szCs w:val="20"/>
        </w:rPr>
        <w:t xml:space="preserve">Whitebox Geospatial Inc. (2026). WhiteboxTools User Manual – License. Open-core library distributed under the MIT license; Extension modules distributed separately under a proprietary license.</w:t>
      </w:r>
    </w:p>
    <w:p>
      <w:pPr>
        <w:spacing w:after="140"/>
        <w:ind w:left="431" w:hanging="431"/>
      </w:pPr>
      <w:r>
        <w:rPr>
          <w:rFonts w:ascii="Calibri" w:cs="Calibri" w:eastAsia="Calibri" w:hAnsi="Calibri"/>
          <w:sz w:val="20"/>
          <w:szCs w:val="20"/>
        </w:rPr>
        <w:t xml:space="preserve">r-barnes/richdem (GitHub, accessed 2026). RichDEM: High-Performance Terrain and Hydrology Analysis. Distributed under the GPL-3.0-only license.</w:t>
      </w:r>
    </w:p>
    <w:p>
      <w:pPr>
        <w:spacing w:after="140"/>
        <w:ind w:left="431" w:hanging="431"/>
      </w:pPr>
      <w:r>
        <w:rPr>
          <w:rFonts w:ascii="Calibri" w:cs="Calibri" w:eastAsia="Calibri" w:hAnsi="Calibri"/>
          <w:sz w:val="20"/>
          <w:szCs w:val="20"/>
        </w:rPr>
        <w:t xml:space="preserve">Wilson, J. P., Aggett, G., Deng, Y., &amp; Lam, C. S. (2008). Water in the landscape: A review of contemporary flow routing algorithms. In Q. Zhou, B. Lees &amp; G. Tang (Eds.), Advances in Digital Terrain Analysis (pp. 213–236).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5F"/>
      <w:sz w:val="32"/>
      <w:szCs w:val="32"/>
    </w:rPr>
  </w:style>
  <w:style w:type="paragraph" w:styleId="Heading2">
    <w:name w:val="Heading 2"/>
    <w:basedOn w:val="Normal"/>
    <w:next w:val="Normal"/>
    <w:qFormat/>
    <w:pPr>
      <w:spacing w:after="150" w:before="300"/>
    </w:pPr>
    <w:rPr>
      <w:rFonts w:ascii="Calibri" w:cs="Calibri" w:eastAsia="Calibri" w:hAnsi="Calibri"/>
      <w:b/>
      <w:bCs/>
      <w:color w:val="2E6E7E"/>
      <w:sz w:val="26"/>
      <w:szCs w:val="26"/>
    </w:rPr>
  </w:style>
  <w:style w:type="paragraph" w:styleId="Heading3">
    <w:name w:val="Heading 3"/>
    <w:basedOn w:val="Normal"/>
    <w:next w:val="Normal"/>
    <w:qFormat/>
    <w:pPr>
      <w:spacing w:after="100" w:before="200"/>
    </w:pPr>
    <w:rPr>
      <w:rFonts w:ascii="Calibri" w:cs="Calibri" w:eastAsia="Calibri" w:hAnsi="Calibri"/>
      <w:b/>
      <w:bCs/>
      <w:i/>
      <w:i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2026-09-01T05:26:29.975Z</dcterms:created>
  <dcterms:modified xsi:type="dcterms:W3CDTF">2026-09-01T05:26:29.975Z</dcterms:modified>
</cp:coreProperties>
</file>

<file path=docProps/custom.xml><?xml version="1.0" encoding="utf-8"?>
<Properties xmlns="http://schemas.openxmlformats.org/officeDocument/2006/custom-properties" xmlns:vt="http://schemas.openxmlformats.org/officeDocument/2006/docPropsVTypes"/>
</file>