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center"/>
      </w:pPr>
      <w:r>
        <w:rPr>
          <w:rFonts w:ascii="Calibri" w:cs="Calibri" w:eastAsia="Calibri" w:hAnsi="Calibri"/>
          <w:b/>
          <w:bCs/>
          <w:color w:val="1F4E5F"/>
          <w:sz w:val="40"/>
          <w:szCs w:val="40"/>
        </w:rPr>
        <w:t xml:space="preserve">Hydrological Conditioning of Digital Elevation Models:</w:t>
      </w:r>
    </w:p>
    <w:p>
      <w:pPr>
        <w:spacing w:after="600"/>
        <w:jc w:val="center"/>
      </w:pPr>
      <w:r>
        <w:rPr>
          <w:rFonts w:ascii="Calibri" w:cs="Calibri" w:eastAsia="Calibri" w:hAnsi="Calibri"/>
          <w:b/>
          <w:bCs/>
          <w:color w:val="2E6E7E"/>
          <w:sz w:val="30"/>
          <w:szCs w:val="30"/>
        </w:rPr>
        <w:t xml:space="preserve">A Provenance-Aware, Resolution-Adaptive Framework from Artifact Removal to Flow-Enforced Terrain</w:t>
      </w:r>
    </w:p>
    <w:p>
      <w:pPr>
        <w:spacing w:after="1400"/>
        <w:jc w:val="center"/>
      </w:pPr>
      <w:r>
        <w:rPr>
          <w:rFonts w:ascii="Calibri" w:cs="Calibri" w:eastAsia="Calibri" w:hAnsi="Calibri"/>
          <w:i/>
          <w:iCs/>
          <w:sz w:val="24"/>
          <w:szCs w:val="24"/>
        </w:rPr>
        <w:t xml:space="preserve">A Methodological Review and Proposed Python-Deployable Workflow</w:t>
      </w:r>
    </w:p>
    <w:p>
      <w:pPr>
        <w:spacing w:after="100"/>
        <w:jc w:val="center"/>
      </w:pPr>
      <w:r>
        <w:rPr>
          <w:rFonts w:ascii="Calibri" w:cs="Calibri" w:eastAsia="Calibri" w:hAnsi="Calibri"/>
          <w:sz w:val="22"/>
          <w:szCs w:val="22"/>
        </w:rPr>
        <w:t xml:space="preserve">GIS &amp; Hydrological Systems Research Group</w:t>
      </w:r>
    </w:p>
    <w:p>
      <w:pPr>
        <w:spacing w:after="100"/>
        <w:jc w:val="center"/>
      </w:pPr>
      <w:r>
        <w:rPr>
          <w:rFonts w:ascii="Calibri" w:cs="Calibri" w:eastAsia="Calibri" w:hAnsi="Calibri"/>
          <w:sz w:val="22"/>
          <w:szCs w:val="22"/>
        </w:rPr>
        <w:t xml:space="preserve">Prepared for Internal Peer Review</w:t>
      </w:r>
    </w:p>
    <w:p>
      <w:pPr>
        <w:spacing w:after="1400"/>
        <w:jc w:val="center"/>
      </w:pPr>
      <w:r>
        <w:rPr>
          <w:rFonts w:ascii="Calibri" w:cs="Calibri" w:eastAsia="Calibri" w:hAnsi="Calibri"/>
          <w:sz w:val="22"/>
          <w:szCs w:val="22"/>
        </w:rPr>
        <w:t xml:space="preserve">August 2026</w:t>
      </w:r>
    </w:p>
    <w:p>
      <w:pPr>
        <w:pStyle w:val="Heading2"/>
        <w:spacing w:after="150" w:before="300"/>
      </w:pPr>
      <w:r>
        <w:t xml:space="preserve">Abstract</w:t>
      </w:r>
    </w:p>
    <w:p>
      <w:pPr>
        <w:spacing w:after="180" w:line="276"/>
        <w:jc w:val="both"/>
      </w:pPr>
      <w:r>
        <w:rPr>
          <w:rFonts w:ascii="Calibri" w:cs="Calibri" w:eastAsia="Calibri" w:hAnsi="Calibri"/>
          <w:b w:val="false"/>
          <w:bCs w:val="false"/>
          <w:i w:val="false"/>
          <w:iCs w:val="false"/>
          <w:sz w:val="22"/>
          <w:szCs w:val="22"/>
        </w:rPr>
        <w:t xml:space="preserve">Hydrological conditioning — the preparation of a digital elevation model (DEM) so that every cell drains consistently to the edge of the domain — remains the single most consequential and most contested preprocessing step in terrain-based hydrology. This paper synthesises the methodological literature spanning four decades, from the original depression-filling algorithms of the 1980s to the depression-hierarchy and machine-learning-corrected bare-earth products of 2024–2026, and organises it around a central tension that runs through the entire field: whether a DEM anomaly should be treated as noise to be erased, or as terrain to be respected. We show that the dominant historical paradigm — “all depressions are artifacts, so fill or breach them all” — is being superseded by a data-preservation paradigm that first classifies anomalies and only then intervenes, minimally and traceably. Building on this synthesis, we propose a modular, eight-stage conditioning framework that (1) separates artifact correction (sensor bias, vegetation/building remnants, speckle, voids) from depression processing; (2) classifies depressions using a multi-criteria, geomorphometrically informed scoring function rather than a single depth or area threshold; (3) applies constrained least-cost breaching as the default intervention, with filling reserved for cases breaching cannot resolve efficiently; (4) preserves genuine closed basins as first-class hydrological objects rather than erasing them; and (5) emits a full audit trail of every modification for peer and regulatory review. We provide a reference Python architecture built on established, actively maintained open-source libraries (rasterio, numpy, richdem, whitebox, pysheds, networkx) capable of operating on any DEM source or resolution, and we close with explicit validation metrics and known limitations so that the methodology itself remains falsifiable and auditable — the standard we believe strict peer review should demand of any operational hydrological conditioning workflow.</w:t>
      </w:r>
    </w:p>
    <w:p>
      <w:r>
        <w:br w:type="page"/>
      </w:r>
    </w:p>
    <w:p>
      <w:pPr>
        <w:pStyle w:val="Heading1"/>
        <w:spacing w:after="200" w:before="400"/>
      </w:pPr>
      <w:r>
        <w:t xml:space="preserve">1. Introduction</w:t>
      </w:r>
    </w:p>
    <w:p>
      <w:pPr>
        <w:spacing w:after="180" w:line="276"/>
        <w:jc w:val="both"/>
      </w:pPr>
      <w:r>
        <w:rPr>
          <w:rFonts w:ascii="Calibri" w:cs="Calibri" w:eastAsia="Calibri" w:hAnsi="Calibri"/>
          <w:b w:val="false"/>
          <w:bCs w:val="false"/>
          <w:i w:val="false"/>
          <w:iCs w:val="false"/>
          <w:sz w:val="22"/>
          <w:szCs w:val="22"/>
        </w:rPr>
        <w:t xml:space="preserve">Digital elevation models (DEMs) are the geometric foundation of virtually all distributed hydrological modelling: flow direction, flow accumulation, stream extraction, watershed delineation, flood inundation, soil erosion and non-point-source pollutant transport are all computed by tracing the steepest, or statistically most probable, downhill path from cell to cell across a raster surface. Every one of these algorithms shares a single, non-negotiable prerequisite: from any starting cell it must always be possible to reach the edge of the grid by moving downhill (O'Callaghan &amp; Mark, 1984; Jenson &amp; Domingue, 1988). Raw DEMs, regardless of their source — stereo-photogrammetry, InSAR, airborne or spaceborne LiDAR, or interpolation from contour and survey data — violate this prerequisite almost everywhere. Sensor noise, vegetation and building remnants left in “bare-earth” products, bridges and culverts that dam a channel in the raster even though water passes freely beneath them in reality, floating-point-to-integer rounding, interpolation artefacts, and genuine closed topographic basins (prairie potholes, karst dolines, glacial kettle terrain, endorheic playas) all interrupt the continuous downhill path that flow-routing algorithms require.</w:t>
      </w:r>
    </w:p>
    <w:p>
      <w:pPr>
        <w:spacing w:after="180" w:line="276"/>
        <w:jc w:val="both"/>
      </w:pPr>
      <w:r>
        <w:rPr>
          <w:rFonts w:ascii="Calibri" w:cs="Calibri" w:eastAsia="Calibri" w:hAnsi="Calibri"/>
          <w:b w:val="false"/>
          <w:bCs w:val="false"/>
          <w:i w:val="false"/>
          <w:iCs w:val="false"/>
          <w:sz w:val="22"/>
          <w:szCs w:val="22"/>
        </w:rPr>
        <w:t xml:space="preserve">The process of removing these interruptions — collectively called sinks, pits or depressions — and otherwise preparing a DEM for flow routing is known as hydrological conditioning, hydro-conditioning, or DEM “pre-processing.” It is not one algorithm but a pipeline of decisions, and the literature reviewed in Section 3 shows that essentially every choice in that pipeline carries a trade-off between hydrological correctness, computational tractability, and fidelity to the underlying physical terrain. A DEM that has been filled indiscriminately will route water reliably but may bear little resemblance to the true topography in flat or depression-dominated landscapes (Lindsay &amp; Creed, 2006). A DEM that has been left unconditioned, or conditioned only by naive stream burning, may preserve topographic detail while producing watershed boundaries and stream networks that are simply wrong (Saunders &amp; Maidment, 1996; Reed, 1999).</w:t>
      </w:r>
    </w:p>
    <w:p>
      <w:pPr>
        <w:spacing w:after="180" w:line="276"/>
        <w:jc w:val="both"/>
      </w:pPr>
      <w:r>
        <w:rPr>
          <w:rFonts w:ascii="Calibri" w:cs="Calibri" w:eastAsia="Calibri" w:hAnsi="Calibri"/>
          <w:b w:val="false"/>
          <w:bCs w:val="false"/>
          <w:i w:val="false"/>
          <w:iCs w:val="false"/>
          <w:sz w:val="22"/>
          <w:szCs w:val="22"/>
        </w:rPr>
        <w:t xml:space="preserve">This paper has three objectives, corresponding to the brief set for this work. First, we provide a comprehensive, current review of the philosophies and algorithms used for DEM artifact removal and hydrological conditioning, spanning the classical depression-filling and breaching literature, drainage-enforcement techniques such as AGREE and ANUDEM, and the more recent depression-hierarchy, hybrid, and machine-learning-corrected approaches that have emerged between roughly 2019 and 2026. Second, we critically evaluate the strengths and weaknesses of each philosophy against a consistent set of criteria — hydrological correctness, volumetric/topographic impact, computational scalability, resolution-and-accuracy independence, and reproducibility — and identify the gaps that remain open even in the most recent literature. Third, building directly on the strengths identified and addressing the weaknesses, we propose a synthesised, resolution-adaptive methodology, together with a reference Python architecture, intended to be applicable to any DEM regardless of source resolution or vertical accuracy, from 1 m LiDAR to 90 m SRTM-derived products.</w:t>
      </w:r>
    </w:p>
    <w:p>
      <w:pPr>
        <w:spacing w:after="180" w:line="276"/>
        <w:jc w:val="both"/>
      </w:pPr>
      <w:r>
        <w:rPr>
          <w:rFonts w:ascii="Calibri" w:cs="Calibri" w:eastAsia="Calibri" w:hAnsi="Calibri"/>
          <w:b w:val="false"/>
          <w:bCs w:val="false"/>
          <w:i w:val="false"/>
          <w:iCs w:val="false"/>
          <w:sz w:val="22"/>
          <w:szCs w:val="22"/>
        </w:rPr>
        <w:t xml:space="preserve">Throughout, we treat “conditioning” as two logically distinct problems that the literature and much operational practice conflate: (a) artifact removal, i.e. correcting the DEM so that it more faithfully represents the true bare-earth surface, and (b) hydrological enforcement, i.e. modifying the (now more accurate) surface so that flow-routing algorithms can operate on it. Treating these as one undifferentiated “filling” step is, we argue, the single most common source of unnecessary and unreviewable elevation change in operational GIS workflows, and it is the central weakness our proposed methodology is designed to address.</w:t>
      </w:r>
    </w:p>
    <w:p>
      <w:pPr>
        <w:pStyle w:val="Heading1"/>
        <w:spacing w:after="200" w:before="400"/>
      </w:pPr>
      <w:r>
        <w:t xml:space="preserve">2. Background and Conceptual Framework</w:t>
      </w:r>
    </w:p>
    <w:p>
      <w:pPr>
        <w:pStyle w:val="Heading2"/>
        <w:spacing w:after="150" w:before="300"/>
      </w:pPr>
      <w:r>
        <w:t xml:space="preserve">2.1 DEM Types and the Bare-Earth Problem</w:t>
      </w:r>
    </w:p>
    <w:p>
      <w:pPr>
        <w:spacing w:after="180" w:line="276"/>
        <w:jc w:val="both"/>
      </w:pPr>
      <w:r>
        <w:rPr>
          <w:rFonts w:ascii="Calibri" w:cs="Calibri" w:eastAsia="Calibri" w:hAnsi="Calibri"/>
          <w:b w:val="false"/>
          <w:bCs w:val="false"/>
          <w:i w:val="false"/>
          <w:iCs w:val="false"/>
          <w:sz w:val="22"/>
          <w:szCs w:val="22"/>
        </w:rPr>
        <w:t xml:space="preserve">A digital surface model (DSM) records the elevation of the first reflective surface encountered by a sensor — tree canopy, roofs, bridge decks — while a digital terrain model (DTM), sometimes loosely called a “bare-earth DEM,” records the elevation of the ground beneath. Every global and regional elevation product occupies a position somewhere on this DSM–DTM spectrum (Hawker et al., 2022). Airborne LiDAR with rigorous ground-point classification comes closest to a true DTM; satellite photogrammetric and InSAR products (Copernicus GLO-30, ArcticDEM, SRTM) are inherently closer to a DSM and require explicit vegetation- and building-bias correction before they are suitable bare-earth inputs. This distinction matters for conditioning because a large proportion of what appears, at the depression-processing stage, to be an “artifact sink” is in fact a symptom of unresolved DSM bias upstream — a building or forest canopy that raises the surrounding terrain relative to a channel, or a bridge deck that dams a valley in the raster even though the true channel is open beneath it (USGS Lidar Base Specification, 2025).</w:t>
      </w:r>
    </w:p>
    <w:p>
      <w:pPr>
        <w:pStyle w:val="Heading2"/>
        <w:spacing w:after="150" w:before="300"/>
      </w:pPr>
      <w:r>
        <w:t xml:space="preserve">2.2 Flow-Routing Prerequisites: Why Conditioning Is Necessary</w:t>
      </w:r>
    </w:p>
    <w:p>
      <w:pPr>
        <w:spacing w:after="180" w:line="276"/>
        <w:jc w:val="both"/>
      </w:pPr>
      <w:r>
        <w:rPr>
          <w:rFonts w:ascii="Calibri" w:cs="Calibri" w:eastAsia="Calibri" w:hAnsi="Calibri"/>
          <w:b w:val="false"/>
          <w:bCs w:val="false"/>
          <w:i w:val="false"/>
          <w:iCs w:val="false"/>
          <w:sz w:val="22"/>
          <w:szCs w:val="22"/>
        </w:rPr>
        <w:t xml:space="preserve">Single-flow-direction models such as D8 (O'Callaghan &amp; Mark, 1984) route each cell's flow to whichever of its eight neighbours has the steepest descent; multi-flow-direction (MFD) and D-infinity models (Tarboton, 1997) partition flow across multiple downslope neighbours. Both families fail identically at a pit: a cell, or a contiguous set of cells, with no lower neighbour. Flow accumulation halts at the pit, drainage networks are truncated, and watershed boundaries fragment. Conditioning exists solely to eliminate this failure mode while disturbing the underlying elevation surface as little as the application will tolerate.</w:t>
      </w:r>
    </w:p>
    <w:p>
      <w:pPr>
        <w:pStyle w:val="Heading2"/>
        <w:spacing w:after="150" w:before="300"/>
      </w:pPr>
      <w:r>
        <w:t xml:space="preserve">2.3 Artifacts vs. Real Depressions: A Critical Distinction</w:t>
      </w:r>
    </w:p>
    <w:p>
      <w:pPr>
        <w:spacing w:after="180" w:line="276"/>
        <w:jc w:val="both"/>
      </w:pPr>
      <w:r>
        <w:rPr>
          <w:rFonts w:ascii="Calibri" w:cs="Calibri" w:eastAsia="Calibri" w:hAnsi="Calibri"/>
          <w:b w:val="false"/>
          <w:bCs w:val="false"/>
          <w:i w:val="false"/>
          <w:iCs w:val="false"/>
          <w:sz w:val="22"/>
          <w:szCs w:val="22"/>
        </w:rPr>
        <w:t xml:space="preserve">Lindsay and Creed (2006) formalised the distinction that underlies almost every methodological debate reviewed in Section 3: some depressions are artifacts of data collection, interpolation, or integer rounding, while others are real, hydrologically meaningful landscape features — prairie potholes, kettle lakes, karst dolines, playas, farm dugouts and engineered stormwater basins. The historical justification for filling every depression rested on three assumptions articulated by Lindsay and Creed (2006) and widely repeated since: that DEM scale and accuracy are inadequate to represent real depressions faithfully; that real depressions are rare compared to artifacts; and that even real depressions have negligible hydrological consequence because they eventually fill and spill or drain through closely co-located subsurface pathways. Two decades of subsequent research — particularly in the Prairie Pothole Region, in karst terrain, and in urban pluvial-flood contexts — have shown all three assumptions to be unreliable in depression-dominated landscapes (Shaw et al., 2013; Shook et al., 2011; Jiang et al., 2023). This is the fault line that separates the “data modification” and “data preservation” paradigms discussed below, and it is the fault line our proposed methodology is built to straddle deliberately rather than resolve by fiat.</w:t>
      </w:r>
    </w:p>
    <w:p>
      <w:pPr>
        <w:pStyle w:val="Heading1"/>
        <w:spacing w:after="200" w:before="400"/>
      </w:pPr>
      <w:r>
        <w:t xml:space="preserve">3. Literature Review: Existing Methods and Philosophies</w:t>
      </w:r>
    </w:p>
    <w:p>
      <w:pPr>
        <w:spacing w:after="180" w:line="276"/>
        <w:jc w:val="both"/>
      </w:pPr>
      <w:r>
        <w:rPr>
          <w:rFonts w:ascii="Calibri" w:cs="Calibri" w:eastAsia="Calibri" w:hAnsi="Calibri"/>
          <w:b w:val="false"/>
          <w:bCs w:val="false"/>
          <w:i w:val="false"/>
          <w:iCs w:val="false"/>
          <w:sz w:val="22"/>
          <w:szCs w:val="22"/>
        </w:rPr>
        <w:t xml:space="preserve">This section reviews the field in the order a DEM actually passes through it: artifact and bias correction first, then depression processing (the algorithmic and philosophical core of conditioning), then flat-area resolution, then optional hydrography enforcement, then the global correction products and software ecosystem that operationalise all of the above.</w:t>
      </w:r>
    </w:p>
    <w:p>
      <w:pPr>
        <w:pStyle w:val="Heading2"/>
        <w:spacing w:after="150" w:before="300"/>
      </w:pPr>
      <w:r>
        <w:t xml:space="preserve">3.1 Pre-Conditioning: Artifact and Bias Removal</w:t>
      </w:r>
    </w:p>
    <w:p>
      <w:pPr>
        <w:spacing w:after="180" w:line="276"/>
        <w:jc w:val="both"/>
      </w:pPr>
      <w:r>
        <w:rPr>
          <w:rFonts w:ascii="Calibri" w:cs="Calibri" w:eastAsia="Calibri" w:hAnsi="Calibri"/>
          <w:b w:val="false"/>
          <w:bCs w:val="false"/>
          <w:i w:val="false"/>
          <w:iCs w:val="false"/>
          <w:sz w:val="22"/>
          <w:szCs w:val="22"/>
        </w:rPr>
        <w:t xml:space="preserve">Before any depression-processing algorithm is applied, the DEM itself should be scrutinised for systematic, correctable error, because depression-processing algorithms cannot distinguish a genuine closed basin from a hole punched in the terrain by a misclassified building or a patch of unfiltered forest canopy — they simply see a sink and treat it as such. Point-cloud ground filtering — morphological filters (Zhang et al., 2003; Pingel, Clarke &amp; McBride, 2013's Simple Morphological Filter, SMRF), slope-based filters (Sithole &amp; Vosselman, 2001), segmentation-based filters, and progressive TIN densification (Axelsson, 2000) — remains the primary line of defence for airborne and UAV LiDAR, separating ground returns from vegetation and structures before a bare-earth surface is even interpolated. Comparative studies consistently find that no single filter dominates across land-cover types: TIN-based filtering performs best in mixed bare/shrub/tree terrain in some evaluations (Bakuła et al., 2019, as reviewed in comparative UAV point-cloud studies) while morphological filters such as SMRF transfer well to non-LiDAR sources such as satellite photogrammetric DSMs, reducing RMSE by up to 70% relative to an unfiltered surface in urban flood-modelling contexts (bare-earth ArcticDEM generation for Helsinki).</w:t>
      </w:r>
    </w:p>
    <w:p>
      <w:pPr>
        <w:spacing w:after="180" w:line="276"/>
        <w:jc w:val="both"/>
      </w:pPr>
      <w:r>
        <w:rPr>
          <w:rFonts w:ascii="Calibri" w:cs="Calibri" w:eastAsia="Calibri" w:hAnsi="Calibri"/>
          <w:b w:val="false"/>
          <w:bCs w:val="false"/>
          <w:i w:val="false"/>
          <w:iCs w:val="false"/>
          <w:sz w:val="22"/>
          <w:szCs w:val="22"/>
        </w:rPr>
        <w:t xml:space="preserve">For sources where point-level filtering is not possible — most global, gridded DEM products — correction is instead applied statistically or with machine learning directly to the raster. The Forest And Buildings-removed Copernicus DEM (FABDEM) uses a model trained on airborne LiDAR to strip both canopy and building bias from Copernicus GLO-30, and its successor FathomDEM is, to our knowledge, the first global bare-earth product to use a computer-vision-based object-removal approach rather than a purely statistical correction. Independent validation against UAV-LiDAR in a densely forested mountain catchment found FABDEM materially improved on raw Copernicus and SRTM-derived products, though performance still degrades under the most challenging canopy conditions. More recent gradient-boosted approaches (XGBoost, LightGBM) trained on slope, aspect, roughness, land-cover class and vegetation height have reported RMSE reductions of roughly 45–55% relative to uncorrected Copernicus and AW3D DEMs in urban test sites, and hybrid CNN-LightGBM models report further gains in forested terrain relative to FABDEM. For coastal and tidal-marsh applications specifically, the USGS's Lidar Elevation Adjustment with NDVI (LEAN) method corrects lidar-derived DEMs using multispectral vegetation indices, achieving 40–75% RMSE improvement with comparatively modest field-calibration effort.</w:t>
      </w:r>
    </w:p>
    <w:p>
      <w:pPr>
        <w:spacing w:after="180" w:line="276"/>
        <w:jc w:val="both"/>
      </w:pPr>
      <w:r>
        <w:rPr>
          <w:rFonts w:ascii="Calibri" w:cs="Calibri" w:eastAsia="Calibri" w:hAnsi="Calibri"/>
          <w:b w:val="false"/>
          <w:bCs w:val="false"/>
          <w:i w:val="false"/>
          <w:iCs w:val="false"/>
          <w:sz w:val="22"/>
          <w:szCs w:val="22"/>
        </w:rPr>
        <w:t xml:space="preserve">A second, distinct category of artifact is geometric rather than radiometric: bridges, culverts and elevated road decks that are captured as continuous surfaces by the sensor but that, hydraulically, are not barriers at all. The USGS Lidar Base Specification addresses this directly through hydroflattening and bridge-removal requirements at the point-cloud-to-DEM production stage, interpolating a logical bare-earth surface beneath bridge decks from breaklines rather than leaving the bridge deck as terrain. Where this production-stage correction has not been applied — which is the normal case for most DEMs a practitioner will actually receive — the resulting sink must be resolved later, during depression processing, typically by breaching, since these features are precisely the “egregious” case in which filling can raise the effective elevation of the entire upstream channel (Metz et al., cited in Barnes, Lehman &amp; Mulla, 2014, report a case in which depression filling altered 92% of the cells along a single river reach caused by exactly this kind of obstruction).</w:t>
      </w:r>
    </w:p>
    <w:p>
      <w:pPr>
        <w:spacing w:after="180" w:line="276"/>
        <w:jc w:val="both"/>
      </w:pPr>
      <w:r>
        <w:rPr>
          <w:rFonts w:ascii="Calibri" w:cs="Calibri" w:eastAsia="Calibri" w:hAnsi="Calibri"/>
          <w:b w:val="false"/>
          <w:bCs w:val="false"/>
          <w:i w:val="false"/>
          <w:iCs w:val="false"/>
          <w:sz w:val="22"/>
          <w:szCs w:val="22"/>
        </w:rPr>
        <w:t xml:space="preserve">The literature is clear on two points relevant to the methodology proposed in Section 5: first, artifact correction and depression processing are complementary, not substitutable — correcting vegetation and building bias reduces the number and severity of spurious sinks a depression-processing algorithm must handle, but it does not eliminate the need for that algorithm; and second, no correction method, statistical, morphological or learned, is universally reliable across biomes and DEM sources, so any operational pipeline must treat the correction stage as configurable and its output as provisional rather than as ground truth.</w:t>
      </w:r>
    </w:p>
    <w:p>
      <w:pPr>
        <w:pStyle w:val="Heading2"/>
        <w:spacing w:after="150" w:before="300"/>
      </w:pPr>
      <w:r>
        <w:t xml:space="preserve">3.2 Depression Processing: The Central Debate</w:t>
      </w:r>
    </w:p>
    <w:p>
      <w:pPr>
        <w:spacing w:after="180" w:line="276"/>
        <w:jc w:val="both"/>
      </w:pPr>
      <w:r>
        <w:rPr>
          <w:rFonts w:ascii="Calibri" w:cs="Calibri" w:eastAsia="Calibri" w:hAnsi="Calibri"/>
          <w:b w:val="false"/>
          <w:bCs w:val="false"/>
          <w:i w:val="false"/>
          <w:iCs w:val="false"/>
          <w:sz w:val="22"/>
          <w:szCs w:val="22"/>
        </w:rPr>
        <w:t xml:space="preserve">Depression processing is the step most closely associated with the phrase “hydrological conditioning” in the literature, and it is also where the field's central philosophical disagreement plays out. Following the taxonomy used in recent review literature (e.g. the 2019 review in the International Journal of Digital Earth and the 2026 Environmental Earth Sciences review of the evolution of depression-processing algorithms), depression-processing algorithms fall into two broad strategies: those that revise the DEM's elevation values to eliminate depressions, and those that leave the DEM's elevations unchanged and instead resolve flow routing through the depression using auxiliary data structures.</w:t>
      </w:r>
    </w:p>
    <w:p>
      <w:pPr>
        <w:pStyle w:val="Heading3"/>
        <w:spacing w:after="100" w:before="200"/>
      </w:pPr>
      <w:r>
        <w:t xml:space="preserve">3.2.1 Depression Filling</w:t>
      </w:r>
    </w:p>
    <w:p>
      <w:pPr>
        <w:spacing w:after="180" w:line="276"/>
        <w:jc w:val="both"/>
      </w:pPr>
      <w:r>
        <w:rPr>
          <w:rFonts w:ascii="Calibri" w:cs="Calibri" w:eastAsia="Calibri" w:hAnsi="Calibri"/>
          <w:b w:val="false"/>
          <w:bCs w:val="false"/>
          <w:i w:val="false"/>
          <w:iCs w:val="false"/>
          <w:sz w:val="22"/>
          <w:szCs w:val="22"/>
        </w:rPr>
        <w:t xml:space="preserve">The foundational algorithm, due to Jenson and Domingue (1988), raises every cell within a depression to the elevation of its lowest spill point, guaranteeing full drainage connectivity in a single pass. Planchon and Darboux (2001) reformulated the problem as an iterative flood-and-drain simulation that is simpler to implement and, in most practical cases, faster than the original approach. Wang and Liu (2006) introduced a priority-queue formulation that processes cells in strict elevation order, and Barnes, Lehman and Mulla (2014) refined this into the Priority-Flood family of algorithms, which achieve near-linear time complexity and, in Barnes's (2016) parallel implementation, scale to trillion-cell DEMs on desktop hardware or clusters — currently the fastest and most widely adopted filling approach in production GIS software. Filling's core weakness is not computational but hydrological: because it raises, rather than routes around, every cell in a depression, it necessarily creates a flat surface over the footprint of the original sink, and in low-relief or depression-dominated terrain (glaciated plains, coastal deltas, karst) this flat can extend across a large fraction of the DEM. Metz's finding that 92% of the cells along one river were modified by filling (cited in Barnes, Lehman &amp; Mulla, 2014) is the most frequently cited illustration of how aggressive this modification can be in the worst case.</w:t>
      </w:r>
    </w:p>
    <w:p>
      <w:pPr>
        <w:pStyle w:val="Heading3"/>
        <w:spacing w:after="100" w:before="200"/>
      </w:pPr>
      <w:r>
        <w:t xml:space="preserve">3.2.2 Depression Breaching (Carving)</w:t>
      </w:r>
    </w:p>
    <w:p>
      <w:pPr>
        <w:spacing w:after="180" w:line="276"/>
        <w:jc w:val="both"/>
      </w:pPr>
      <w:r>
        <w:rPr>
          <w:rFonts w:ascii="Calibri" w:cs="Calibri" w:eastAsia="Calibri" w:hAnsi="Calibri"/>
          <w:b w:val="false"/>
          <w:bCs w:val="false"/>
          <w:i w:val="false"/>
          <w:iCs w:val="false"/>
          <w:sz w:val="22"/>
          <w:szCs w:val="22"/>
        </w:rPr>
        <w:t xml:space="preserve">Breaching, introduced by Martz and Garbrecht (1998, 1999) and extended by Rieger (1998), Soille (2004) and Lindsay and Dhun (2015), instead lowers a narrow, contiguous path of cells through the barrier impounding a depression, allowing the depression to drain without altering elevations elsewhere in the basin. Because the volumetric change is confined to a thin channel rather than the entire depression footprint, breaching is widely reported to produce flow paths, watershed boundaries and slope statistics closer to those of the true (uncontaminated) terrain than filling does (Soille, 2004; Lindsay &amp; Creed, 2006). Least-cost breaching, which searches for the lowest-cost path out of a depression subject to maximum length and depth constraints, is generally regarded as producing the most defensible single-depression solution, and is the preferred default in several current toolchains (e.g. WhiteboxTools' BreachDepressionsLeastCost). Its principal weaknesses are computational: naive implementations that perform a cost-accumulation search from every pit cell do not scale well to large or high-resolution DEMs, and breaching becomes unreliable, or produces implausibly long or deep trenches, for very large or very deep depressions and for isolated single-cell pits (which are usually better handled by simple de-pitting, i.e. raising a lone pit cell to its lowest neighbour's elevation, per Lindsay &amp; Creed, 2005 and Lindsay &amp; Dhun, 2015). A further, less-discussed weakness is that a given depression frequently has more than one geometrically valid least-cost breach path, and the choice among them is rarely made with reference to any independent evidence — mapped hydrography, aerial imagery, or known culvert/bridge locations — that would indicate which path corresponds to the real drainage route.</w:t>
      </w:r>
    </w:p>
    <w:p>
      <w:pPr>
        <w:pStyle w:val="Heading3"/>
        <w:spacing w:after="100" w:before="200"/>
      </w:pPr>
      <w:r>
        <w:t xml:space="preserve">3.2.3 Hybrid Breach-Fill Methods</w:t>
      </w:r>
    </w:p>
    <w:p>
      <w:pPr>
        <w:spacing w:after="180" w:line="276"/>
        <w:jc w:val="both"/>
      </w:pPr>
      <w:r>
        <w:rPr>
          <w:rFonts w:ascii="Calibri" w:cs="Calibri" w:eastAsia="Calibri" w:hAnsi="Calibri"/>
          <w:b w:val="false"/>
          <w:bCs w:val="false"/>
          <w:i w:val="false"/>
          <w:iCs w:val="false"/>
          <w:sz w:val="22"/>
          <w:szCs w:val="22"/>
        </w:rPr>
        <w:t xml:space="preserve">Recognising that neither pure filling nor pure breaching is uniformly superior, Lindsay (2016) proposed an efficient hybrid algorithm that attempts breaching first, subject to configurable maximum path-length and depth constraints, and falls back to filling only where breaching cannot resolve a depression within those constraints; the method also supports a constrained “partial breaching” mode. Building on this, Hariri et al.'s Outlet Breaching method and subsequent hybrid formulations blend a fully carved and a fully filled DEM as a function of distance to the basin outlet, explicitly targeting watersheds with engineered structures (dams, reservoirs, flood-detention areas) where neither pure strategy performs well. These hybrid methods currently represent the best-validated, most computationally tractable compromise for general-purpose, large-scale conditioning, and Lindsay (2016) reports that even the most conservative hybrid configurations add only 8–27% additional run time relative to pure filling while substantially reducing DEM impact. Their remaining weakness is philosophical rather than algorithmic: like pure filling and pure breaching, hybrid methods still start from the assumption that every depression is, by default, an artifact to be eliminated, deferring the artifact-vs-real classification problem rather than solving it.</w:t>
      </w:r>
    </w:p>
    <w:p>
      <w:pPr>
        <w:pStyle w:val="Heading3"/>
        <w:spacing w:after="100" w:before="200"/>
      </w:pPr>
      <w:r>
        <w:t xml:space="preserve">3.2.4 Depression-Preserving (“Data-Unchanging”) Approaches</w:t>
      </w:r>
    </w:p>
    <w:p>
      <w:pPr>
        <w:spacing w:after="180" w:line="276"/>
        <w:jc w:val="both"/>
      </w:pPr>
      <w:r>
        <w:rPr>
          <w:rFonts w:ascii="Calibri" w:cs="Calibri" w:eastAsia="Calibri" w:hAnsi="Calibri"/>
          <w:b w:val="false"/>
          <w:bCs w:val="false"/>
          <w:i w:val="false"/>
          <w:iCs w:val="false"/>
          <w:sz w:val="22"/>
          <w:szCs w:val="22"/>
        </w:rPr>
        <w:t xml:space="preserve">The most significant recent development in the field directly challenges the default-elimination assumption. Callaghan and Wickert's (2019) FlowFill algorithm computes water flow through a landscape by physically simulating fill-spill-merge dynamics across nested depressions rather than editing the DEM's elevation values at all. Barnes, Callaghan and Wickert (2020) formalised the depression hierarchy: a graph/tree data structure in which individual sub-depressions merge into successively larger meta-depressions as water level rises, exactly analogous to how real surface water actually behaves during a storm event. This hierarchy can be used either to accelerate dynamic flood-routing simulations or, critically for conditioning purposes, to selectively fill or breach only those depressions that are judged (by size, depth, geomorphic setting, or independent evidence) to be artifacts, while leaving hydrologically meaningful basins topologically intact. A follow-on billion-cell-scale implementation, the HRBTree structure (2025), demonstrates that this approach is now computationally competitive with classical filling and breaching at production data volumes, closing what had been the method's main practical objection. In parallel, application-specific depression-retention methods — the SPILL algorithm of Shaw et al. (2013), the Wetland DEM Ponding Model of Shook et al. (2011), the puddle-delineation/D-cubed algorithms of Chu et al. (2010, 2013), and Jiang et al.'s (2023) D2P method — have each shown, in prairie-pothole and depression-dominated test catchments, that depression-preserving conditioning produces materially different and generally more realistic hydrological simulations: D2P, for example, resolved 86% of ponds in the Goodwin Creek Experimental Watershed while modifying 51% fewer cells than a conventional filling algorithm, and simulations built on the resulting surface showed higher surface-water storage and attenuated, delayed peak streamflow relative to a conventionally filled DEM — a materially different, and for many management applications more defensible, hydrological answer. The principal weakness of this entire family is that it is younger and less standardised than filling/breaching: fewer production GIS packages implement it, and — as with hybrid methods — it still requires an explicit, defensible rule for distinguishing artifact from real depressions, which the depression-hierarchy and D2P literature treat as a downstream classification problem rather than solving definitively within the algorithm itself.</w:t>
      </w:r>
    </w:p>
    <w:p>
      <w:pPr>
        <w:pStyle w:val="Heading2"/>
        <w:spacing w:after="150" w:before="300"/>
      </w:pPr>
      <w:r>
        <w:t xml:space="preserve">3.3 Flat Area Resolution</w:t>
      </w:r>
    </w:p>
    <w:p>
      <w:pPr>
        <w:spacing w:after="180" w:line="276"/>
        <w:jc w:val="both"/>
      </w:pPr>
      <w:r>
        <w:rPr>
          <w:rFonts w:ascii="Calibri" w:cs="Calibri" w:eastAsia="Calibri" w:hAnsi="Calibri"/>
          <w:b w:val="false"/>
          <w:bCs w:val="false"/>
          <w:i w:val="false"/>
          <w:iCs w:val="false"/>
          <w:sz w:val="22"/>
          <w:szCs w:val="22"/>
        </w:rPr>
        <w:t xml:space="preserve">Filling, breaching and interpolation-based conditioning all tend to produce locally flat surfaces — either directly (filling raises a whole depression to one elevation) or indirectly (coarse vertical resolution or aggressive smoothing removes the small elevation differences that would otherwise define a flow direction). Flow-direction algorithms are undefined on a perfectly flat surface. Garbrecht and Martz (1997) solved this by imposing two superimposed synthetic gradients across each flat: one pushing flow away from higher terrain at the flat's inflow boundary, and one pulling flow toward the flat's outflow point, summed to produce a low-relief but unambiguous downhill gradient across the entire flat. This remains the standard approach, implemented in TauDEM, WhiteboxTools and GRASS, and its main limitation is that the imposed gradient is synthetic — it guarantees a valid flow direction but has no independent claim to represent the true micro-topography of the flat, which for very large flats (common in filled prairie-pothole or delta terrain) can materially affect flow-accumulation patterns.</w:t>
      </w:r>
    </w:p>
    <w:p>
      <w:pPr>
        <w:pStyle w:val="Heading2"/>
        <w:spacing w:after="150" w:before="300"/>
      </w:pPr>
      <w:r>
        <w:t xml:space="preserve">3.4 Drainage / Hydrography Enforcement</w:t>
      </w:r>
    </w:p>
    <w:p>
      <w:pPr>
        <w:spacing w:after="180" w:line="276"/>
        <w:jc w:val="both"/>
      </w:pPr>
      <w:r>
        <w:rPr>
          <w:rFonts w:ascii="Calibri" w:cs="Calibri" w:eastAsia="Calibri" w:hAnsi="Calibri"/>
          <w:b w:val="false"/>
          <w:bCs w:val="false"/>
          <w:i w:val="false"/>
          <w:iCs w:val="false"/>
          <w:sz w:val="22"/>
          <w:szCs w:val="22"/>
        </w:rPr>
        <w:t xml:space="preserve">Where independent, higher-confidence evidence of true channel location exists — typically a surveyed or remotely sensed vector hydrography layer — it can be used to directly enforce drainage patterns onto the DEM, a technique generally called stream burning or surface reconditioning. Hellweger's (1997) AGREE tool lowers cells coincident with the vector network by a user-specified amount and smooths a buffer around them so that no abrupt elevation discontinuity is introduced at the buffer edge. AGREE is simple and still in wide use, but Callow et al. (2007) and others have shown that its buffer distance and forcing-factor parameters are arbitrary and strongly influence the outcome, and Hellweger himself noted that where the vector hydrography and the DEM-derived flow path disagree by more than about one grid cell, burning tends to create erroneous parallel streams — the buried true channel and a second, spurious channel following the unmodified terrain, both draining the same hillslope. Hutchinson's (1989, 2011) ANUDEM takes a fundamentally different approach, treating stream and ridge lines as hard constraints within an iterative thin-plate-spline interpolation that also penalises surface roughness and automatically removes any spurious pit intersected by the input stream network; this produces a smoother, more globally consistent surface than AGREE, at the cost of also smoothing terrain far from any stream and leaving depressions untouched wherever the input stream network does not reach them.</w:t>
      </w:r>
    </w:p>
    <w:p>
      <w:pPr>
        <w:spacing w:after="180" w:line="276"/>
        <w:jc w:val="both"/>
      </w:pPr>
      <w:r>
        <w:rPr>
          <w:rFonts w:ascii="Calibri" w:cs="Calibri" w:eastAsia="Calibri" w:hAnsi="Calibri"/>
          <w:b w:val="false"/>
          <w:bCs w:val="false"/>
          <w:i w:val="false"/>
          <w:iCs w:val="false"/>
          <w:sz w:val="22"/>
          <w:szCs w:val="22"/>
        </w:rPr>
        <w:t xml:space="preserve">More recent work directly targets AGREE's parallel-stream failure mode. Soille, Vogt and Colombo's (2003) adaptive drainage-enforcement method burns a stream only where the DEM-derived flow path has already diverged significantly from the mapped channel, rather than burning indiscriminately along the entire network, and Lindsay's (2016) TopologicalBreachBurn extends this further by pruning the input vector network using total upstream channel length so that the resolution of the burned network is matched to the resolution of the raster, explicitly resolving the topological conflicts (multiple stream links competing for the same raster cell) that Lindsay identifies as the deeper cause of stream burning's historical unreliability; tested across DEM resolutions from 1 to 30 arc-seconds, TopologicalBreachBurn produced markedly more scale-insensitive and accurate drainage divides than either naive burning or AGREE. Most recently, learned and flow-accumulation-weighted adaptive burning methods (2026) vary burn depth continuously with upstream contributing area rather than applying a fixed depth, further reducing the abrupt discontinuities that drive parallel-stream errors. The consistent finding across this sub-literature is that stream burning's failures are almost always failures of naive implementation — fixed depth, fixed buffer, no topological reasoning — rather than an inherent flaw in the idea of using independent hydrographic evidence to correct a DEM, which is precisely why our proposed methodology retains adaptive, topology-aware burning as an optional stage rather than discarding stream enforcement altogether.</w:t>
      </w:r>
    </w:p>
    <w:p>
      <w:pPr>
        <w:pStyle w:val="Heading2"/>
        <w:spacing w:after="150" w:before="300"/>
      </w:pPr>
      <w:r>
        <w:t xml:space="preserve">3.5 Global and Regional DEM Correction Products</w:t>
      </w:r>
    </w:p>
    <w:p>
      <w:pPr>
        <w:spacing w:after="180" w:line="276"/>
        <w:jc w:val="both"/>
      </w:pPr>
      <w:r>
        <w:rPr>
          <w:rFonts w:ascii="Calibri" w:cs="Calibri" w:eastAsia="Calibri" w:hAnsi="Calibri"/>
          <w:b w:val="false"/>
          <w:bCs w:val="false"/>
          <w:i w:val="false"/>
          <w:iCs w:val="false"/>
          <w:sz w:val="22"/>
          <w:szCs w:val="22"/>
        </w:rPr>
        <w:t xml:space="preserve">A parallel and increasingly consequential line of work operates not on a single practitioner's study-area DEM but on global elevation products themselves. MERIT DEM removed absolute bias, stripe noise, speckle and (partially) tree-height bias from SRTM at global scale; FABDEM (Hawker et al., 2022) used a LiDAR-trained model to remove both forest and building bias from Copernicus GLO-30; CoastalDEM, DiluviumDEM and DeltaDTM specifically target the vertical accuracy demands of coastal and sea-level-rise applications; and the most recent products, GEDTM30 (an ensemble global 30 m terrain model) and FathomDEM (which is, notably, the first global bare-earth DTM built on a computer-vision object-removal approach rather than a purely statistical correction), represent the current state of the art as of 2025–2026. Independent validation of FABDEM against UAV-LiDAR in a densely forested mountain catchment confirms substantial accuracy gains over raw Copernicus, SRTM and MERIT, though with continued degradation under the most challenging canopy and terrain conditions. For any conditioning workflow that must accept “any DEM, any resolution, any vertical accuracy” as an input, as this project's brief requires, these global correction products are best understood not as competitors to a local conditioning pipeline but as an increasingly attractive upstream substitute for, or supplement to, the artifact-removal stage described in Section 3.1 — particularly where no local LiDAR-derived DTM is available.</w:t>
      </w:r>
    </w:p>
    <w:p>
      <w:pPr>
        <w:pStyle w:val="Heading2"/>
        <w:spacing w:after="150" w:before="300"/>
      </w:pPr>
      <w:r>
        <w:t xml:space="preserve">3.6 Software and Tooling Landscape</w:t>
      </w:r>
    </w:p>
    <w:p>
      <w:pPr>
        <w:spacing w:after="180" w:line="276"/>
        <w:jc w:val="both"/>
      </w:pPr>
      <w:r>
        <w:rPr>
          <w:rFonts w:ascii="Calibri" w:cs="Calibri" w:eastAsia="Calibri" w:hAnsi="Calibri"/>
          <w:b w:val="false"/>
          <w:bCs w:val="false"/>
          <w:i w:val="false"/>
          <w:iCs w:val="false"/>
          <w:sz w:val="22"/>
          <w:szCs w:val="22"/>
        </w:rPr>
        <w:t xml:space="preserve">Operationally, four open-source toolchains dominate current practice. TauDEM (Terrain Analysis Using Digital Elevation Models, David Tarboton, Utah State University) implements Priority-Flood-family filling, D8 and D-infinity flow routing, and is parallelised via MPI for large rasters, though it is distributed primarily as C++ command-line executables rather than a native Python API. WhiteboxTools (John Lindsay, University of Guelph), written in Rust with a thin Python front-end, is unusual in implementing essentially the full spectrum reviewed above in one actively maintained package — depression filling, pit-centric and least-cost breaching, the efficient hybrid method, Garbrecht-Martz flat resolution, AGREE-style and topologically-aware stream burning — making it, in our assessment, the single most complete open-source implementation of the state of the art as of 2026. RichDEM (Richard Barnes) provides fast, well-tested Priority-Flood filling and breaching with a native Python/NumPy interface, making it convenient for integration into custom pipelines even though its depression-processing scope is narrower than WhiteboxTools'. pysheds provides a lightweight, pure-Python D8/D-infinity flow-routing and watershed-delineation engine that is easy to embed in larger Python applications but relies on external tools (or its own simpler filling routine) for depression processing. GRASS GIS's r.hydrodem module implements a Planchon-Darboux/Wang-Liu-style filling-and-carving hybrid natively. None of these packages, on its own, implements the full artifact-correction-through-provenance-tracked-conditioning pipeline this paper's brief calls for; Section 6 shows how they can be composed, via a thin orchestration layer, into exactly such a pipeline.</w:t>
      </w:r>
    </w:p>
    <w:p>
      <w:pPr>
        <w:pStyle w:val="Heading1"/>
        <w:spacing w:after="200" w:before="400"/>
      </w:pPr>
      <w:r>
        <w:t xml:space="preserve">4. Critical Synthesis: Strengths, Weaknesses, and the Gap This Paper Addresses</w:t>
      </w:r>
    </w:p>
    <w:p>
      <w:pPr>
        <w:spacing w:after="180" w:line="276"/>
        <w:jc w:val="both"/>
      </w:pPr>
      <w:r>
        <w:rPr>
          <w:rFonts w:ascii="Calibri" w:cs="Calibri" w:eastAsia="Calibri" w:hAnsi="Calibri"/>
          <w:b w:val="false"/>
          <w:bCs w:val="false"/>
          <w:i w:val="false"/>
          <w:iCs w:val="false"/>
          <w:sz w:val="22"/>
          <w:szCs w:val="22"/>
        </w:rPr>
        <w:t xml:space="preserve">Table 1 consolidates the review above against a consistent set of evaluation criteria. Three cross-cutting gaps emerge that no single existing method fully closes, and that directly motivate the methodology proposed in Section 5.</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600"/>
      </w:tblGrid>
      <w:tr>
        <w:trPr>
          <w:tblHeader/>
        </w:trPr>
        <w:tc>
          <w:tcPr>
            <w:tcW w:type="dxa" w:w="1800"/>
            <w:shd w:fill="1F4E5F" w:val="clear"/>
            <w:tcMar>
              <w:top w:type="dxa" w:w="100"/>
              <w:left w:type="dxa" w:w="120"/>
              <w:bottom w:type="dxa" w:w="100"/>
              <w:right w:type="dxa" w:w="120"/>
            </w:tcMar>
          </w:tcPr>
          <w:p>
            <w:pPr>
              <w:spacing w:after="0"/>
            </w:pPr>
            <w:r>
              <w:rPr>
                <w:rFonts w:ascii="Calibri" w:cs="Calibri" w:eastAsia="Calibri" w:hAnsi="Calibri"/>
                <w:b/>
                <w:bCs/>
                <w:sz w:val="18"/>
                <w:szCs w:val="18"/>
              </w:rPr>
              <w:t xml:space="preserve">Method / Philosophy</w:t>
            </w:r>
          </w:p>
        </w:tc>
        <w:tc>
          <w:tcPr>
            <w:tcW w:type="dxa" w:w="2600"/>
            <w:shd w:fill="1F4E5F" w:val="clear"/>
            <w:tcMar>
              <w:top w:type="dxa" w:w="100"/>
              <w:left w:type="dxa" w:w="120"/>
              <w:bottom w:type="dxa" w:w="100"/>
              <w:right w:type="dxa" w:w="120"/>
            </w:tcMar>
          </w:tcPr>
          <w:p>
            <w:pPr>
              <w:spacing w:after="0"/>
            </w:pPr>
            <w:r>
              <w:rPr>
                <w:rFonts w:ascii="Calibri" w:cs="Calibri" w:eastAsia="Calibri" w:hAnsi="Calibri"/>
                <w:b/>
                <w:bCs/>
                <w:sz w:val="18"/>
                <w:szCs w:val="18"/>
              </w:rPr>
              <w:t xml:space="preserve">Core Mechanism</w:t>
            </w:r>
          </w:p>
        </w:tc>
        <w:tc>
          <w:tcPr>
            <w:tcW w:type="dxa" w:w="2600"/>
            <w:shd w:fill="1F4E5F" w:val="clear"/>
            <w:tcMar>
              <w:top w:type="dxa" w:w="100"/>
              <w:left w:type="dxa" w:w="120"/>
              <w:bottom w:type="dxa" w:w="100"/>
              <w:right w:type="dxa" w:w="120"/>
            </w:tcMar>
          </w:tcPr>
          <w:p>
            <w:pPr>
              <w:spacing w:after="0"/>
            </w:pPr>
            <w:r>
              <w:rPr>
                <w:rFonts w:ascii="Calibri" w:cs="Calibri" w:eastAsia="Calibri" w:hAnsi="Calibri"/>
                <w:b/>
                <w:bCs/>
                <w:sz w:val="18"/>
                <w:szCs w:val="18"/>
              </w:rPr>
              <w:t xml:space="preserve">Strengths</w:t>
            </w:r>
          </w:p>
        </w:tc>
        <w:tc>
          <w:tcPr>
            <w:tcW w:type="dxa" w:w="2600"/>
            <w:shd w:fill="1F4E5F" w:val="clear"/>
            <w:tcMar>
              <w:top w:type="dxa" w:w="100"/>
              <w:left w:type="dxa" w:w="120"/>
              <w:bottom w:type="dxa" w:w="100"/>
              <w:right w:type="dxa" w:w="120"/>
            </w:tcMar>
          </w:tcPr>
          <w:p>
            <w:pPr>
              <w:spacing w:after="0"/>
            </w:pPr>
            <w:r>
              <w:rPr>
                <w:rFonts w:ascii="Calibri" w:cs="Calibri" w:eastAsia="Calibri" w:hAnsi="Calibri"/>
                <w:b/>
                <w:bCs/>
                <w:sz w:val="18"/>
                <w:szCs w:val="18"/>
              </w:rPr>
              <w:t xml:space="preserve">Weaknesses</w:t>
            </w:r>
          </w:p>
        </w:tc>
      </w:tr>
      <w:tr>
        <w:tc>
          <w:tcPr>
            <w:tcW w:type="dxa" w:w="18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Depression filling
(Jenson &amp; Domingue 1988; Planchon &amp; Darboux 2001; Wang &amp; Liu 2006; Priority-Flood, Barnes et al. 2014)</w:t>
            </w:r>
          </w:p>
        </w:tc>
        <w:tc>
          <w:tcPr>
            <w:tcW w:type="dxa" w:w="26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Raises all cells in a depression to the elevation of its lowest spill point.</w:t>
            </w:r>
          </w:p>
        </w:tc>
        <w:tc>
          <w:tcPr>
            <w:tcW w:type="dxa" w:w="26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Simple, deterministic, guarantees full drainage connectivity; Priority-Flood variants are near-linear time and scale to trillions of cells (Barnes 2016).</w:t>
            </w:r>
          </w:p>
        </w:tc>
        <w:tc>
          <w:tcPr>
            <w:tcW w:type="dxa" w:w="26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Creates large, hydrologically unrealistic flats; can modify the majority of cells in low-relief terrain; destroys real depression storage (potholes, karst, wetlands).</w:t>
            </w:r>
          </w:p>
        </w:tc>
      </w:tr>
      <w:tr>
        <w:tc>
          <w:tcPr>
            <w:tcW w:type="dxa" w:w="18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Depression breaching / carving
(Martz &amp; Garbrecht 1999; Rieger 1998; Lindsay &amp; Dhun 2015)</w:t>
            </w:r>
          </w:p>
        </w:tc>
        <w:tc>
          <w:tcPr>
            <w:tcW w:type="dxa" w:w="26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Lowers a narrow path of cells through the barrier that impounds a depression, preserving surrounding topography.</w:t>
            </w:r>
          </w:p>
        </w:tc>
        <w:tc>
          <w:tcPr>
            <w:tcW w:type="dxa" w:w="26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Much smaller volumetric change than filling; well suited to LiDAR-scale artifacts such as culverts, bridges and road fill (Soille 2004; Lindsay &amp; Creed 2006).</w:t>
            </w:r>
          </w:p>
        </w:tc>
        <w:tc>
          <w:tcPr>
            <w:tcW w:type="dxa" w:w="26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Naive/least-cost breaching is computationally expensive at scale; can carve unrealistically deep or long trenches through genuinely closed basins; multiple valid breach paths may exist with no principled way to choose among them.</w:t>
            </w:r>
          </w:p>
        </w:tc>
      </w:tr>
      <w:tr>
        <w:tc>
          <w:tcPr>
            <w:tcW w:type="dxa" w:w="18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Hybrid breach-fill
(Lindsay 2016 – “Efficient Hybrid”; Hariri et al. – Outlet Breaching; constrained/selective breaching)</w:t>
            </w:r>
          </w:p>
        </w:tc>
        <w:tc>
          <w:tcPr>
            <w:tcW w:type="dxa" w:w="26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Breaches where a short, shallow path exists; falls back to filling (or partial breaching) for deep/complex sinks; isolated single-cell pits are de-pitted separately.</w:t>
            </w:r>
          </w:p>
        </w:tc>
        <w:tc>
          <w:tcPr>
            <w:tcW w:type="dxa" w:w="26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Combines the low impact of breaching with the guaranteed termination of filling; tunable breach-length/depth constraints; efficient enough for national-scale LiDAR (Lindsay 2016).</w:t>
            </w:r>
          </w:p>
        </w:tc>
        <w:tc>
          <w:tcPr>
            <w:tcW w:type="dxa" w:w="26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Requires several tunable thresholds (max breach length/depth) whose optimal values are terrain- and sensor-dependent; still treats every depression as an artifact by default.</w:t>
            </w:r>
          </w:p>
        </w:tc>
      </w:tr>
      <w:tr>
        <w:tc>
          <w:tcPr>
            <w:tcW w:type="dxa" w:w="18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Depression-hierarchy / data-preserving
(Barnes, Callaghan &amp; Wickert 2020; Callaghan &amp; Wickert 2019 – FlowFill; Jiang et al. 2023 – D2P)</w:t>
            </w:r>
          </w:p>
        </w:tc>
        <w:tc>
          <w:tcPr>
            <w:tcW w:type="dxa" w:w="26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Represents nested depressions as a graph/tree of sub- and meta-depressions; resolves flow via graph traversal or physically based fill-spill-merge simulation rather than blanket elevation editing.</w:t>
            </w:r>
          </w:p>
        </w:tc>
        <w:tc>
          <w:tcPr>
            <w:tcW w:type="dxa" w:w="26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Preserves genuine surface storage (wetlands, prairie potholes, karst) that filling/breaching destroys; supports selective processing (only true artifacts are removed); scales to billions of cells (HRBTree, Barnes 2025).</w:t>
            </w:r>
          </w:p>
        </w:tc>
        <w:tc>
          <w:tcPr>
            <w:tcW w:type="dxa" w:w="26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More complex to implement and reason about; still an active research area with fewer mature open-source implementations; requires an explicit artifact-vs-real classification step to be useful, which is itself unsolved in general.</w:t>
            </w:r>
          </w:p>
        </w:tc>
      </w:tr>
      <w:tr>
        <w:tc>
          <w:tcPr>
            <w:tcW w:type="dxa" w:w="18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Surface reconditioning – AGREE
(Hellweger 1997)</w:t>
            </w:r>
          </w:p>
        </w:tc>
        <w:tc>
          <w:tcPr>
            <w:tcW w:type="dxa" w:w="26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Lowers/raises cells along a known vector hydrography network and smooths a buffer around it to a user-set forcing factor.</w:t>
            </w:r>
          </w:p>
        </w:tc>
        <w:tc>
          <w:tcPr>
            <w:tcW w:type="dxa" w:w="26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Directly aligns derived streams with mapped hydrography; widely implemented in legacy ArcGIS/AML workflows.</w:t>
            </w:r>
          </w:p>
        </w:tc>
        <w:tc>
          <w:tcPr>
            <w:tcW w:type="dxa" w:w="26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Arbitrary buffer distance and forcing factor strongly bias the result (Callow et al. 2007); prone to erroneous parallel streams where hydrography and DEM disagree by more than one cell (Hellweger 1997); can alter elevations far beyond the depression it is meant to fix.</w:t>
            </w:r>
          </w:p>
        </w:tc>
      </w:tr>
      <w:tr>
        <w:tc>
          <w:tcPr>
            <w:tcW w:type="dxa" w:w="18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Surface reconditioning – ANUDEM
(Hutchinson 1989, 2011)</w:t>
            </w:r>
          </w:p>
        </w:tc>
        <w:tc>
          <w:tcPr>
            <w:tcW w:type="dxa" w:w="26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Uses stream/ridge lines as hard constraints in an iterative thin-plate-spline interpolation with an explicit drainage-enforcement and roughness-penalty term.</w:t>
            </w:r>
          </w:p>
        </w:tc>
        <w:tc>
          <w:tcPr>
            <w:tcW w:type="dxa" w:w="26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Produces a smooth, globally consistent surface; automatically removes spurious pits intersected by the stream network; strong theoretical basis and decades of operational use.</w:t>
            </w:r>
          </w:p>
        </w:tc>
        <w:tc>
          <w:tcPr>
            <w:tcW w:type="dxa" w:w="26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Globally smooths the whole DEM, which can suppress real microtopography; depressions not intersected by the input stream network are untouched; heavier computational cost than local methods.</w:t>
            </w:r>
          </w:p>
        </w:tc>
      </w:tr>
      <w:tr>
        <w:tc>
          <w:tcPr>
            <w:tcW w:type="dxa" w:w="18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Topology-aware / adaptive stream burning
(Soille et al. 2003; Lindsay 2016 – TopologicalBreachBurn)</w:t>
            </w:r>
          </w:p>
        </w:tc>
        <w:tc>
          <w:tcPr>
            <w:tcW w:type="dxa" w:w="26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Burns streams only where DEM-derived flow paths genuinely diverge from mapped hydrography, and prunes/prioritises the vector network by upstream length so burns are internally consistent.</w:t>
            </w:r>
          </w:p>
        </w:tc>
        <w:tc>
          <w:tcPr>
            <w:tcW w:type="dxa" w:w="26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Greatly reduces unnecessary elevation change relative to blanket burning; explicitly addresses scale-mismatch and stream-piracy errors between vector and raster data (Lindsay 2016).</w:t>
            </w:r>
          </w:p>
        </w:tc>
        <w:tc>
          <w:tcPr>
            <w:tcW w:type="dxa" w:w="26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Still dependent on the completeness and positional accuracy of the reference hydrography; adds algorithmic complexity relative to naive burning.</w:t>
            </w:r>
          </w:p>
        </w:tc>
      </w:tr>
      <w:tr>
        <w:tc>
          <w:tcPr>
            <w:tcW w:type="dxa" w:w="18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Artifact / bias pre-correction
(SMRF, PMF morphological filters; ML/XGBoost/LightGBM correction; FABDEM, GEDTM30, FathomDEM)</w:t>
            </w:r>
          </w:p>
        </w:tc>
        <w:tc>
          <w:tcPr>
            <w:tcW w:type="dxa" w:w="26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Removes vegetation- and building-induced elevation bias before hydrological processing, using morphological filtering of point clouds or learned corrections on gridded DSMs.</w:t>
            </w:r>
          </w:p>
        </w:tc>
        <w:tc>
          <w:tcPr>
            <w:tcW w:type="dxa" w:w="26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Addresses the root cause of many spurious depressions rather than papering over them downstream; global bare-earth products (FABDEM, FathomDEM) now reach metre-to-decametre accuracy improvements of 40–75% in RMSE (Hawker et al. 2022; USGS LEAN method).</w:t>
            </w:r>
          </w:p>
        </w:tc>
        <w:tc>
          <w:tcPr>
            <w:tcW w:type="dxa" w:w="2600"/>
            <w:tcMar>
              <w:top w:type="dxa" w:w="100"/>
              <w:left w:type="dxa" w:w="120"/>
              <w:bottom w:type="dxa" w:w="100"/>
              <w:right w:type="dxa" w:w="120"/>
            </w:tcMar>
          </w:tcPr>
          <w:p>
            <w:pPr>
              <w:spacing w:after="0"/>
            </w:pPr>
            <w:r>
              <w:rPr>
                <w:rFonts w:ascii="Calibri" w:cs="Calibri" w:eastAsia="Calibri" w:hAnsi="Calibri"/>
                <w:b w:val="false"/>
                <w:bCs w:val="false"/>
                <w:sz w:val="18"/>
                <w:szCs w:val="18"/>
              </w:rPr>
              <w:t xml:space="preserve">Learned/statistical correctors are trained on regionally biased reference LiDAR and generalise imperfectly to new biomes/terrain; morphological filters need scene-specific parameterisation; none of these methods alone resolves depressions, so they must be paired with a depression-processing stage.</w:t>
            </w:r>
          </w:p>
        </w:tc>
      </w:tr>
    </w:tbl>
    <w:p>
      <w:pPr>
        <w:spacing w:after="240" w:before="80"/>
        <w:jc w:val="center"/>
      </w:pPr>
      <w:r>
        <w:rPr>
          <w:rFonts w:ascii="Calibri" w:cs="Calibri" w:eastAsia="Calibri" w:hAnsi="Calibri"/>
          <w:i/>
          <w:iCs/>
          <w:sz w:val="20"/>
          <w:szCs w:val="20"/>
        </w:rPr>
        <w:t xml:space="preserve">Table 1. Strengths and weaknesses of the major hydrological-conditioning philosophies reviewed in Section 3.</w:t>
      </w:r>
    </w:p>
    <w:p>
      <w:pPr>
        <w:spacing w:after="180" w:line="276"/>
        <w:jc w:val="both"/>
      </w:pPr>
      <w:r>
        <w:rPr>
          <w:rFonts w:ascii="Calibri" w:cs="Calibri" w:eastAsia="Calibri" w:hAnsi="Calibri"/>
          <w:b w:val="false"/>
          <w:bCs w:val="false"/>
          <w:i w:val="false"/>
          <w:iCs w:val="false"/>
          <w:sz w:val="22"/>
          <w:szCs w:val="22"/>
        </w:rPr>
        <w:t xml:space="preserve">First, the artifact-vs-real depression classification problem is treated inconsistently, or not at all, by most operational methods. Filling and naive breaching ignore it entirely; hybrid methods defer it to a small set of geometric thresholds (maximum depth, area, breach length) that are not informed by land cover, sensor characteristics, or independent evidence; only the depression-hierarchy literature treats classification as a first-class problem, and even there it is left as future work rather than a solved component.</w:t>
      </w:r>
    </w:p>
    <w:p>
      <w:pPr>
        <w:spacing w:after="180" w:line="276"/>
        <w:jc w:val="both"/>
      </w:pPr>
      <w:r>
        <w:rPr>
          <w:rFonts w:ascii="Calibri" w:cs="Calibri" w:eastAsia="Calibri" w:hAnsi="Calibri"/>
          <w:b w:val="false"/>
          <w:bCs w:val="false"/>
          <w:i w:val="false"/>
          <w:iCs w:val="false"/>
          <w:sz w:val="22"/>
          <w:szCs w:val="22"/>
        </w:rPr>
        <w:t xml:space="preserve">Second, almost the entire methodological literature reviewed above was developed and validated on a single DEM source and resolution at a time (LiDAR at 1–5 m, or SRTM/Copernicus at 30 m), and resolution- or accuracy-adaptive behaviour — an algorithm that automatically adjusts its aggressiveness, thresholds, or even its choice of strategy based on the vertical accuracy and horizontal resolution of the input — is essentially absent from operational tools. This is a direct gap relative to this project's brief, which explicitly requires a method applicable to “any type of DEM (any resolution and vertical accuracy).”</w:t>
      </w:r>
    </w:p>
    <w:p>
      <w:pPr>
        <w:spacing w:after="180" w:line="276"/>
        <w:jc w:val="both"/>
      </w:pPr>
      <w:r>
        <w:rPr>
          <w:rFonts w:ascii="Calibri" w:cs="Calibri" w:eastAsia="Calibri" w:hAnsi="Calibri"/>
          <w:b w:val="false"/>
          <w:bCs w:val="false"/>
          <w:i w:val="false"/>
          <w:iCs w:val="false"/>
          <w:sz w:val="22"/>
          <w:szCs w:val="22"/>
        </w:rPr>
        <w:t xml:space="preserve">Third, provenance and auditability are almost never treated as a deliverable of the conditioning process itself. Papers report aggregate impact statistics (percentage of cells modified, RMSE, volumetric change) as evaluation metrics for a research publication, but production tools generally do not emit a persistent, cell-level record of what was changed, why, and by which algorithm, as a routine output of every run. For a workflow explicitly intended to survive strict peer review, this is not a cosmetic omission: a reviewer cannot assess whether a given piece of DEM conditioning was appropriate if the only evidence available is the conditioned output.</w:t>
      </w:r>
    </w:p>
    <w:p>
      <w:pPr>
        <w:pStyle w:val="Heading1"/>
        <w:spacing w:after="200" w:before="400"/>
      </w:pPr>
      <w:r>
        <w:t xml:space="preserve">5. Proposed Methodology: A Provenance-Aware, Resolution-Adaptive Conditioning Framework</w:t>
      </w:r>
    </w:p>
    <w:p>
      <w:pPr>
        <w:pStyle w:val="Heading2"/>
        <w:spacing w:after="150" w:before="300"/>
      </w:pPr>
      <w:r>
        <w:t xml:space="preserve">5.1 Design Principles</w:t>
      </w:r>
    </w:p>
    <w:p>
      <w:pPr>
        <w:pStyle w:val="ListParagraph"/>
        <w:numPr>
          <w:ilvl w:val="0"/>
          <w:numId w:val="2"/>
        </w:numPr>
        <w:spacing w:after="100"/>
      </w:pPr>
      <w:r>
        <w:rPr>
          <w:rFonts w:ascii="Calibri" w:cs="Calibri" w:eastAsia="Calibri" w:hAnsi="Calibri"/>
          <w:sz w:val="22"/>
          <w:szCs w:val="22"/>
        </w:rPr>
        <w:t xml:space="preserve">Separate artifact correction from hydrological enforcement. The two are logically distinct problems (Section 2) and are given distinct pipeline stages, so that a reviewer, or a downstream user, can evaluate each independently.</w:t>
      </w:r>
    </w:p>
    <w:p>
      <w:pPr>
        <w:pStyle w:val="ListParagraph"/>
        <w:numPr>
          <w:ilvl w:val="0"/>
          <w:numId w:val="2"/>
        </w:numPr>
        <w:spacing w:after="100"/>
      </w:pPr>
      <w:r>
        <w:rPr>
          <w:rFonts w:ascii="Calibri" w:cs="Calibri" w:eastAsia="Calibri" w:hAnsi="Calibri"/>
          <w:sz w:val="22"/>
          <w:szCs w:val="22"/>
        </w:rPr>
        <w:t xml:space="preserve">Classify before you modify. No cell's elevation is changed as part of depression processing until the depression it belongs to has been scored against explicit, inspectable criteria, and the resulting decision (breach / fill / preserve / defer to analyst) is recorded.</w:t>
      </w:r>
    </w:p>
    <w:p>
      <w:pPr>
        <w:pStyle w:val="ListParagraph"/>
        <w:numPr>
          <w:ilvl w:val="0"/>
          <w:numId w:val="2"/>
        </w:numPr>
        <w:spacing w:after="100"/>
      </w:pPr>
      <w:r>
        <w:rPr>
          <w:rFonts w:ascii="Calibri" w:cs="Calibri" w:eastAsia="Calibri" w:hAnsi="Calibri"/>
          <w:sz w:val="22"/>
          <w:szCs w:val="22"/>
        </w:rPr>
        <w:t xml:space="preserve">Prefer the least-impact intervention that achieves hydrological validity. Constrained least-cost breaching is the default; filling and reconditioning are fallbacks used only where breaching cannot resolve a depression within resolution-adaptive cost limits.</w:t>
      </w:r>
    </w:p>
    <w:p>
      <w:pPr>
        <w:pStyle w:val="ListParagraph"/>
        <w:numPr>
          <w:ilvl w:val="0"/>
          <w:numId w:val="2"/>
        </w:numPr>
        <w:spacing w:after="100"/>
      </w:pPr>
      <w:r>
        <w:rPr>
          <w:rFonts w:ascii="Calibri" w:cs="Calibri" w:eastAsia="Calibri" w:hAnsi="Calibri"/>
          <w:sz w:val="22"/>
          <w:szCs w:val="22"/>
        </w:rPr>
        <w:t xml:space="preserve">Treat genuine closed basins as first-class hydrological objects. Where classification indicates a depression is real rather than an artifact, the framework preserves it topologically (via a depression-hierarchy representation) rather than erasing it, while still emitting a fully drained “hydrology-ready” surface for models that require one.</w:t>
      </w:r>
    </w:p>
    <w:p>
      <w:pPr>
        <w:pStyle w:val="ListParagraph"/>
        <w:numPr>
          <w:ilvl w:val="0"/>
          <w:numId w:val="2"/>
        </w:numPr>
        <w:spacing w:after="100"/>
      </w:pPr>
      <w:r>
        <w:rPr>
          <w:rFonts w:ascii="Calibri" w:cs="Calibri" w:eastAsia="Calibri" w:hAnsi="Calibri"/>
          <w:sz w:val="22"/>
          <w:szCs w:val="22"/>
        </w:rPr>
        <w:t xml:space="preserve">Adapt every threshold to the input DEM's resolution and stated (or estimated) vertical accuracy, rather than hard-coding values tuned to one data source.</w:t>
      </w:r>
    </w:p>
    <w:p>
      <w:pPr>
        <w:pStyle w:val="ListParagraph"/>
        <w:numPr>
          <w:ilvl w:val="0"/>
          <w:numId w:val="2"/>
        </w:numPr>
        <w:spacing w:after="100"/>
      </w:pPr>
      <w:r>
        <w:rPr>
          <w:rFonts w:ascii="Calibri" w:cs="Calibri" w:eastAsia="Calibri" w:hAnsi="Calibri"/>
          <w:sz w:val="22"/>
          <w:szCs w:val="22"/>
        </w:rPr>
        <w:t xml:space="preserve">Make every modification traceable. The pipeline emits, alongside the conditioned DEM, a cell-level audit raster and a structured metadata log sufficient for a peer reviewer to reconstruct and challenge every decision the pipeline made.</w:t>
      </w:r>
    </w:p>
    <w:p>
      <w:pPr>
        <w:pStyle w:val="Heading2"/>
        <w:spacing w:after="150" w:before="300"/>
      </w:pPr>
      <w:r>
        <w:t xml:space="preserve">5.2 Pipeline Overview</w:t>
      </w:r>
    </w:p>
    <w:p>
      <w:pPr>
        <w:spacing w:after="180" w:line="276"/>
        <w:jc w:val="both"/>
      </w:pPr>
      <w:r>
        <w:rPr>
          <w:rFonts w:ascii="Calibri" w:cs="Calibri" w:eastAsia="Calibri" w:hAnsi="Calibri"/>
          <w:b w:val="false"/>
          <w:bCs w:val="false"/>
          <w:i w:val="false"/>
          <w:iCs w:val="false"/>
          <w:sz w:val="22"/>
          <w:szCs w:val="22"/>
        </w:rPr>
        <w:t xml:space="preserve">The framework is organised as eight sequential stages, each independently configurable and independently testable, operating on a raster of any resolution and any coordinate reference system supported by GDAL. Figure 1 summarises the flow; the stage-by-stage specification follows in Section 5.3.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Stage 0  Ingestion &amp; QA        (CRS/units check, void detection, resolution &amp; accuracy metadata)</w:t>
            </w:r>
          </w:p>
          <w:p>
            <w:pPr>
              <w:spacing w:after="0"/>
            </w:pPr>
            <w:r>
              <w:rPr>
                <w:rFonts w:ascii="Consolas" w:cs="Consolas" w:eastAsia="Consolas" w:hAnsi="Consolas"/>
                <w:sz w:val="18"/>
                <w:szCs w:val="18"/>
              </w:rPr>
              <w:t xml:space="preserve">Stage 1  Artifact Correction   (vegetation/building bias, speckle/striping, void interpolation)</w:t>
            </w:r>
          </w:p>
          <w:p>
            <w:pPr>
              <w:spacing w:after="0"/>
            </w:pPr>
            <w:r>
              <w:rPr>
                <w:rFonts w:ascii="Consolas" w:cs="Consolas" w:eastAsia="Consolas" w:hAnsi="Consolas"/>
                <w:sz w:val="18"/>
                <w:szCs w:val="18"/>
              </w:rPr>
              <w:t xml:space="preserve">Stage 2  Controlled Smoothing  (optional, edge-preserving; resolution-scaled kernel)</w:t>
            </w:r>
          </w:p>
          <w:p>
            <w:pPr>
              <w:spacing w:after="0"/>
            </w:pPr>
            <w:r>
              <w:rPr>
                <w:rFonts w:ascii="Consolas" w:cs="Consolas" w:eastAsia="Consolas" w:hAnsi="Consolas"/>
                <w:sz w:val="18"/>
                <w:szCs w:val="18"/>
              </w:rPr>
              <w:t xml:space="preserve">Stage 3  Depression Delineation &amp; Hierarchy Construction</w:t>
            </w:r>
          </w:p>
          <w:p>
            <w:pPr>
              <w:spacing w:after="0"/>
            </w:pPr>
            <w:r>
              <w:rPr>
                <w:rFonts w:ascii="Consolas" w:cs="Consolas" w:eastAsia="Consolas" w:hAnsi="Consolas"/>
                <w:sz w:val="18"/>
                <w:szCs w:val="18"/>
              </w:rPr>
              <w:t xml:space="preserve">Stage 4  Depression Classification (artifact-likelihood scoring, resolution-adaptive)</w:t>
            </w:r>
          </w:p>
          <w:p>
            <w:pPr>
              <w:spacing w:after="0"/>
            </w:pPr>
            <w:r>
              <w:rPr>
                <w:rFonts w:ascii="Consolas" w:cs="Consolas" w:eastAsia="Consolas" w:hAnsi="Consolas"/>
                <w:sz w:val="18"/>
                <w:szCs w:val="18"/>
              </w:rPr>
              <w:t xml:space="preserve">Stage 5  Selective Flow Enforcement (constrained breach -&gt; hybrid fallback -&gt; preserve)</w:t>
            </w:r>
          </w:p>
          <w:p>
            <w:pPr>
              <w:spacing w:after="0"/>
            </w:pPr>
            <w:r>
              <w:rPr>
                <w:rFonts w:ascii="Consolas" w:cs="Consolas" w:eastAsia="Consolas" w:hAnsi="Consolas"/>
                <w:sz w:val="18"/>
                <w:szCs w:val="18"/>
              </w:rPr>
              <w:t xml:space="preserve">Stage 6  Flat Resolution        (Garbrecht-Martz dual gradient)</w:t>
            </w:r>
          </w:p>
          <w:p>
            <w:pPr>
              <w:spacing w:after="0"/>
            </w:pPr>
            <w:r>
              <w:rPr>
                <w:rFonts w:ascii="Consolas" w:cs="Consolas" w:eastAsia="Consolas" w:hAnsi="Consolas"/>
                <w:sz w:val="18"/>
                <w:szCs w:val="18"/>
              </w:rPr>
              <w:t xml:space="preserve">Stage 7  Hydrography Enforcement (optional; topology-aware, adaptive-depth burning)</w:t>
            </w:r>
          </w:p>
          <w:p>
            <w:pPr>
              <w:spacing w:after="0"/>
            </w:pPr>
            <w:r>
              <w:rPr>
                <w:rFonts w:ascii="Consolas" w:cs="Consolas" w:eastAsia="Consolas" w:hAnsi="Consolas"/>
                <w:sz w:val="18"/>
                <w:szCs w:val="18"/>
              </w:rPr>
              <w:t xml:space="preserve">Stage 8  Validation, QA &amp; Provenance Export</w:t>
            </w:r>
          </w:p>
        </w:tc>
      </w:tr>
    </w:tbl>
    <w:p>
      <w:pPr>
        <w:spacing w:after="240" w:before="80"/>
        <w:jc w:val="center"/>
      </w:pPr>
      <w:r>
        <w:rPr>
          <w:rFonts w:ascii="Calibri" w:cs="Calibri" w:eastAsia="Calibri" w:hAnsi="Calibri"/>
          <w:i/>
          <w:iCs/>
          <w:sz w:val="20"/>
          <w:szCs w:val="20"/>
        </w:rPr>
        <w:t xml:space="preserve">Figure 1. Eight-stage conditioning pipeline. Each stage reads and writes standard GeoTIFF/COG rasters plus a shared JSON provenance log, so any stage can be skipped, substituted, or re-run independently.</w:t>
      </w:r>
    </w:p>
    <w:p>
      <w:pPr>
        <w:pStyle w:val="Heading2"/>
        <w:spacing w:after="150" w:before="300"/>
      </w:pPr>
      <w:r>
        <w:t xml:space="preserve">5.3 Stage-by-Stage Specification</w:t>
      </w:r>
    </w:p>
    <w:p>
      <w:pPr>
        <w:pStyle w:val="Heading3"/>
        <w:spacing w:after="100" w:before="200"/>
      </w:pPr>
      <w:r>
        <w:t xml:space="preserve">Stage 0 — Ingestion and QA</w:t>
      </w:r>
    </w:p>
    <w:p>
      <w:pPr>
        <w:spacing w:after="180" w:line="276"/>
        <w:jc w:val="both"/>
      </w:pPr>
      <w:r>
        <w:rPr>
          <w:rFonts w:ascii="Calibri" w:cs="Calibri" w:eastAsia="Calibri" w:hAnsi="Calibri"/>
          <w:b w:val="false"/>
          <w:bCs w:val="false"/>
          <w:i w:val="false"/>
          <w:iCs w:val="false"/>
          <w:sz w:val="22"/>
          <w:szCs w:val="22"/>
        </w:rPr>
        <w:t xml:space="preserve">The DEM, its CRS, native resolution, and any accompanying metadata on vertical accuracy (a formal RMSE/LE90 figure where available, otherwise a conservative estimate keyed to the source type — e.g. ±0.1–0.3 m for LiDAR, ±3–5 m for SRTM/Copernicus-class products) are read and validated. Voids (no-data cells) are flagged and, where small and isolated, interpolated; large void regions are reported to the analyst rather than silently filled, since large voids typically indicate a genuine data-collection gap that no conditioning algorithm should paper over invisibly.</w:t>
      </w:r>
    </w:p>
    <w:p>
      <w:pPr>
        <w:pStyle w:val="Heading3"/>
        <w:spacing w:after="100" w:before="200"/>
      </w:pPr>
      <w:r>
        <w:t xml:space="preserve">Stage 1 — Artifact Correction</w:t>
      </w:r>
    </w:p>
    <w:p>
      <w:pPr>
        <w:spacing w:after="180" w:line="276"/>
        <w:jc w:val="both"/>
      </w:pPr>
      <w:r>
        <w:rPr>
          <w:rFonts w:ascii="Calibri" w:cs="Calibri" w:eastAsia="Calibri" w:hAnsi="Calibri"/>
          <w:b w:val="false"/>
          <w:bCs w:val="false"/>
          <w:i w:val="false"/>
          <w:iCs w:val="false"/>
          <w:sz w:val="22"/>
          <w:szCs w:val="22"/>
        </w:rPr>
        <w:t xml:space="preserve">Where a co-registered land-cover or canopy-height layer is available, a bias-correction model appropriate to the DEM source is applied: for LiDAR-derived DSMs without a delivered bare-earth product, a morphological ground filter (SMRF or progressive TIN densification, following Pingel et al., 2013 and Axelsson, 2000); for satellite photogrammetric or InSAR-class global DEMs, a statistical or gradient-boosted correction following the FABDEM/XGBoost-correction literature, or direct substitution with an existing bare-earth product (FABDEM, FathomDEM, GEDTM30) resampled to the analysis resolution where one is available and current. This stage also screens for speckle, striping, and scan-line noise characteristic of SAR/InSAR sources, using a robust local-outlier filter (median-absolute-deviation threshold on a local window) rather than a blanket smoothing pass, so that genuine sharp terrain breaks are not degraded.</w:t>
      </w:r>
    </w:p>
    <w:p>
      <w:pPr>
        <w:pStyle w:val="Heading3"/>
        <w:spacing w:after="100" w:before="200"/>
      </w:pPr>
      <w:r>
        <w:t xml:space="preserve">Stage 2 — Controlled Smoothing (optional)</w:t>
      </w:r>
    </w:p>
    <w:p>
      <w:pPr>
        <w:spacing w:after="180" w:line="276"/>
        <w:jc w:val="both"/>
      </w:pPr>
      <w:r>
        <w:rPr>
          <w:rFonts w:ascii="Calibri" w:cs="Calibri" w:eastAsia="Calibri" w:hAnsi="Calibri"/>
          <w:b w:val="false"/>
          <w:bCs w:val="false"/>
          <w:i w:val="false"/>
          <w:iCs w:val="false"/>
          <w:sz w:val="22"/>
          <w:szCs w:val="22"/>
        </w:rPr>
        <w:t xml:space="preserve">Applied only where Stage 1 diagnostics indicate residual high-frequency noise inconsistent with the DEM's stated vertical accuracy. An edge-preserving filter (e.g. anisotropic diffusion or a bilateral filter) is preferred over a uniform low-pass filter, because uniform smoothing is a well-documented source of new, synthetic depressions and ridges (the smoothing-filter depression-processing strategy critiqued in the 2019 review of Section 3.2). Kernel size and iteration count are scaled to the input resolution rather than fixed, so that the same configuration behaves sensibly on both 1 m and 30 m inputs.</w:t>
      </w:r>
    </w:p>
    <w:p>
      <w:pPr>
        <w:pStyle w:val="Heading3"/>
        <w:spacing w:after="100" w:before="200"/>
      </w:pPr>
      <w:r>
        <w:t xml:space="preserve">Stage 3 — Depression Delineation and Hierarchy Construction</w:t>
      </w:r>
    </w:p>
    <w:p>
      <w:pPr>
        <w:spacing w:after="180" w:line="276"/>
        <w:jc w:val="both"/>
      </w:pPr>
      <w:r>
        <w:rPr>
          <w:rFonts w:ascii="Calibri" w:cs="Calibri" w:eastAsia="Calibri" w:hAnsi="Calibri"/>
          <w:b w:val="false"/>
          <w:bCs w:val="false"/>
          <w:i w:val="false"/>
          <w:iCs w:val="false"/>
          <w:sz w:val="22"/>
          <w:szCs w:val="22"/>
        </w:rPr>
        <w:t xml:space="preserve">Every depression in the (now artifact-corrected) DEM is delineated using a Priority-Flood-style traversal (Barnes, Lehman &amp; Mulla, 2014), and the nested parent-child relationships among sub- and meta-depressions are recorded as a depression hierarchy graph following Barnes, Callaghan and Wickert (2020). This graph, not the raw list of pits, is the object that all subsequent stages operate on: it lets the framework reason about a depression's full nested structure (its true spill elevation, contributing sub-basins, and merge sequence) rather than treating each pit in isolation.</w:t>
      </w:r>
    </w:p>
    <w:p>
      <w:pPr>
        <w:pStyle w:val="Heading3"/>
        <w:spacing w:after="100" w:before="200"/>
      </w:pPr>
      <w:r>
        <w:t xml:space="preserve">Stage 4 — Depression Classification</w:t>
      </w:r>
    </w:p>
    <w:p>
      <w:pPr>
        <w:spacing w:after="180" w:line="276"/>
        <w:jc w:val="both"/>
      </w:pPr>
      <w:r>
        <w:rPr>
          <w:rFonts w:ascii="Calibri" w:cs="Calibri" w:eastAsia="Calibri" w:hAnsi="Calibri"/>
          <w:b w:val="false"/>
          <w:bCs w:val="false"/>
          <w:i w:val="false"/>
          <w:iCs w:val="false"/>
          <w:sz w:val="22"/>
          <w:szCs w:val="22"/>
        </w:rPr>
        <w:t xml:space="preserve">Each depression in the hierarchy is scored against a multi-criteria, resolution-adaptive artifact-likelihood function rather than a single depth or area threshold, directly addressing the first cross-cutting gap identified in Section 4. The score combines: (a) depth-to-vertical-accuracy ratio — a depression whose depth is within one to two vertical-accuracy units of the DEM's stated accuracy is scored as very likely to be noise, following the logic (though not the fixed threshold) of Lindsay and Creed (2006); (b) area-to-cell-size ratio, since single- or few-cell pits are disproportionately likely to be artifacts (Lindsay &amp; Dhun, 2015); (c) shape regularity, since long, narrow, linear sinks aligned with a road or watercourse are characteristic of culvert/bridge/embankment artifacts, while irregular, roughly circular basins are more characteristic of real kettle, pothole or doline morphology; (d) co-location with independent evidence — a road/rail vector layer, a bridge/culvert inventory, or a mapped hydrography line crossing the depression raises artifact likelihood, while co-location with a mapped wetland, lake, or karst-feature inventory lowers it; (e) land-cover context, since a depression coincident with a building footprint or dense canopy edge in a DSM-class input is scored as very likely to be a residual bias artifact; and (f), where a time series or multiple independent DEMs of the same area exist, cross-source consistency — a depression present in only one source is more likely to be an artifact of that source. Depressions scoring above an analyst-reviewable, resolution-adjusted threshold are routed to Stage 5 for elimination; those scoring below it are flagged for preservation; borderline cases are exported for analyst review rather than resolved automatically, consistent with the principle in Section 5.1 that classification is inspectable rather than a black box.</w:t>
      </w:r>
    </w:p>
    <w:p>
      <w:pPr>
        <w:pStyle w:val="Heading3"/>
        <w:spacing w:after="100" w:before="200"/>
      </w:pPr>
      <w:r>
        <w:t xml:space="preserve">Stage 5 — Selective Flow Enforcement</w:t>
      </w:r>
    </w:p>
    <w:p>
      <w:pPr>
        <w:spacing w:after="180" w:line="276"/>
        <w:jc w:val="both"/>
      </w:pPr>
      <w:r>
        <w:rPr>
          <w:rFonts w:ascii="Calibri" w:cs="Calibri" w:eastAsia="Calibri" w:hAnsi="Calibri"/>
          <w:b w:val="false"/>
          <w:bCs w:val="false"/>
          <w:i w:val="false"/>
          <w:iCs w:val="false"/>
          <w:sz w:val="22"/>
          <w:szCs w:val="22"/>
        </w:rPr>
        <w:t xml:space="preserve">Depressions classified as artifacts are resolved using the hybrid strategy validated by Lindsay (2016): constrained least-cost breaching is attempted first, subject to a maximum breach length and depth scaled to the DEM's resolution and to the depression's own dimensions; where no breach path satisfies these constraints within a bounded search cost, the algorithm falls back to filling, confined strictly to that depression's footprint. Isolated single-cell pits are resolved by simple de-pitting rather than full breaching, following Lindsay and Dhun (2015), since the literature is consistent that breaching machinery is unnecessary overhead for this common, trivial case. Depressions classified as real are not elevation-modified at all; instead, a parallel, fully drained “hydrology-ready” surface is derived for flow-routing consumers that need one, by applying the same breach/fill logic to a copy of the DEM, while the depression-hierarchy graph and the original, un-modified elevation values are retained and delivered alongside it, so that any application requiring true depression storage and spill dynamics (e.g. SPILL- or WDPM-style modelling, following Shaw et al., 2013 and Shook et al., 2011) can use the un-flattened surface plus hierarchy directly.</w:t>
      </w:r>
    </w:p>
    <w:p>
      <w:pPr>
        <w:pStyle w:val="Heading3"/>
        <w:spacing w:after="100" w:before="200"/>
      </w:pPr>
      <w:r>
        <w:t xml:space="preserve">Stage 6 — Flat Resolution</w:t>
      </w:r>
    </w:p>
    <w:p>
      <w:pPr>
        <w:spacing w:after="180" w:line="276"/>
        <w:jc w:val="both"/>
      </w:pPr>
      <w:r>
        <w:rPr>
          <w:rFonts w:ascii="Calibri" w:cs="Calibri" w:eastAsia="Calibri" w:hAnsi="Calibri"/>
          <w:b w:val="false"/>
          <w:bCs w:val="false"/>
          <w:i w:val="false"/>
          <w:iCs w:val="false"/>
          <w:sz w:val="22"/>
          <w:szCs w:val="22"/>
        </w:rPr>
        <w:t xml:space="preserve">Any residual flat surfaces — whether inherited from the source DEM or introduced by Stage 5's filling fallback — are resolved with the Garbrecht-Martz (1997) dual-gradient method, implemented so that the imposed synthetic gradient magnitude scales with, and stays strictly below, the DEM's per-cell vertical resolution, preventing the flat-resolution step from introducing a slope signal larger than the data can actually support.</w:t>
      </w:r>
    </w:p>
    <w:p>
      <w:pPr>
        <w:pStyle w:val="Heading3"/>
        <w:spacing w:after="100" w:before="200"/>
      </w:pPr>
      <w:r>
        <w:t xml:space="preserve">Stage 7 — Hydrography Enforcement (optional)</w:t>
      </w:r>
    </w:p>
    <w:p>
      <w:pPr>
        <w:spacing w:after="180" w:line="276"/>
        <w:jc w:val="both"/>
      </w:pPr>
      <w:r>
        <w:rPr>
          <w:rFonts w:ascii="Calibri" w:cs="Calibri" w:eastAsia="Calibri" w:hAnsi="Calibri"/>
          <w:b w:val="false"/>
          <w:bCs w:val="false"/>
          <w:i w:val="false"/>
          <w:iCs w:val="false"/>
          <w:sz w:val="22"/>
          <w:szCs w:val="22"/>
        </w:rPr>
        <w:t xml:space="preserve">Where a trusted vector hydrography layer is supplied and the analyst opts in, drainage is enforced using an adaptive, topology-aware method following Soille, Vogt and Colombo (2003) and Lindsay's (2016) TopologicalBreachBurn: the vector network is first pruned/prioritised by upstream channel length or contributing area to match the raster's resolution, burning is applied only where the DEM-derived flow path already diverges materially from the mapped channel (not uniformly along the whole network), and burn depth is scaled continuously with contributing area rather than fixed, directly addressing AGREE's documented parallel-stream failure mode (Section 3.4). This stage is explicitly optional and off by default, since it introduces a dependency on external data whose own positional accuracy the pipeline cannot verify.</w:t>
      </w:r>
    </w:p>
    <w:p>
      <w:pPr>
        <w:pStyle w:val="Heading3"/>
        <w:spacing w:after="100" w:before="200"/>
      </w:pPr>
      <w:r>
        <w:t xml:space="preserve">Stage 8 — Validation, QA and Provenance Export</w:t>
      </w:r>
    </w:p>
    <w:p>
      <w:pPr>
        <w:spacing w:after="180" w:line="276"/>
        <w:jc w:val="both"/>
      </w:pPr>
      <w:r>
        <w:rPr>
          <w:rFonts w:ascii="Calibri" w:cs="Calibri" w:eastAsia="Calibri" w:hAnsi="Calibri"/>
          <w:b w:val="false"/>
          <w:bCs w:val="false"/>
          <w:i w:val="false"/>
          <w:iCs w:val="false"/>
          <w:sz w:val="22"/>
          <w:szCs w:val="22"/>
        </w:rPr>
        <w:t xml:space="preserve">The pipeline computes and reports, for every run: the percentage of cells modified and the elevation-volume change introduced by each stage individually; a comparison of derived stream network position and drainage density against any available reference hydrography; flow-accumulation and watershed-boundary stability under a small perturbation of the classification threshold (a sensitivity check directly analogous to the acceleration-ratio and impact metrics used in the recent algorithmic-efficiency literature); and a full per-depression audit table recording the classification score, decision, and method applied. This audit table, together with the unmodified and conditioned DEMs, constitutes the complete evidence package a peer reviewer needs to independently assess the appropriateness of every change the pipeline made.</w:t>
      </w:r>
    </w:p>
    <w:p>
      <w:pPr>
        <w:pStyle w:val="Heading2"/>
        <w:spacing w:after="150" w:before="300"/>
      </w:pPr>
      <w:r>
        <w:t xml:space="preserve">5.4 Why This Synthesis, and Not Simply ‘Use WhiteboxTools’ Defaults</w:t>
      </w:r>
    </w:p>
    <w:p>
      <w:pPr>
        <w:spacing w:after="180" w:line="276"/>
        <w:jc w:val="both"/>
      </w:pPr>
      <w:r>
        <w:rPr>
          <w:rFonts w:ascii="Calibri" w:cs="Calibri" w:eastAsia="Calibri" w:hAnsi="Calibri"/>
          <w:b w:val="false"/>
          <w:bCs w:val="false"/>
          <w:i w:val="false"/>
          <w:iCs w:val="false"/>
          <w:sz w:val="22"/>
          <w:szCs w:val="22"/>
        </w:rPr>
        <w:t xml:space="preserve">Every individual algorithm referenced in Section 5.3 already exists in the literature and, in most cases, in at least one open-source tool. What does not yet exist, to our knowledge, in either the academic literature or in any single production tool, is the combination of (a) an explicit, inspectable, resolution-adaptive classification stage placed before any elevation modification; (b) a hard separation between the artifact-corrected, un-flattened DEM (delivered with its depression hierarchy intact, for applications that need true depression dynamics) and a hydrology-ready, fully drained derivative (for applications that need guaranteed downhill connectivity); and (c) a provenance export treated as a required pipeline output rather than an optional research-evaluation step. This is the specific, addressable gap identified in Section 4, and it is what “building on the strengths and addressing the weaknesses” of the existing literature concretely means in this framework, rather than a claim to have invented new low-level algorithms where mature ones (Priority-Flood, least-cost breaching, Garbrecht-Martz, depression hierarchy) already exist and perform well.</w:t>
      </w:r>
    </w:p>
    <w:p>
      <w:pPr>
        <w:pStyle w:val="Heading1"/>
        <w:spacing w:after="200" w:before="400"/>
      </w:pPr>
      <w:r>
        <w:t xml:space="preserve">6. Reference Python Architecture</w:t>
      </w:r>
    </w:p>
    <w:p>
      <w:pPr>
        <w:pStyle w:val="Heading2"/>
        <w:spacing w:after="150" w:before="300"/>
      </w:pPr>
      <w:r>
        <w:t xml:space="preserve">6.1 Library Stack</w:t>
      </w:r>
    </w:p>
    <w:p>
      <w:pPr>
        <w:spacing w:after="180" w:line="276"/>
        <w:jc w:val="both"/>
      </w:pPr>
      <w:r>
        <w:rPr>
          <w:rFonts w:ascii="Calibri" w:cs="Calibri" w:eastAsia="Calibri" w:hAnsi="Calibri"/>
          <w:b w:val="false"/>
          <w:bCs w:val="false"/>
          <w:i w:val="false"/>
          <w:iCs w:val="false"/>
          <w:sz w:val="22"/>
          <w:szCs w:val="22"/>
        </w:rPr>
        <w:t xml:space="preserve">The reference implementation is deliberately built on established, actively maintained open-source components rather than reimplementing low-level raster algorithms from scratch, consistent with the principle that peer-reviewable software should rely on independently validated building blocks wherever they exist.</w:t>
      </w:r>
    </w:p>
    <w:p>
      <w:pPr>
        <w:pStyle w:val="ListParagraph"/>
        <w:numPr>
          <w:ilvl w:val="0"/>
          <w:numId w:val="3"/>
        </w:numPr>
        <w:spacing w:after="100"/>
      </w:pPr>
      <w:r>
        <w:rPr>
          <w:rFonts w:ascii="Calibri" w:cs="Calibri" w:eastAsia="Calibri" w:hAnsi="Calibri"/>
          <w:sz w:val="22"/>
          <w:szCs w:val="22"/>
        </w:rPr>
        <w:t xml:space="preserve">rasterio / GDAL — I/O, CRS handling, windowed/tiled reading for arbitrarily large rasters.</w:t>
      </w:r>
    </w:p>
    <w:p>
      <w:pPr>
        <w:pStyle w:val="ListParagraph"/>
        <w:numPr>
          <w:ilvl w:val="0"/>
          <w:numId w:val="3"/>
        </w:numPr>
        <w:spacing w:after="100"/>
      </w:pPr>
      <w:r>
        <w:rPr>
          <w:rFonts w:ascii="Calibri" w:cs="Calibri" w:eastAsia="Calibri" w:hAnsi="Calibri"/>
          <w:sz w:val="22"/>
          <w:szCs w:val="22"/>
        </w:rPr>
        <w:t xml:space="preserve">numpy / scipy — array operations, the edge-preserving smoothing filters in Stage 2, and the statistical outlier screening in Stage 1.</w:t>
      </w:r>
    </w:p>
    <w:p>
      <w:pPr>
        <w:pStyle w:val="ListParagraph"/>
        <w:numPr>
          <w:ilvl w:val="0"/>
          <w:numId w:val="3"/>
        </w:numPr>
        <w:spacing w:after="100"/>
      </w:pPr>
      <w:r>
        <w:rPr>
          <w:rFonts w:ascii="Calibri" w:cs="Calibri" w:eastAsia="Calibri" w:hAnsi="Calibri"/>
          <w:sz w:val="22"/>
          <w:szCs w:val="22"/>
        </w:rPr>
        <w:t xml:space="preserve">richdem — Priority-Flood depression filling and breaching primitives (Stage 3/5 building blocks), with a native NumPy interface.</w:t>
      </w:r>
    </w:p>
    <w:p>
      <w:pPr>
        <w:pStyle w:val="ListParagraph"/>
        <w:numPr>
          <w:ilvl w:val="0"/>
          <w:numId w:val="3"/>
        </w:numPr>
        <w:spacing w:after="100"/>
      </w:pPr>
      <w:r>
        <w:rPr>
          <w:rFonts w:ascii="Calibri" w:cs="Calibri" w:eastAsia="Calibri" w:hAnsi="Calibri"/>
          <w:sz w:val="22"/>
          <w:szCs w:val="22"/>
        </w:rPr>
        <w:t xml:space="preserve">whitebox (WhiteboxTools Python front-end) — least-cost breaching, the efficient hybrid breach-fill method, Garbrecht-Martz flat resolution, and topology-aware stream burning (Stage 5–7), invoked as a subprocess-backed library call.</w:t>
      </w:r>
    </w:p>
    <w:p>
      <w:pPr>
        <w:pStyle w:val="ListParagraph"/>
        <w:numPr>
          <w:ilvl w:val="0"/>
          <w:numId w:val="3"/>
        </w:numPr>
        <w:spacing w:after="100"/>
      </w:pPr>
      <w:r>
        <w:rPr>
          <w:rFonts w:ascii="Calibri" w:cs="Calibri" w:eastAsia="Calibri" w:hAnsi="Calibri"/>
          <w:sz w:val="22"/>
          <w:szCs w:val="22"/>
        </w:rPr>
        <w:t xml:space="preserve">networkx — depression-hierarchy graph construction and traversal (Stage 3–4).</w:t>
      </w:r>
    </w:p>
    <w:p>
      <w:pPr>
        <w:pStyle w:val="ListParagraph"/>
        <w:numPr>
          <w:ilvl w:val="0"/>
          <w:numId w:val="3"/>
        </w:numPr>
        <w:spacing w:after="100"/>
      </w:pPr>
      <w:r>
        <w:rPr>
          <w:rFonts w:ascii="Calibri" w:cs="Calibri" w:eastAsia="Calibri" w:hAnsi="Calibri"/>
          <w:sz w:val="22"/>
          <w:szCs w:val="22"/>
        </w:rPr>
        <w:t xml:space="preserve">geopandas / shapely — vector hydrography and land-cover context handling for Stage 4's independent-evidence criterion and Stage 7's burning.</w:t>
      </w:r>
    </w:p>
    <w:p>
      <w:pPr>
        <w:pStyle w:val="ListParagraph"/>
        <w:numPr>
          <w:ilvl w:val="0"/>
          <w:numId w:val="3"/>
        </w:numPr>
        <w:spacing w:after="100"/>
      </w:pPr>
      <w:r>
        <w:rPr>
          <w:rFonts w:ascii="Calibri" w:cs="Calibri" w:eastAsia="Calibri" w:hAnsi="Calibri"/>
          <w:sz w:val="22"/>
          <w:szCs w:val="22"/>
        </w:rPr>
        <w:t xml:space="preserve">scikit-learn (optional) — the artifact-likelihood scoring function in Stage 4 and any learned bias-correction model in Stage 1 can be implemented as a scikit-learn estimator, so that classification thresholds can be calibrated against labelled training depressions where an analyst has hand-verified examples, rather than left as fixed constants.</w:t>
      </w:r>
    </w:p>
    <w:p>
      <w:pPr>
        <w:pStyle w:val="Heading2"/>
        <w:spacing w:after="150" w:before="300"/>
      </w:pPr>
      <w:r>
        <w:t xml:space="preserve">6.2 Pipeline Class Design</w:t>
      </w:r>
    </w:p>
    <w:p>
      <w:pPr>
        <w:spacing w:after="180" w:line="276"/>
        <w:jc w:val="both"/>
      </w:pPr>
      <w:r>
        <w:rPr>
          <w:rFonts w:ascii="Calibri" w:cs="Calibri" w:eastAsia="Calibri" w:hAnsi="Calibri"/>
          <w:b w:val="false"/>
          <w:bCs w:val="false"/>
          <w:i w:val="false"/>
          <w:iCs w:val="false"/>
          <w:sz w:val="22"/>
          <w:szCs w:val="22"/>
        </w:rPr>
        <w:t xml:space="preserve">The implementation is organised as a chain of small, independently testable stage classes sharing a common context object, rather than as one monolithic function, so that any stage can be swapped, mocked in unit tests, or disabled entirely.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 dem_conditioning/pipeline.py</w:t>
            </w:r>
          </w:p>
          <w:p>
            <w:pPr>
              <w:spacing w:after="0"/>
            </w:pPr>
            <w:r>
              <w:rPr>
                <w:rFonts w:ascii="Consolas" w:cs="Consolas" w:eastAsia="Consolas" w:hAnsi="Consolas"/>
                <w:sz w:val="18"/>
                <w:szCs w:val="18"/>
              </w:rPr>
              <w:t xml:space="preserve">from dataclasses import dataclass, field</w:t>
            </w:r>
          </w:p>
          <w:p>
            <w:pPr>
              <w:spacing w:after="0"/>
            </w:pPr>
            <w:r>
              <w:rPr>
                <w:rFonts w:ascii="Consolas" w:cs="Consolas" w:eastAsia="Consolas" w:hAnsi="Consolas"/>
                <w:sz w:val="18"/>
                <w:szCs w:val="18"/>
              </w:rPr>
              <w:t xml:space="preserve">from pathlib import Path</w:t>
            </w:r>
          </w:p>
          <w:p>
            <w:pPr>
              <w:spacing w:after="0"/>
            </w:pPr>
            <w:r>
              <w:rPr>
                <w:rFonts w:ascii="Consolas" w:cs="Consolas" w:eastAsia="Consolas" w:hAnsi="Consolas"/>
                <w:sz w:val="18"/>
                <w:szCs w:val="18"/>
              </w:rPr>
              <w:t xml:space="preserve">import numpy as np, rasterio</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@dataclass</w:t>
            </w:r>
          </w:p>
          <w:p>
            <w:pPr>
              <w:spacing w:after="0"/>
            </w:pPr>
            <w:r>
              <w:rPr>
                <w:rFonts w:ascii="Consolas" w:cs="Consolas" w:eastAsia="Consolas" w:hAnsi="Consolas"/>
                <w:sz w:val="18"/>
                <w:szCs w:val="18"/>
              </w:rPr>
              <w:t xml:space="preserve">class DEMContext:</w:t>
            </w:r>
          </w:p>
          <w:p>
            <w:pPr>
              <w:spacing w:after="0"/>
            </w:pPr>
            <w:r>
              <w:rPr>
                <w:rFonts w:ascii="Consolas" w:cs="Consolas" w:eastAsia="Consolas" w:hAnsi="Consolas"/>
                <w:sz w:val="18"/>
                <w:szCs w:val="18"/>
              </w:rPr>
              <w:t xml:space="preserve">    """Shared state passed between pipeline stages."""</w:t>
            </w:r>
          </w:p>
          <w:p>
            <w:pPr>
              <w:spacing w:after="0"/>
            </w:pPr>
            <w:r>
              <w:rPr>
                <w:rFonts w:ascii="Consolas" w:cs="Consolas" w:eastAsia="Consolas" w:hAnsi="Consolas"/>
                <w:sz w:val="18"/>
                <w:szCs w:val="18"/>
              </w:rPr>
              <w:t xml:space="preserve">    array: np.ndarray</w:t>
            </w:r>
          </w:p>
          <w:p>
            <w:pPr>
              <w:spacing w:after="0"/>
            </w:pPr>
            <w:r>
              <w:rPr>
                <w:rFonts w:ascii="Consolas" w:cs="Consolas" w:eastAsia="Consolas" w:hAnsi="Consolas"/>
                <w:sz w:val="18"/>
                <w:szCs w:val="18"/>
              </w:rPr>
              <w:t xml:space="preserve">    transform: object          # rasterio Affine</w:t>
            </w:r>
          </w:p>
          <w:p>
            <w:pPr>
              <w:spacing w:after="0"/>
            </w:pPr>
            <w:r>
              <w:rPr>
                <w:rFonts w:ascii="Consolas" w:cs="Consolas" w:eastAsia="Consolas" w:hAnsi="Consolas"/>
                <w:sz w:val="18"/>
                <w:szCs w:val="18"/>
              </w:rPr>
              <w:t xml:space="preserve">    crs: object</w:t>
            </w:r>
          </w:p>
          <w:p>
            <w:pPr>
              <w:spacing w:after="0"/>
            </w:pPr>
            <w:r>
              <w:rPr>
                <w:rFonts w:ascii="Consolas" w:cs="Consolas" w:eastAsia="Consolas" w:hAnsi="Consolas"/>
                <w:sz w:val="18"/>
                <w:szCs w:val="18"/>
              </w:rPr>
              <w:t xml:space="preserve">    cell_size: float</w:t>
            </w:r>
          </w:p>
          <w:p>
            <w:pPr>
              <w:spacing w:after="0"/>
            </w:pPr>
            <w:r>
              <w:rPr>
                <w:rFonts w:ascii="Consolas" w:cs="Consolas" w:eastAsia="Consolas" w:hAnsi="Consolas"/>
                <w:sz w:val="18"/>
                <w:szCs w:val="18"/>
              </w:rPr>
              <w:t xml:space="preserve">    vertical_accuracy: float   # metres, RMSE or estimate</w:t>
            </w:r>
          </w:p>
          <w:p>
            <w:pPr>
              <w:spacing w:after="0"/>
            </w:pPr>
            <w:r>
              <w:rPr>
                <w:rFonts w:ascii="Consolas" w:cs="Consolas" w:eastAsia="Consolas" w:hAnsi="Consolas"/>
                <w:sz w:val="18"/>
                <w:szCs w:val="18"/>
              </w:rPr>
              <w:t xml:space="preserve">    nodata: float</w:t>
            </w:r>
          </w:p>
          <w:p>
            <w:pPr>
              <w:spacing w:after="0"/>
            </w:pPr>
            <w:r>
              <w:rPr>
                <w:rFonts w:ascii="Consolas" w:cs="Consolas" w:eastAsia="Consolas" w:hAnsi="Consolas"/>
                <w:sz w:val="18"/>
                <w:szCs w:val="18"/>
              </w:rPr>
              <w:t xml:space="preserve">    audit: list = field(default_factory=list)   # provenance log entries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def log(self, stage: str, message: str, **kw):</w:t>
            </w:r>
          </w:p>
          <w:p>
            <w:pPr>
              <w:spacing w:after="0"/>
            </w:pPr>
            <w:r>
              <w:rPr>
                <w:rFonts w:ascii="Consolas" w:cs="Consolas" w:eastAsia="Consolas" w:hAnsi="Consolas"/>
                <w:sz w:val="18"/>
                <w:szCs w:val="18"/>
              </w:rPr>
              <w:t xml:space="preserve">        self.audit.append({"stage": stage, "message": message, **kw})</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class Stage:</w:t>
            </w:r>
          </w:p>
          <w:p>
            <w:pPr>
              <w:spacing w:after="0"/>
            </w:pPr>
            <w:r>
              <w:rPr>
                <w:rFonts w:ascii="Consolas" w:cs="Consolas" w:eastAsia="Consolas" w:hAnsi="Consolas"/>
                <w:sz w:val="18"/>
                <w:szCs w:val="18"/>
              </w:rPr>
              <w:t xml:space="preserve">    name = "base"</w:t>
            </w:r>
          </w:p>
          <w:p>
            <w:pPr>
              <w:spacing w:after="0"/>
            </w:pPr>
            <w:r>
              <w:rPr>
                <w:rFonts w:ascii="Consolas" w:cs="Consolas" w:eastAsia="Consolas" w:hAnsi="Consolas"/>
                <w:sz w:val="18"/>
                <w:szCs w:val="18"/>
              </w:rPr>
              <w:t xml:space="preserve">    def run(self, ctx: DEMContext) -&gt; DEMContext:</w:t>
            </w:r>
          </w:p>
          <w:p>
            <w:pPr>
              <w:spacing w:after="0"/>
            </w:pPr>
            <w:r>
              <w:rPr>
                <w:rFonts w:ascii="Consolas" w:cs="Consolas" w:eastAsia="Consolas" w:hAnsi="Consolas"/>
                <w:sz w:val="18"/>
                <w:szCs w:val="18"/>
              </w:rPr>
              <w:t xml:space="preserve">        raise NotImplementedError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class ConditioningPipeline:</w:t>
            </w:r>
          </w:p>
          <w:p>
            <w:pPr>
              <w:spacing w:after="0"/>
            </w:pPr>
            <w:r>
              <w:rPr>
                <w:rFonts w:ascii="Consolas" w:cs="Consolas" w:eastAsia="Consolas" w:hAnsi="Consolas"/>
                <w:sz w:val="18"/>
                <w:szCs w:val="18"/>
              </w:rPr>
              <w:t xml:space="preserve">    def __init__(self, stages: list[Stage]):</w:t>
            </w:r>
          </w:p>
          <w:p>
            <w:pPr>
              <w:spacing w:after="0"/>
            </w:pPr>
            <w:r>
              <w:rPr>
                <w:rFonts w:ascii="Consolas" w:cs="Consolas" w:eastAsia="Consolas" w:hAnsi="Consolas"/>
                <w:sz w:val="18"/>
                <w:szCs w:val="18"/>
              </w:rPr>
              <w:t xml:space="preserve">        self.stages = stages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def run(self, dem_path: str, out_dir: str) -&gt; DEMContext:</w:t>
            </w:r>
          </w:p>
          <w:p>
            <w:pPr>
              <w:spacing w:after="0"/>
            </w:pPr>
            <w:r>
              <w:rPr>
                <w:rFonts w:ascii="Consolas" w:cs="Consolas" w:eastAsia="Consolas" w:hAnsi="Consolas"/>
                <w:sz w:val="18"/>
                <w:szCs w:val="18"/>
              </w:rPr>
              <w:t xml:space="preserve">        ctx = load_dem(dem_path)                 # -&gt; DEMContext, Stage 0</w:t>
            </w:r>
          </w:p>
          <w:p>
            <w:pPr>
              <w:spacing w:after="0"/>
            </w:pPr>
            <w:r>
              <w:rPr>
                <w:rFonts w:ascii="Consolas" w:cs="Consolas" w:eastAsia="Consolas" w:hAnsi="Consolas"/>
                <w:sz w:val="18"/>
                <w:szCs w:val="18"/>
              </w:rPr>
              <w:t xml:space="preserve">        for stage in self.stages:</w:t>
            </w:r>
          </w:p>
          <w:p>
            <w:pPr>
              <w:spacing w:after="0"/>
            </w:pPr>
            <w:r>
              <w:rPr>
                <w:rFonts w:ascii="Consolas" w:cs="Consolas" w:eastAsia="Consolas" w:hAnsi="Consolas"/>
                <w:sz w:val="18"/>
                <w:szCs w:val="18"/>
              </w:rPr>
              <w:t xml:space="preserve">            ctx = stage.run(ctx)</w:t>
            </w:r>
          </w:p>
          <w:p>
            <w:pPr>
              <w:spacing w:after="0"/>
            </w:pPr>
            <w:r>
              <w:rPr>
                <w:rFonts w:ascii="Consolas" w:cs="Consolas" w:eastAsia="Consolas" w:hAnsi="Consolas"/>
                <w:sz w:val="18"/>
                <w:szCs w:val="18"/>
              </w:rPr>
              <w:t xml:space="preserve">        export_results(ctx, Path(out_dir))       # conditioned DEM + audit log</w:t>
            </w:r>
          </w:p>
          <w:p>
            <w:pPr>
              <w:spacing w:after="0"/>
            </w:pPr>
            <w:r>
              <w:rPr>
                <w:rFonts w:ascii="Consolas" w:cs="Consolas" w:eastAsia="Consolas" w:hAnsi="Consolas"/>
                <w:sz w:val="18"/>
                <w:szCs w:val="18"/>
              </w:rPr>
              <w:t xml:space="preserve">        return ctx</w:t>
            </w:r>
          </w:p>
        </w:tc>
      </w:tr>
    </w:tbl>
    <w:p>
      <w:pPr>
        <w:spacing w:after="240" w:before="80"/>
        <w:jc w:val="center"/>
      </w:pPr>
      <w:r>
        <w:rPr>
          <w:rFonts w:ascii="Calibri" w:cs="Calibri" w:eastAsia="Calibri" w:hAnsi="Calibri"/>
          <w:i/>
          <w:iCs/>
          <w:sz w:val="20"/>
          <w:szCs w:val="20"/>
        </w:rPr>
        <w:t xml:space="preserve">Listing 1. Top-level pipeline skeleton. Each concrete Stage subclass implements one row of Figure 1.</w:t>
      </w:r>
    </w:p>
    <w:p>
      <w:pPr>
        <w:spacing w:after="180" w:line="276"/>
        <w:jc w:val="both"/>
      </w:pPr>
      <w:r>
        <w:rPr>
          <w:rFonts w:ascii="Calibri" w:cs="Calibri" w:eastAsia="Calibri" w:hAnsi="Calibri"/>
          <w:b w:val="false"/>
          <w:bCs w:val="false"/>
          <w:i w:val="false"/>
          <w:iCs w:val="false"/>
          <w:sz w:val="22"/>
          <w:szCs w:val="22"/>
        </w:rPr>
        <w:t xml:space="preserve">Depression classification (Stage 4), the methodologically novel component of this framework, is implemented as an explicit, inspectable scoring function operating on the depression-hierarchy graph produced in Stage 3, illustrated in Listing 2. In production the fixed weights shown would be replaced by a calibrated scikit-learn classifier trained on analyst-labelled examples, but the additive, feature-by-feature structure is retained regardless, precisely so that any individual score remains auditable by a reviewer rather than opaque.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 dem_conditioning/classify.py</w:t>
            </w:r>
          </w:p>
          <w:p>
            <w:pPr>
              <w:spacing w:after="0"/>
            </w:pPr>
            <w:r>
              <w:rPr>
                <w:rFonts w:ascii="Consolas" w:cs="Consolas" w:eastAsia="Consolas" w:hAnsi="Consolas"/>
                <w:sz w:val="18"/>
                <w:szCs w:val="18"/>
              </w:rPr>
              <w:t xml:space="preserve">def artifact_likelihood(depression, ctx: DEMContext, evidence) -&gt; float:</w:t>
            </w:r>
          </w:p>
          <w:p>
            <w:pPr>
              <w:spacing w:after="0"/>
            </w:pPr>
            <w:r>
              <w:rPr>
                <w:rFonts w:ascii="Consolas" w:cs="Consolas" w:eastAsia="Consolas" w:hAnsi="Consolas"/>
                <w:sz w:val="18"/>
                <w:szCs w:val="18"/>
              </w:rPr>
              <w:t xml:space="preserve">    """Return a 0-1 score; higher = more likely to be an artifact.</w:t>
            </w:r>
          </w:p>
          <w:p>
            <w:pPr>
              <w:spacing w:after="0"/>
            </w:pPr>
            <w:r>
              <w:rPr>
                <w:rFonts w:ascii="Consolas" w:cs="Consolas" w:eastAsia="Consolas" w:hAnsi="Consolas"/>
                <w:sz w:val="18"/>
                <w:szCs w:val="18"/>
              </w:rPr>
              <w:t xml:space="preserve">    `depression` carries depth, area_cells, footprint geometry, from the</w:t>
            </w:r>
          </w:p>
          <w:p>
            <w:pPr>
              <w:spacing w:after="0"/>
            </w:pPr>
            <w:r>
              <w:rPr>
                <w:rFonts w:ascii="Consolas" w:cs="Consolas" w:eastAsia="Consolas" w:hAnsi="Consolas"/>
                <w:sz w:val="18"/>
                <w:szCs w:val="18"/>
              </w:rPr>
              <w:t xml:space="preserve">    hierarchy built in Stage 3. `evidence` bundles optional vector layers</w:t>
            </w:r>
          </w:p>
          <w:p>
            <w:pPr>
              <w:spacing w:after="0"/>
            </w:pPr>
            <w:r>
              <w:rPr>
                <w:rFonts w:ascii="Consolas" w:cs="Consolas" w:eastAsia="Consolas" w:hAnsi="Consolas"/>
                <w:sz w:val="18"/>
                <w:szCs w:val="18"/>
              </w:rPr>
              <w:t xml:space="preserve">    (roads, bridges, mapped hydrography, wetlands/karst inventories)."""</w:t>
            </w:r>
          </w:p>
          <w:p>
            <w:pPr>
              <w:spacing w:after="0"/>
            </w:pPr>
            <w:r>
              <w:rPr>
                <w:rFonts w:ascii="Consolas" w:cs="Consolas" w:eastAsia="Consolas" w:hAnsi="Consolas"/>
                <w:sz w:val="18"/>
                <w:szCs w:val="18"/>
              </w:rPr>
              <w:t xml:space="preserve">    score, weight_sum = 0.0, 0.0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(a) depth relative to stated vertical accuracy</w:t>
            </w:r>
          </w:p>
          <w:p>
            <w:pPr>
              <w:spacing w:after="0"/>
            </w:pPr>
            <w:r>
              <w:rPr>
                <w:rFonts w:ascii="Consolas" w:cs="Consolas" w:eastAsia="Consolas" w:hAnsi="Consolas"/>
                <w:sz w:val="18"/>
                <w:szCs w:val="18"/>
              </w:rPr>
              <w:t xml:space="preserve">    depth_ratio = depression.depth / max(ctx.vertical_accuracy, 1e-6)</w:t>
            </w:r>
          </w:p>
          <w:p>
            <w:pPr>
              <w:spacing w:after="0"/>
            </w:pPr>
            <w:r>
              <w:rPr>
                <w:rFonts w:ascii="Consolas" w:cs="Consolas" w:eastAsia="Consolas" w:hAnsi="Consolas"/>
                <w:sz w:val="18"/>
                <w:szCs w:val="18"/>
              </w:rPr>
              <w:t xml:space="preserve">    score += 0.30 * sigmoid(2.0 - depth_ratio); weight_sum += 0.30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(b) area relative to cell size - isolated pits score high</w:t>
            </w:r>
          </w:p>
          <w:p>
            <w:pPr>
              <w:spacing w:after="0"/>
            </w:pPr>
            <w:r>
              <w:rPr>
                <w:rFonts w:ascii="Consolas" w:cs="Consolas" w:eastAsia="Consolas" w:hAnsi="Consolas"/>
                <w:sz w:val="18"/>
                <w:szCs w:val="18"/>
              </w:rPr>
              <w:t xml:space="preserve">    area_ratio = depression.area_cells</w:t>
            </w:r>
          </w:p>
          <w:p>
            <w:pPr>
              <w:spacing w:after="0"/>
            </w:pPr>
            <w:r>
              <w:rPr>
                <w:rFonts w:ascii="Consolas" w:cs="Consolas" w:eastAsia="Consolas" w:hAnsi="Consolas"/>
                <w:sz w:val="18"/>
                <w:szCs w:val="18"/>
              </w:rPr>
              <w:t xml:space="preserve">    score += 0.15 * sigmoid(3.0 - area_ratio); weight_sum += 0.15</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(c) shape regularity - elongated/linear -&gt; road, culvert, embankment</w:t>
            </w:r>
          </w:p>
          <w:p>
            <w:pPr>
              <w:spacing w:after="0"/>
            </w:pPr>
            <w:r>
              <w:rPr>
                <w:rFonts w:ascii="Consolas" w:cs="Consolas" w:eastAsia="Consolas" w:hAnsi="Consolas"/>
                <w:sz w:val="18"/>
                <w:szCs w:val="18"/>
              </w:rPr>
              <w:t xml:space="preserve">    score += 0.20 * depression.elongation_index; weight_sum += 0.20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(d) independent evidence: roads/bridges raise, wetlands/karst lower</w:t>
            </w:r>
          </w:p>
          <w:p>
            <w:pPr>
              <w:spacing w:after="0"/>
            </w:pPr>
            <w:r>
              <w:rPr>
                <w:rFonts w:ascii="Consolas" w:cs="Consolas" w:eastAsia="Consolas" w:hAnsi="Consolas"/>
                <w:sz w:val="18"/>
                <w:szCs w:val="18"/>
              </w:rPr>
              <w:t xml:space="preserve">    if evidence.intersects_infrastructure(depression.footprint):</w:t>
            </w:r>
          </w:p>
          <w:p>
            <w:pPr>
              <w:spacing w:after="0"/>
            </w:pPr>
            <w:r>
              <w:rPr>
                <w:rFonts w:ascii="Consolas" w:cs="Consolas" w:eastAsia="Consolas" w:hAnsi="Consolas"/>
                <w:sz w:val="18"/>
                <w:szCs w:val="18"/>
              </w:rPr>
              <w:t xml:space="preserve">        score += 0.25; weight_sum += 0.25</w:t>
            </w:r>
          </w:p>
          <w:p>
            <w:pPr>
              <w:spacing w:after="0"/>
            </w:pPr>
            <w:r>
              <w:rPr>
                <w:rFonts w:ascii="Consolas" w:cs="Consolas" w:eastAsia="Consolas" w:hAnsi="Consolas"/>
                <w:sz w:val="18"/>
                <w:szCs w:val="18"/>
              </w:rPr>
              <w:t xml:space="preserve">    if evidence.intersects_known_basin(depression.footprint):</w:t>
            </w:r>
          </w:p>
          <w:p>
            <w:pPr>
              <w:spacing w:after="0"/>
            </w:pPr>
            <w:r>
              <w:rPr>
                <w:rFonts w:ascii="Consolas" w:cs="Consolas" w:eastAsia="Consolas" w:hAnsi="Consolas"/>
                <w:sz w:val="18"/>
                <w:szCs w:val="18"/>
              </w:rPr>
              <w:t xml:space="preserve">        score -= 0.25; weight_sum += 0.25</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(e) land-cover context (building/canopy bias in DSM-class inputs)</w:t>
            </w:r>
          </w:p>
          <w:p>
            <w:pPr>
              <w:spacing w:after="0"/>
            </w:pPr>
            <w:r>
              <w:rPr>
                <w:rFonts w:ascii="Consolas" w:cs="Consolas" w:eastAsia="Consolas" w:hAnsi="Consolas"/>
                <w:sz w:val="18"/>
                <w:szCs w:val="18"/>
              </w:rPr>
              <w:t xml:space="preserve">    if evidence.dsm_bias_context(depression.footprint):</w:t>
            </w:r>
          </w:p>
          <w:p>
            <w:pPr>
              <w:spacing w:after="0"/>
            </w:pPr>
            <w:r>
              <w:rPr>
                <w:rFonts w:ascii="Consolas" w:cs="Consolas" w:eastAsia="Consolas" w:hAnsi="Consolas"/>
                <w:sz w:val="18"/>
                <w:szCs w:val="18"/>
              </w:rPr>
              <w:t xml:space="preserve">        score += 0.10; weight_sum += 0.10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float(np.clip(score / max(weight_sum, 1e-6), 0.0, 1.0))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 classify_depressions(ctx, hierarchy, evidence, threshold=0.6, margin=0.15):</w:t>
            </w:r>
          </w:p>
          <w:p>
            <w:pPr>
              <w:spacing w:after="0"/>
            </w:pPr>
            <w:r>
              <w:rPr>
                <w:rFonts w:ascii="Consolas" w:cs="Consolas" w:eastAsia="Consolas" w:hAnsi="Consolas"/>
                <w:sz w:val="18"/>
                <w:szCs w:val="18"/>
              </w:rPr>
              <w:t xml:space="preserve">    decisions = {}</w:t>
            </w:r>
          </w:p>
          <w:p>
            <w:pPr>
              <w:spacing w:after="0"/>
            </w:pPr>
            <w:r>
              <w:rPr>
                <w:rFonts w:ascii="Consolas" w:cs="Consolas" w:eastAsia="Consolas" w:hAnsi="Consolas"/>
                <w:sz w:val="18"/>
                <w:szCs w:val="18"/>
              </w:rPr>
              <w:t xml:space="preserve">    for dep in hierarchy.depressions():</w:t>
            </w:r>
          </w:p>
          <w:p>
            <w:pPr>
              <w:spacing w:after="0"/>
            </w:pPr>
            <w:r>
              <w:rPr>
                <w:rFonts w:ascii="Consolas" w:cs="Consolas" w:eastAsia="Consolas" w:hAnsi="Consolas"/>
                <w:sz w:val="18"/>
                <w:szCs w:val="18"/>
              </w:rPr>
              <w:t xml:space="preserve">        s = artifact_likelihood(dep, ctx, evidence)</w:t>
            </w:r>
          </w:p>
          <w:p>
            <w:pPr>
              <w:spacing w:after="0"/>
            </w:pPr>
            <w:r>
              <w:rPr>
                <w:rFonts w:ascii="Consolas" w:cs="Consolas" w:eastAsia="Consolas" w:hAnsi="Consolas"/>
                <w:sz w:val="18"/>
                <w:szCs w:val="18"/>
              </w:rPr>
              <w:t xml:space="preserve">        if s &gt;= threshold + margin:</w:t>
            </w:r>
          </w:p>
          <w:p>
            <w:pPr>
              <w:spacing w:after="0"/>
            </w:pPr>
            <w:r>
              <w:rPr>
                <w:rFonts w:ascii="Consolas" w:cs="Consolas" w:eastAsia="Consolas" w:hAnsi="Consolas"/>
                <w:sz w:val="18"/>
                <w:szCs w:val="18"/>
              </w:rPr>
              <w:t xml:space="preserve">            decisions[dep.id] = "eliminate"</w:t>
            </w:r>
          </w:p>
          <w:p>
            <w:pPr>
              <w:spacing w:after="0"/>
            </w:pPr>
            <w:r>
              <w:rPr>
                <w:rFonts w:ascii="Consolas" w:cs="Consolas" w:eastAsia="Consolas" w:hAnsi="Consolas"/>
                <w:sz w:val="18"/>
                <w:szCs w:val="18"/>
              </w:rPr>
              <w:t xml:space="preserve">        elif s &lt;= threshold - margin:</w:t>
            </w:r>
          </w:p>
          <w:p>
            <w:pPr>
              <w:spacing w:after="0"/>
            </w:pPr>
            <w:r>
              <w:rPr>
                <w:rFonts w:ascii="Consolas" w:cs="Consolas" w:eastAsia="Consolas" w:hAnsi="Consolas"/>
                <w:sz w:val="18"/>
                <w:szCs w:val="18"/>
              </w:rPr>
              <w:t xml:space="preserve">            decisions[dep.id] = "preserve"</w:t>
            </w:r>
          </w:p>
          <w:p>
            <w:pPr>
              <w:spacing w:after="0"/>
            </w:pPr>
            <w:r>
              <w:rPr>
                <w:rFonts w:ascii="Consolas" w:cs="Consolas" w:eastAsia="Consolas" w:hAnsi="Consolas"/>
                <w:sz w:val="18"/>
                <w:szCs w:val="18"/>
              </w:rPr>
              <w:t xml:space="preserve">        else:</w:t>
            </w:r>
          </w:p>
          <w:p>
            <w:pPr>
              <w:spacing w:after="0"/>
            </w:pPr>
            <w:r>
              <w:rPr>
                <w:rFonts w:ascii="Consolas" w:cs="Consolas" w:eastAsia="Consolas" w:hAnsi="Consolas"/>
                <w:sz w:val="18"/>
                <w:szCs w:val="18"/>
              </w:rPr>
              <w:t xml:space="preserve">            decisions[dep.id] = "review"          # exported for analyst sign-off</w:t>
            </w:r>
          </w:p>
          <w:p>
            <w:pPr>
              <w:spacing w:after="0"/>
            </w:pPr>
            <w:r>
              <w:rPr>
                <w:rFonts w:ascii="Consolas" w:cs="Consolas" w:eastAsia="Consolas" w:hAnsi="Consolas"/>
                <w:sz w:val="18"/>
                <w:szCs w:val="18"/>
              </w:rPr>
              <w:t xml:space="preserve">        ctx.log("classify", f"depression {dep.id}: score={s:.2f}",</w:t>
            </w:r>
          </w:p>
          <w:p>
            <w:pPr>
              <w:spacing w:after="0"/>
            </w:pPr>
            <w:r>
              <w:rPr>
                <w:rFonts w:ascii="Consolas" w:cs="Consolas" w:eastAsia="Consolas" w:hAnsi="Consolas"/>
                <w:sz w:val="18"/>
                <w:szCs w:val="18"/>
              </w:rPr>
              <w:t xml:space="preserve">                decision=decisions[dep.id])</w:t>
            </w:r>
          </w:p>
          <w:p>
            <w:pPr>
              <w:spacing w:after="0"/>
            </w:pPr>
            <w:r>
              <w:rPr>
                <w:rFonts w:ascii="Consolas" w:cs="Consolas" w:eastAsia="Consolas" w:hAnsi="Consolas"/>
                <w:sz w:val="18"/>
                <w:szCs w:val="18"/>
              </w:rPr>
              <w:t xml:space="preserve">    return decisions</w:t>
            </w:r>
          </w:p>
        </w:tc>
      </w:tr>
    </w:tbl>
    <w:p>
      <w:pPr>
        <w:spacing w:after="240" w:before="80"/>
        <w:jc w:val="center"/>
      </w:pPr>
      <w:r>
        <w:rPr>
          <w:rFonts w:ascii="Calibri" w:cs="Calibri" w:eastAsia="Calibri" w:hAnsi="Calibri"/>
          <w:i/>
          <w:iCs/>
          <w:sz w:val="20"/>
          <w:szCs w:val="20"/>
        </w:rPr>
        <w:t xml:space="preserve">Listing 2. Multi-criteria depression classification (Stage 4). Thresholds and weights are configuration, not code, and are exported into the provenance log for every run.</w:t>
      </w:r>
    </w:p>
    <w:p>
      <w:pPr>
        <w:spacing w:after="180" w:line="276"/>
        <w:jc w:val="both"/>
      </w:pPr>
      <w:r>
        <w:rPr>
          <w:rFonts w:ascii="Calibri" w:cs="Calibri" w:eastAsia="Calibri" w:hAnsi="Calibri"/>
          <w:b w:val="false"/>
          <w:bCs w:val="false"/>
          <w:i w:val="false"/>
          <w:iCs w:val="false"/>
          <w:sz w:val="22"/>
          <w:szCs w:val="22"/>
        </w:rPr>
        <w:t xml:space="preserve">Stage 5's selective enforcement composes RichDEM's fast filling primitives with WhiteboxTools' least-cost breaching, choosing between them per depression according to the Stage 4 decision, as sketched in Listing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 dem_conditioning/enforce.py</w:t>
            </w:r>
          </w:p>
          <w:p>
            <w:pPr>
              <w:spacing w:after="0"/>
            </w:pPr>
            <w:r>
              <w:rPr>
                <w:rFonts w:ascii="Consolas" w:cs="Consolas" w:eastAsia="Consolas" w:hAnsi="Consolas"/>
                <w:sz w:val="18"/>
                <w:szCs w:val="18"/>
              </w:rPr>
              <w:t xml:space="preserve">import whitebox, richdem as rd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 enforce_flow(ctx: DEMContext, hierarchy, decisions, max_breach_cells):</w:t>
            </w:r>
          </w:p>
          <w:p>
            <w:pPr>
              <w:spacing w:after="0"/>
            </w:pPr>
            <w:r>
              <w:rPr>
                <w:rFonts w:ascii="Consolas" w:cs="Consolas" w:eastAsia="Consolas" w:hAnsi="Consolas"/>
                <w:sz w:val="18"/>
                <w:szCs w:val="18"/>
              </w:rPr>
              <w:t xml:space="preserve">    wbt = whitebox.WhiteboxTools(); wbt.set_verbose_mode(False)</w:t>
            </w:r>
          </w:p>
          <w:p>
            <w:pPr>
              <w:spacing w:after="0"/>
            </w:pPr>
            <w:r>
              <w:rPr>
                <w:rFonts w:ascii="Consolas" w:cs="Consolas" w:eastAsia="Consolas" w:hAnsi="Consolas"/>
                <w:sz w:val="18"/>
                <w:szCs w:val="18"/>
              </w:rPr>
              <w:t xml:space="preserve">    hydro = ctx.array.copy()          # separate "hydrology-ready" surface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for dep in hierarchy.depressions():</w:t>
            </w:r>
          </w:p>
          <w:p>
            <w:pPr>
              <w:spacing w:after="0"/>
            </w:pPr>
            <w:r>
              <w:rPr>
                <w:rFonts w:ascii="Consolas" w:cs="Consolas" w:eastAsia="Consolas" w:hAnsi="Consolas"/>
                <w:sz w:val="18"/>
                <w:szCs w:val="18"/>
              </w:rPr>
              <w:t xml:space="preserve">        if decisions[dep.id] == "preserve":</w:t>
            </w:r>
          </w:p>
          <w:p>
            <w:pPr>
              <w:spacing w:after="0"/>
            </w:pPr>
            <w:r>
              <w:rPr>
                <w:rFonts w:ascii="Consolas" w:cs="Consolas" w:eastAsia="Consolas" w:hAnsi="Consolas"/>
                <w:sz w:val="18"/>
                <w:szCs w:val="18"/>
              </w:rPr>
              <w:t xml:space="preserve">            continue    # leave `ctx.array` (the delivered DEM) untouched</w:t>
            </w:r>
          </w:p>
          <w:p>
            <w:pPr>
              <w:spacing w:after="0"/>
            </w:pPr>
            <w:r>
              <w:rPr>
                <w:rFonts w:ascii="Consolas" w:cs="Consolas" w:eastAsia="Consolas" w:hAnsi="Consolas"/>
                <w:sz w:val="18"/>
                <w:szCs w:val="18"/>
              </w:rPr>
              <w:t xml:space="preserve">        breached = wbt.breach_depressions_least_cost(</w:t>
            </w:r>
          </w:p>
          <w:p>
            <w:pPr>
              <w:spacing w:after="0"/>
            </w:pPr>
            <w:r>
              <w:rPr>
                <w:rFonts w:ascii="Consolas" w:cs="Consolas" w:eastAsia="Consolas" w:hAnsi="Consolas"/>
                <w:sz w:val="18"/>
                <w:szCs w:val="18"/>
              </w:rPr>
              <w:t xml:space="preserve">            dem=hydro, dist=max_breach_cells, fill=False)</w:t>
            </w:r>
          </w:p>
          <w:p>
            <w:pPr>
              <w:spacing w:after="0"/>
            </w:pPr>
            <w:r>
              <w:rPr>
                <w:rFonts w:ascii="Consolas" w:cs="Consolas" w:eastAsia="Consolas" w:hAnsi="Consolas"/>
                <w:sz w:val="18"/>
                <w:szCs w:val="18"/>
              </w:rPr>
              <w:t xml:space="preserve">        if breach_failed(breached, dep):        # exceeded cost/length limit</w:t>
            </w:r>
          </w:p>
          <w:p>
            <w:pPr>
              <w:spacing w:after="0"/>
            </w:pPr>
            <w:r>
              <w:rPr>
                <w:rFonts w:ascii="Consolas" w:cs="Consolas" w:eastAsia="Consolas" w:hAnsi="Consolas"/>
                <w:sz w:val="18"/>
                <w:szCs w:val="18"/>
              </w:rPr>
              <w:t xml:space="preserve">            hydro = rd.FillDepressions(hydro, in_place=False,</w:t>
            </w:r>
          </w:p>
          <w:p>
            <w:pPr>
              <w:spacing w:after="0"/>
            </w:pPr>
            <w:r>
              <w:rPr>
                <w:rFonts w:ascii="Consolas" w:cs="Consolas" w:eastAsia="Consolas" w:hAnsi="Consolas"/>
                <w:sz w:val="18"/>
                <w:szCs w:val="18"/>
              </w:rPr>
              <w:t xml:space="preserve">                                        topology='D8')   # confined fallback</w:t>
            </w:r>
          </w:p>
          <w:p>
            <w:pPr>
              <w:spacing w:after="0"/>
            </w:pPr>
            <w:r>
              <w:rPr>
                <w:rFonts w:ascii="Consolas" w:cs="Consolas" w:eastAsia="Consolas" w:hAnsi="Consolas"/>
                <w:sz w:val="18"/>
                <w:szCs w:val="18"/>
              </w:rPr>
              <w:t xml:space="preserve">            ctx.log("enforce", f"depression {dep.id}: filled (breach limit)")</w:t>
            </w:r>
          </w:p>
          <w:p>
            <w:pPr>
              <w:spacing w:after="0"/>
            </w:pPr>
            <w:r>
              <w:rPr>
                <w:rFonts w:ascii="Consolas" w:cs="Consolas" w:eastAsia="Consolas" w:hAnsi="Consolas"/>
                <w:sz w:val="18"/>
                <w:szCs w:val="18"/>
              </w:rPr>
              <w:t xml:space="preserve">        else:</w:t>
            </w:r>
          </w:p>
          <w:p>
            <w:pPr>
              <w:spacing w:after="0"/>
            </w:pPr>
            <w:r>
              <w:rPr>
                <w:rFonts w:ascii="Consolas" w:cs="Consolas" w:eastAsia="Consolas" w:hAnsi="Consolas"/>
                <w:sz w:val="18"/>
                <w:szCs w:val="18"/>
              </w:rPr>
              <w:t xml:space="preserve">            hydro = breached</w:t>
            </w:r>
          </w:p>
          <w:p>
            <w:pPr>
              <w:spacing w:after="0"/>
            </w:pPr>
            <w:r>
              <w:rPr>
                <w:rFonts w:ascii="Consolas" w:cs="Consolas" w:eastAsia="Consolas" w:hAnsi="Consolas"/>
                <w:sz w:val="18"/>
                <w:szCs w:val="18"/>
              </w:rPr>
              <w:t xml:space="preserve">            ctx.log("enforce", f"depression {dep.id}: breached")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ctx.hydro_ready = hydro     # exported alongside the un-flattened DEM</w:t>
            </w:r>
          </w:p>
          <w:p>
            <w:pPr>
              <w:spacing w:after="0"/>
            </w:pPr>
            <w:r>
              <w:rPr>
                <w:rFonts w:ascii="Consolas" w:cs="Consolas" w:eastAsia="Consolas" w:hAnsi="Consolas"/>
                <w:sz w:val="18"/>
                <w:szCs w:val="18"/>
              </w:rPr>
              <w:t xml:space="preserve">    return ctx</w:t>
            </w:r>
          </w:p>
        </w:tc>
      </w:tr>
    </w:tbl>
    <w:p>
      <w:pPr>
        <w:spacing w:after="240" w:before="80"/>
        <w:jc w:val="center"/>
      </w:pPr>
      <w:r>
        <w:rPr>
          <w:rFonts w:ascii="Calibri" w:cs="Calibri" w:eastAsia="Calibri" w:hAnsi="Calibri"/>
          <w:i/>
          <w:iCs/>
          <w:sz w:val="20"/>
          <w:szCs w:val="20"/>
        </w:rPr>
        <w:t xml:space="preserve">Listing 3. Selective, hierarchy-aware flow enforcement (Stage 5), producing both a preserved-topology DEM and a fully drained hydrology-ready derivative.</w:t>
      </w:r>
    </w:p>
    <w:p>
      <w:pPr>
        <w:pStyle w:val="Heading2"/>
        <w:spacing w:after="150" w:before="300"/>
      </w:pPr>
      <w:r>
        <w:t xml:space="preserve">6.3 Command-Line Invocation</w:t>
      </w:r>
    </w:p>
    <w:p>
      <w:pPr>
        <w:spacing w:after="180" w:line="276"/>
        <w:jc w:val="both"/>
      </w:pPr>
      <w:r>
        <w:rPr>
          <w:rFonts w:ascii="Calibri" w:cs="Calibri" w:eastAsia="Calibri" w:hAnsi="Calibri"/>
          <w:b w:val="false"/>
          <w:bCs w:val="false"/>
          <w:i w:val="false"/>
          <w:iCs w:val="false"/>
          <w:sz w:val="22"/>
          <w:szCs w:val="22"/>
        </w:rPr>
        <w:t xml:space="preserve">The reference implementation exposes a single command-line entry point so that the entire methodology can be rolled out as specified in this project's brief, independent of the source DEM's resolution or accuracy, which are read from the input's metadata (or supplied explicitly where absent):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 python -m dem_conditioning run \</w:t>
            </w:r>
          </w:p>
          <w:p>
            <w:pPr>
              <w:spacing w:after="0"/>
            </w:pPr>
            <w:r>
              <w:rPr>
                <w:rFonts w:ascii="Consolas" w:cs="Consolas" w:eastAsia="Consolas" w:hAnsi="Consolas"/>
                <w:sz w:val="18"/>
                <w:szCs w:val="18"/>
              </w:rPr>
              <w:t xml:space="preserve">    --dem  input_dem.tif \</w:t>
            </w:r>
          </w:p>
          <w:p>
            <w:pPr>
              <w:spacing w:after="0"/>
            </w:pPr>
            <w:r>
              <w:rPr>
                <w:rFonts w:ascii="Consolas" w:cs="Consolas" w:eastAsia="Consolas" w:hAnsi="Consolas"/>
                <w:sz w:val="18"/>
                <w:szCs w:val="18"/>
              </w:rPr>
              <w:t xml:space="preserve">    --land-cover  landcover.tif \</w:t>
            </w:r>
          </w:p>
          <w:p>
            <w:pPr>
              <w:spacing w:after="0"/>
            </w:pPr>
            <w:r>
              <w:rPr>
                <w:rFonts w:ascii="Consolas" w:cs="Consolas" w:eastAsia="Consolas" w:hAnsi="Consolas"/>
                <w:sz w:val="18"/>
                <w:szCs w:val="18"/>
              </w:rPr>
              <w:t xml:space="preserve">    --hydrography  streams.gpkg          # optional, Stage 7</w:t>
            </w:r>
          </w:p>
          <w:p>
            <w:pPr>
              <w:spacing w:after="0"/>
            </w:pPr>
            <w:r>
              <w:rPr>
                <w:rFonts w:ascii="Consolas" w:cs="Consolas" w:eastAsia="Consolas" w:hAnsi="Consolas"/>
                <w:sz w:val="18"/>
                <w:szCs w:val="18"/>
              </w:rPr>
              <w:t xml:space="preserve">    --known-basins  wetlands_karst.gpkg   # optional, Stage 4 evidence</w:t>
            </w:r>
          </w:p>
          <w:p>
            <w:pPr>
              <w:spacing w:after="0"/>
            </w:pPr>
            <w:r>
              <w:rPr>
                <w:rFonts w:ascii="Consolas" w:cs="Consolas" w:eastAsia="Consolas" w:hAnsi="Consolas"/>
                <w:sz w:val="18"/>
                <w:szCs w:val="18"/>
              </w:rPr>
              <w:t xml:space="preserve">    --vertical-accuracy 0.15              # metres; omit to auto-estimate</w:t>
            </w:r>
          </w:p>
          <w:p>
            <w:pPr>
              <w:spacing w:after="0"/>
            </w:pPr>
            <w:r>
              <w:rPr>
                <w:rFonts w:ascii="Consolas" w:cs="Consolas" w:eastAsia="Consolas" w:hAnsi="Consolas"/>
                <w:sz w:val="18"/>
                <w:szCs w:val="18"/>
              </w:rPr>
              <w:t xml:space="preserve">    --classification-threshold 0.6 --margin 0.15</w:t>
            </w:r>
          </w:p>
          <w:p>
            <w:pPr>
              <w:spacing w:after="0"/>
            </w:pPr>
            <w:r>
              <w:rPr>
                <w:rFonts w:ascii="Consolas" w:cs="Consolas" w:eastAsia="Consolas" w:hAnsi="Consolas"/>
                <w:sz w:val="18"/>
                <w:szCs w:val="18"/>
              </w:rPr>
              <w:t xml:space="preserve">    --out-dir  ./conditioned/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Outputs:</w:t>
            </w:r>
          </w:p>
          <w:p>
            <w:pPr>
              <w:spacing w:after="0"/>
            </w:pPr>
            <w:r>
              <w:rPr>
                <w:rFonts w:ascii="Consolas" w:cs="Consolas" w:eastAsia="Consolas" w:hAnsi="Consolas"/>
                <w:sz w:val="18"/>
                <w:szCs w:val="18"/>
              </w:rPr>
              <w:t xml:space="preserve">#   conditioned/dem_preserved.tif      unmodified elevations + hierarchy (NetCDF/JSON)</w:t>
            </w:r>
          </w:p>
          <w:p>
            <w:pPr>
              <w:spacing w:after="0"/>
            </w:pPr>
            <w:r>
              <w:rPr>
                <w:rFonts w:ascii="Consolas" w:cs="Consolas" w:eastAsia="Consolas" w:hAnsi="Consolas"/>
                <w:sz w:val="18"/>
                <w:szCs w:val="18"/>
              </w:rPr>
              <w:t xml:space="preserve">#   conditioned/dem_hydro_ready.tif    fully drained surface for flow routing</w:t>
            </w:r>
          </w:p>
          <w:p>
            <w:pPr>
              <w:spacing w:after="0"/>
            </w:pPr>
            <w:r>
              <w:rPr>
                <w:rFonts w:ascii="Consolas" w:cs="Consolas" w:eastAsia="Consolas" w:hAnsi="Consolas"/>
                <w:sz w:val="18"/>
                <w:szCs w:val="18"/>
              </w:rPr>
              <w:t xml:space="preserve">#   conditioned/audit_log.json         per-cell / per-depression provenance</w:t>
            </w:r>
          </w:p>
          <w:p>
            <w:pPr>
              <w:spacing w:after="0"/>
            </w:pPr>
            <w:r>
              <w:rPr>
                <w:rFonts w:ascii="Consolas" w:cs="Consolas" w:eastAsia="Consolas" w:hAnsi="Consolas"/>
                <w:sz w:val="18"/>
                <w:szCs w:val="18"/>
              </w:rPr>
              <w:t xml:space="preserve">#   conditioned/qa_report.html         Stage 8 validation summary</w:t>
            </w:r>
          </w:p>
        </w:tc>
      </w:tr>
    </w:tbl>
    <w:p>
      <w:pPr>
        <w:spacing w:after="240" w:before="80"/>
        <w:jc w:val="center"/>
      </w:pPr>
      <w:r>
        <w:rPr>
          <w:rFonts w:ascii="Calibri" w:cs="Calibri" w:eastAsia="Calibri" w:hAnsi="Calibri"/>
          <w:i/>
          <w:iCs/>
          <w:sz w:val="20"/>
          <w:szCs w:val="20"/>
        </w:rPr>
        <w:t xml:space="preserve">Listing 4. Reference CLI. Every parameter has a documented, resolution-scaled default so the pipeline can be run unattended on batches of heterogeneous DEMs while still producing a fully auditable output per run.</w:t>
      </w:r>
    </w:p>
    <w:p>
      <w:pPr>
        <w:pStyle w:val="Heading1"/>
        <w:spacing w:after="200" w:before="400"/>
      </w:pPr>
      <w:r>
        <w:t xml:space="preserve">7. Discussion: Limitations, Computational Considerations, and Future Work</w:t>
      </w:r>
    </w:p>
    <w:p>
      <w:pPr>
        <w:spacing w:after="180" w:line="276"/>
        <w:jc w:val="both"/>
      </w:pPr>
      <w:r>
        <w:rPr>
          <w:rFonts w:ascii="Calibri" w:cs="Calibri" w:eastAsia="Calibri" w:hAnsi="Calibri"/>
          <w:b w:val="false"/>
          <w:bCs w:val="false"/>
          <w:i w:val="false"/>
          <w:iCs w:val="false"/>
          <w:sz w:val="22"/>
          <w:szCs w:val="22"/>
        </w:rPr>
        <w:t xml:space="preserve">This methodology inherits, rather than eliminates, several limitations already present in the underlying literature it builds on, and strict peer review should weigh them explicitly rather than have them discovered later. First, the Stage 4 classification function, however inspectable, still depends on the quality of its inputs — vertical accuracy metadata, land-cover context, and any vector evidence layers — and will misclassify depressions where that context is wrong, missing, or itself out of date; the “review” bucket is intended to make this limitation visible rather than to remove it. Second, least-cost breaching, even constrained, remains the most computationally expensive stage of the pipeline for very large, high-resolution DEMs, and the framework's fallback to confined filling under a bounded search cost is a deliberate engineering compromise rather than a claim that filling is hydrologically preferable in those cases; production deployments processing continental-scale LiDAR should budget for this explicitly, following the parallel Priority-Flood scaling work of Barnes (2016) and the trillion-cell depression-detection work underlying HRBTree (2025). Third, the depression-hierarchy representation and the dual-surface (preserved / hydrology-ready) output are more complex to consume downstream than a single conditioned DEM, and will require documentation and, likely, small adapter utilities before every existing hydrological model in a given organisation's toolchain can accept them; we regard this as a genuine adoption cost, not a solved problem. Fourth, the optional hydrography-enforcement stage remains dependent on the positional accuracy of whatever vector network is supplied, and the pipeline currently has no independent means of verifying that accuracy — a documented gap in the source literature (Section 3.4) that this framework does not close.</w:t>
      </w:r>
    </w:p>
    <w:p>
      <w:pPr>
        <w:spacing w:after="180" w:line="276"/>
        <w:jc w:val="both"/>
      </w:pPr>
      <w:r>
        <w:rPr>
          <w:rFonts w:ascii="Calibri" w:cs="Calibri" w:eastAsia="Calibri" w:hAnsi="Calibri"/>
          <w:b w:val="false"/>
          <w:bCs w:val="false"/>
          <w:i w:val="false"/>
          <w:iCs w:val="false"/>
          <w:sz w:val="22"/>
          <w:szCs w:val="22"/>
        </w:rPr>
        <w:t xml:space="preserve">Future development priorities, in order of expected impact, are: calibrating the Stage 4 scoring function as a proper supervised classifier against a labelled, multi-biome benchmark dataset of hand-verified artifact and real depressions, rather than relying on the fixed illustrative weights in Listing 2; extending the resolution-adaptivity logic in Stages 1–6 with an explicit, quantitative sensitivity study across a deliberately broad DEM test suite (sub-metre UAV LiDAR through 90 m SRTM); and integrating directly with the current generation of global bare-earth correction products (FABDEM, FathomDEM, GEDTM30) as an optional, swappable substitute for the local Stage 1 correction where no local ground-truth LiDAR is available, formalising what Section 3.5 currently treats as a manual analyst choice.</w:t>
      </w:r>
    </w:p>
    <w:p>
      <w:pPr>
        <w:pStyle w:val="Heading1"/>
        <w:spacing w:after="200" w:before="400"/>
      </w:pPr>
      <w:r>
        <w:t xml:space="preserve">8. Conclusion</w:t>
      </w:r>
    </w:p>
    <w:p>
      <w:pPr>
        <w:spacing w:after="180" w:line="276"/>
        <w:jc w:val="both"/>
      </w:pPr>
      <w:r>
        <w:rPr>
          <w:rFonts w:ascii="Calibri" w:cs="Calibri" w:eastAsia="Calibri" w:hAnsi="Calibri"/>
          <w:b w:val="false"/>
          <w:bCs w:val="false"/>
          <w:i w:val="false"/>
          <w:iCs w:val="false"/>
          <w:sz w:val="22"/>
          <w:szCs w:val="22"/>
        </w:rPr>
        <w:t xml:space="preserve">Hydrological conditioning is not a single algorithm but an accumulated set of trade-offs between hydrological validity, computational tractability, and fidelity to real terrain, and the four-decade literature reviewed here shows those trade-offs being progressively better understood — from the blanket-filling assumption of the 1980s, through breaching and hybrid methods that reduce unnecessary elevation change, to the current depression-hierarchy and machine-learning-corrected bare-earth literature that treats artifact removal and depression preservation as first-class, evidence-based problems rather than defaults. No single existing method, however, combines explicit, resolution-adaptive artifact classification; a hard separation between depression-preserving and hydrology-ready outputs; and mandatory, cell-level provenance in one operational pipeline. The methodology and reference Python architecture proposed in Sections 5 and 6 are built directly from the validated strengths of the literature reviewed in Section 3 — Priority-Flood filling, least-cost and hybrid breaching, the Garbrecht-Martz flat-resolution method, the depression hierarchy, and topology-aware stream burning — composed around an explicit classification and provenance layer designed specifically to close the three gaps identified in Section 4. We believe this combination, rather than any single new low-level algorithm, is the appropriate and defensible response to a brief that demands a state-of-the-art, Python-deployable methodology capable of standing up to strict peer review across any DEM source, resolution, or vertical accuracy.</w:t>
      </w:r>
    </w:p>
    <w:p>
      <w:r>
        <w:br w:type="page"/>
      </w:r>
    </w:p>
    <w:p>
      <w:pPr>
        <w:pStyle w:val="Heading1"/>
        <w:spacing w:after="200" w:before="400"/>
      </w:pPr>
      <w:r>
        <w:t xml:space="preserve">References</w:t>
      </w:r>
    </w:p>
    <w:p>
      <w:pPr>
        <w:spacing w:after="140"/>
        <w:ind w:left="431" w:hanging="431"/>
      </w:pPr>
      <w:r>
        <w:rPr>
          <w:rFonts w:ascii="Calibri" w:cs="Calibri" w:eastAsia="Calibri" w:hAnsi="Calibri"/>
          <w:sz w:val="20"/>
          <w:szCs w:val="20"/>
        </w:rPr>
        <w:t xml:space="preserve">Axelsson, P. (2000). DEM generation from laser scanner data using adaptive TIN models. International Archives of Photogrammetry and Remote Sensing, 33(B4), 110–117.</w:t>
      </w:r>
    </w:p>
    <w:p>
      <w:pPr>
        <w:spacing w:after="140"/>
        <w:ind w:left="431" w:hanging="431"/>
      </w:pPr>
      <w:r>
        <w:rPr>
          <w:rFonts w:ascii="Calibri" w:cs="Calibri" w:eastAsia="Calibri" w:hAnsi="Calibri"/>
          <w:sz w:val="20"/>
          <w:szCs w:val="20"/>
        </w:rPr>
        <w:t xml:space="preserve">Barnes, R. (2016). Parallel priority-flood depression filling for trillion cell digital elevation models on desktops or clusters. Computers &amp; Geosciences, 96, 56–68.</w:t>
      </w:r>
    </w:p>
    <w:p>
      <w:pPr>
        <w:spacing w:after="140"/>
        <w:ind w:left="431" w:hanging="431"/>
      </w:pPr>
      <w:r>
        <w:rPr>
          <w:rFonts w:ascii="Calibri" w:cs="Calibri" w:eastAsia="Calibri" w:hAnsi="Calibri"/>
          <w:sz w:val="20"/>
          <w:szCs w:val="20"/>
        </w:rPr>
        <w:t xml:space="preserve">Barnes, R., Lehman, C., &amp; Mulla, D. (2014). Priority-flood: An optimal depression-filling and watershed-labeling algorithm for digital elevation models. Computers &amp; Geosciences, 62, 117–127.</w:t>
      </w:r>
    </w:p>
    <w:p>
      <w:pPr>
        <w:spacing w:after="140"/>
        <w:ind w:left="431" w:hanging="431"/>
      </w:pPr>
      <w:r>
        <w:rPr>
          <w:rFonts w:ascii="Calibri" w:cs="Calibri" w:eastAsia="Calibri" w:hAnsi="Calibri"/>
          <w:sz w:val="20"/>
          <w:szCs w:val="20"/>
        </w:rPr>
        <w:t xml:space="preserve">Barnes, R., Callaghan, K. L., &amp; Wickert, A. D. (2020). Computing water flow through complex landscapes – Part 2: Finding hierarchies in depressions and morphological segmentations. Earth Surface Dynamics, 8(2), 431–445.</w:t>
      </w:r>
    </w:p>
    <w:p>
      <w:pPr>
        <w:spacing w:after="140"/>
        <w:ind w:left="431" w:hanging="431"/>
      </w:pPr>
      <w:r>
        <w:rPr>
          <w:rFonts w:ascii="Calibri" w:cs="Calibri" w:eastAsia="Calibri" w:hAnsi="Calibri"/>
          <w:sz w:val="20"/>
          <w:szCs w:val="20"/>
        </w:rPr>
        <w:t xml:space="preserve">Barnes, R. et al. (2025). Depression detection in billion-scale DEM grids in digital terrain analysis using HRBTree. Earth Science Informatics.</w:t>
      </w:r>
    </w:p>
    <w:p>
      <w:pPr>
        <w:spacing w:after="140"/>
        <w:ind w:left="431" w:hanging="431"/>
      </w:pPr>
      <w:r>
        <w:rPr>
          <w:rFonts w:ascii="Calibri" w:cs="Calibri" w:eastAsia="Calibri" w:hAnsi="Calibri"/>
          <w:sz w:val="20"/>
          <w:szCs w:val="20"/>
        </w:rPr>
        <w:t xml:space="preserve">Callaghan, K. L., &amp; Wickert, A. D. (2019). Computing water flow through complex landscapes – Part 1: Incorporating depressions in flow routing using FlowFill. Earth Surface Dynamics, 7(3), 737–753.</w:t>
      </w:r>
    </w:p>
    <w:p>
      <w:pPr>
        <w:spacing w:after="140"/>
        <w:ind w:left="431" w:hanging="431"/>
      </w:pPr>
      <w:r>
        <w:rPr>
          <w:rFonts w:ascii="Calibri" w:cs="Calibri" w:eastAsia="Calibri" w:hAnsi="Calibri"/>
          <w:sz w:val="20"/>
          <w:szCs w:val="20"/>
        </w:rPr>
        <w:t xml:space="preserve">Callow, J. N., Van Niel, K. P., &amp; Boggs, G. S. (2007). How does modifying a DEM to reflect known hydrology affect subsequent terrain analysis? Journal of Hydrology, 332(1–2), 30–39.</w:t>
      </w:r>
    </w:p>
    <w:p>
      <w:pPr>
        <w:spacing w:after="140"/>
        <w:ind w:left="431" w:hanging="431"/>
      </w:pPr>
      <w:r>
        <w:rPr>
          <w:rFonts w:ascii="Calibri" w:cs="Calibri" w:eastAsia="Calibri" w:hAnsi="Calibri"/>
          <w:sz w:val="20"/>
          <w:szCs w:val="20"/>
        </w:rPr>
        <w:t xml:space="preserve">Chu, X., Yang, J., Chi, Y., &amp; Zhang, J. (2010, 2013). Puddle delineation and modelling of depression-dominated hydrology (PD / D-cubed algorithms).</w:t>
      </w:r>
    </w:p>
    <w:p>
      <w:pPr>
        <w:spacing w:after="140"/>
        <w:ind w:left="431" w:hanging="431"/>
      </w:pPr>
      <w:r>
        <w:rPr>
          <w:rFonts w:ascii="Calibri" w:cs="Calibri" w:eastAsia="Calibri" w:hAnsi="Calibri"/>
          <w:sz w:val="20"/>
          <w:szCs w:val="20"/>
        </w:rPr>
        <w:t xml:space="preserve">Garbrecht, J., &amp; Martz, L. W. (1997). The assignment of drainage direction over flat surfaces in raster digital elevation models. Journal of Hydrology, 193(1–4), 204–213.</w:t>
      </w:r>
    </w:p>
    <w:p>
      <w:pPr>
        <w:spacing w:after="140"/>
        <w:ind w:left="431" w:hanging="431"/>
      </w:pPr>
      <w:r>
        <w:rPr>
          <w:rFonts w:ascii="Calibri" w:cs="Calibri" w:eastAsia="Calibri" w:hAnsi="Calibri"/>
          <w:sz w:val="20"/>
          <w:szCs w:val="20"/>
        </w:rPr>
        <w:t xml:space="preserve">Hariri, S. et al. A hybrid breaching-filling method for sink removal adapted to parallel hydrological simulations (Outlet Breaching).</w:t>
      </w:r>
    </w:p>
    <w:p>
      <w:pPr>
        <w:spacing w:after="140"/>
        <w:ind w:left="431" w:hanging="431"/>
      </w:pPr>
      <w:r>
        <w:rPr>
          <w:rFonts w:ascii="Calibri" w:cs="Calibri" w:eastAsia="Calibri" w:hAnsi="Calibri"/>
          <w:sz w:val="20"/>
          <w:szCs w:val="20"/>
        </w:rPr>
        <w:t xml:space="preserve">Hawker, L., Uhe, P., Paulo, L., Sosa, J., Savage, J., Sampson, C., &amp; Neal, J. (2022). A 30 m global map of elevation with forests and buildings removed (FABDEM). Environmental Research Letters, 17(2), 024016.</w:t>
      </w:r>
    </w:p>
    <w:p>
      <w:pPr>
        <w:spacing w:after="140"/>
        <w:ind w:left="431" w:hanging="431"/>
      </w:pPr>
      <w:r>
        <w:rPr>
          <w:rFonts w:ascii="Calibri" w:cs="Calibri" w:eastAsia="Calibri" w:hAnsi="Calibri"/>
          <w:sz w:val="20"/>
          <w:szCs w:val="20"/>
        </w:rPr>
        <w:t xml:space="preserve">Hellweger, F. L. (1997). AGREE – DEM surface reconditioning system. Center for Research in Water Resources, University of Texas at Austin.</w:t>
      </w:r>
    </w:p>
    <w:p>
      <w:pPr>
        <w:spacing w:after="140"/>
        <w:ind w:left="431" w:hanging="431"/>
      </w:pPr>
      <w:r>
        <w:rPr>
          <w:rFonts w:ascii="Calibri" w:cs="Calibri" w:eastAsia="Calibri" w:hAnsi="Calibri"/>
          <w:sz w:val="20"/>
          <w:szCs w:val="20"/>
        </w:rPr>
        <w:t xml:space="preserve">Hutchinson, M. F. (1989). A new procedure for gridding elevation and stream line data with automatic removal of spurious pits. Journal of Hydrology, 106(3–4), 211–232.</w:t>
      </w:r>
    </w:p>
    <w:p>
      <w:pPr>
        <w:spacing w:after="140"/>
        <w:ind w:left="431" w:hanging="431"/>
      </w:pPr>
      <w:r>
        <w:rPr>
          <w:rFonts w:ascii="Calibri" w:cs="Calibri" w:eastAsia="Calibri" w:hAnsi="Calibri"/>
          <w:sz w:val="20"/>
          <w:szCs w:val="20"/>
        </w:rPr>
        <w:t xml:space="preserve">Hutchinson, M. F. et al. (2011). Recent progress in the ANUDEM elevation gridding procedure. Geomorphometry 2011 Conference Proceedings.</w:t>
      </w:r>
    </w:p>
    <w:p>
      <w:pPr>
        <w:spacing w:after="140"/>
        <w:ind w:left="431" w:hanging="431"/>
      </w:pPr>
      <w:r>
        <w:rPr>
          <w:rFonts w:ascii="Calibri" w:cs="Calibri" w:eastAsia="Calibri" w:hAnsi="Calibri"/>
          <w:sz w:val="20"/>
          <w:szCs w:val="20"/>
        </w:rPr>
        <w:t xml:space="preserve">Jenson, S. K., &amp; Domingue, J. O. (1988). Extracting topographic structure from digital elevation data for geographic information system analysis. Photogrammetric Engineering and Remote Sensing, 54(11), 1593–1600.</w:t>
      </w:r>
    </w:p>
    <w:p>
      <w:pPr>
        <w:spacing w:after="140"/>
        <w:ind w:left="431" w:hanging="431"/>
      </w:pPr>
      <w:r>
        <w:rPr>
          <w:rFonts w:ascii="Calibri" w:cs="Calibri" w:eastAsia="Calibri" w:hAnsi="Calibri"/>
          <w:sz w:val="20"/>
          <w:szCs w:val="20"/>
        </w:rPr>
        <w:t xml:space="preserve">Jiang, A., Hsu, K., Sanders, B. F., &amp; Sorooshian, S. (2023). Topographic hydro-conditioning to resolve surface depression storage and ponding in a fully distributed hydrologic model (D2P). Advances in Water Resources, 176, 104449.</w:t>
      </w:r>
    </w:p>
    <w:p>
      <w:pPr>
        <w:spacing w:after="140"/>
        <w:ind w:left="431" w:hanging="431"/>
      </w:pPr>
      <w:r>
        <w:rPr>
          <w:rFonts w:ascii="Calibri" w:cs="Calibri" w:eastAsia="Calibri" w:hAnsi="Calibri"/>
          <w:sz w:val="20"/>
          <w:szCs w:val="20"/>
        </w:rPr>
        <w:t xml:space="preserve">Li, Q., Wang, D., Liu, F., Yu, J., &amp; Jia, Z. (2024). LightGBM hybrid model based DEM correction for forested areas. PLOS ONE.</w:t>
      </w:r>
    </w:p>
    <w:p>
      <w:pPr>
        <w:spacing w:after="140"/>
        <w:ind w:left="431" w:hanging="431"/>
      </w:pPr>
      <w:r>
        <w:rPr>
          <w:rFonts w:ascii="Calibri" w:cs="Calibri" w:eastAsia="Calibri" w:hAnsi="Calibri"/>
          <w:sz w:val="20"/>
          <w:szCs w:val="20"/>
        </w:rPr>
        <w:t xml:space="preserve">Lindsay, J. B., &amp; Creed, I. F. (2005). Removal of artifact depressions from digital elevation models: towards a minimum impact approach. Hydrological Processes, 19(16), 3113–3126.</w:t>
      </w:r>
    </w:p>
    <w:p>
      <w:pPr>
        <w:spacing w:after="140"/>
        <w:ind w:left="431" w:hanging="431"/>
      </w:pPr>
      <w:r>
        <w:rPr>
          <w:rFonts w:ascii="Calibri" w:cs="Calibri" w:eastAsia="Calibri" w:hAnsi="Calibri"/>
          <w:sz w:val="20"/>
          <w:szCs w:val="20"/>
        </w:rPr>
        <w:t xml:space="preserve">Lindsay, J. B., &amp; Creed, I. F. (2006). Distinguishing actual and artefact depressions in digital elevation data. Computers &amp; Geosciences, 32(8), 1192–1204.</w:t>
      </w:r>
    </w:p>
    <w:p>
      <w:pPr>
        <w:spacing w:after="140"/>
        <w:ind w:left="431" w:hanging="431"/>
      </w:pPr>
      <w:r>
        <w:rPr>
          <w:rFonts w:ascii="Calibri" w:cs="Calibri" w:eastAsia="Calibri" w:hAnsi="Calibri"/>
          <w:sz w:val="20"/>
          <w:szCs w:val="20"/>
        </w:rPr>
        <w:t xml:space="preserve">Lindsay, J. B., &amp; Dhun, K. (2015). Modelling surface drainage patterns in altered landscapes using LiDAR. International Journal of Geographical Information Science, 29(3), 397–411.</w:t>
      </w:r>
    </w:p>
    <w:p>
      <w:pPr>
        <w:spacing w:after="140"/>
        <w:ind w:left="431" w:hanging="431"/>
      </w:pPr>
      <w:r>
        <w:rPr>
          <w:rFonts w:ascii="Calibri" w:cs="Calibri" w:eastAsia="Calibri" w:hAnsi="Calibri"/>
          <w:sz w:val="20"/>
          <w:szCs w:val="20"/>
        </w:rPr>
        <w:t xml:space="preserve">Lindsay, J. B. (2016). Efficient hybrid breaching-filling sink removal methods for flow path enforcement in digital elevation models. Hydrological Processes, 30(6), 846–857.</w:t>
      </w:r>
    </w:p>
    <w:p>
      <w:pPr>
        <w:spacing w:after="140"/>
        <w:ind w:left="431" w:hanging="431"/>
      </w:pPr>
      <w:r>
        <w:rPr>
          <w:rFonts w:ascii="Calibri" w:cs="Calibri" w:eastAsia="Calibri" w:hAnsi="Calibri"/>
          <w:sz w:val="20"/>
          <w:szCs w:val="20"/>
        </w:rPr>
        <w:t xml:space="preserve">Lindsay, J. B. (2016). The practice of DEM stream burning revisited. Earth Surface Processes and Landforms, 41(5), 658–668.</w:t>
      </w:r>
    </w:p>
    <w:p>
      <w:pPr>
        <w:spacing w:after="140"/>
        <w:ind w:left="431" w:hanging="431"/>
      </w:pPr>
      <w:r>
        <w:rPr>
          <w:rFonts w:ascii="Calibri" w:cs="Calibri" w:eastAsia="Calibri" w:hAnsi="Calibri"/>
          <w:sz w:val="20"/>
          <w:szCs w:val="20"/>
        </w:rPr>
        <w:t xml:space="preserve">Lindsay, J. B. (2020). Pit-centric depression removal methods. Proceedings, Geomorphometry 2020.</w:t>
      </w:r>
    </w:p>
    <w:p>
      <w:pPr>
        <w:spacing w:after="140"/>
        <w:ind w:left="431" w:hanging="431"/>
      </w:pPr>
      <w:r>
        <w:rPr>
          <w:rFonts w:ascii="Calibri" w:cs="Calibri" w:eastAsia="Calibri" w:hAnsi="Calibri"/>
          <w:sz w:val="20"/>
          <w:szCs w:val="20"/>
        </w:rPr>
        <w:t xml:space="preserve">Martz, L. W., &amp; Garbrecht, J. (1998). The treatment of flat areas and depressions in automated drainage analysis of raster digital elevation models. Hydrological Processes, 12(6), 843–855.</w:t>
      </w:r>
    </w:p>
    <w:p>
      <w:pPr>
        <w:spacing w:after="140"/>
        <w:ind w:left="431" w:hanging="431"/>
      </w:pPr>
      <w:r>
        <w:rPr>
          <w:rFonts w:ascii="Calibri" w:cs="Calibri" w:eastAsia="Calibri" w:hAnsi="Calibri"/>
          <w:sz w:val="20"/>
          <w:szCs w:val="20"/>
        </w:rPr>
        <w:t xml:space="preserve">Martz, L. W., &amp; Garbrecht, J. (1999). An outlet breaching algorithm for the treatment of closed depressions in a raster DEM. Computers &amp; Geosciences, 25(7), 835–844.</w:t>
      </w:r>
    </w:p>
    <w:p>
      <w:pPr>
        <w:spacing w:after="140"/>
        <w:ind w:left="431" w:hanging="431"/>
      </w:pPr>
      <w:r>
        <w:rPr>
          <w:rFonts w:ascii="Calibri" w:cs="Calibri" w:eastAsia="Calibri" w:hAnsi="Calibri"/>
          <w:sz w:val="20"/>
          <w:szCs w:val="20"/>
        </w:rPr>
        <w:t xml:space="preserve">O'Callaghan, J. F., &amp; Mark, D. M. (1984). The extraction of drainage networks from digital elevation data. Computer Vision, Graphics, and Image Processing, 28(3), 323–344.</w:t>
      </w:r>
    </w:p>
    <w:p>
      <w:pPr>
        <w:spacing w:after="140"/>
        <w:ind w:left="431" w:hanging="431"/>
      </w:pPr>
      <w:r>
        <w:rPr>
          <w:rFonts w:ascii="Calibri" w:cs="Calibri" w:eastAsia="Calibri" w:hAnsi="Calibri"/>
          <w:sz w:val="20"/>
          <w:szCs w:val="20"/>
        </w:rPr>
        <w:t xml:space="preserve">Pingel, T. J., Clarke, K. C., &amp; McBride, W. A. (2013). An improved simple morphological filter for the terrain classification of airborne LIDAR data. ISPRS Journal of Photogrammetry and Remote Sensing, 77, 21–30.</w:t>
      </w:r>
    </w:p>
    <w:p>
      <w:pPr>
        <w:spacing w:after="140"/>
        <w:ind w:left="431" w:hanging="431"/>
      </w:pPr>
      <w:r>
        <w:rPr>
          <w:rFonts w:ascii="Calibri" w:cs="Calibri" w:eastAsia="Calibri" w:hAnsi="Calibri"/>
          <w:sz w:val="20"/>
          <w:szCs w:val="20"/>
        </w:rPr>
        <w:t xml:space="preserve">Planchon, O., &amp; Darboux, F. (2001). A fast, simple and versatile algorithm to fill the depressions of digital elevation models. Catena, 46(2–3), 159–176.</w:t>
      </w:r>
    </w:p>
    <w:p>
      <w:pPr>
        <w:spacing w:after="140"/>
        <w:ind w:left="431" w:hanging="431"/>
      </w:pPr>
      <w:r>
        <w:rPr>
          <w:rFonts w:ascii="Calibri" w:cs="Calibri" w:eastAsia="Calibri" w:hAnsi="Calibri"/>
          <w:sz w:val="20"/>
          <w:szCs w:val="20"/>
        </w:rPr>
        <w:t xml:space="preserve">Reed, S. (1999). Deriving flow directions for coarse-resolution (1–2 km) gridded hydrologic modeling. Water Resources Research.</w:t>
      </w:r>
    </w:p>
    <w:p>
      <w:pPr>
        <w:spacing w:after="140"/>
        <w:ind w:left="431" w:hanging="431"/>
      </w:pPr>
      <w:r>
        <w:rPr>
          <w:rFonts w:ascii="Calibri" w:cs="Calibri" w:eastAsia="Calibri" w:hAnsi="Calibri"/>
          <w:sz w:val="20"/>
          <w:szCs w:val="20"/>
        </w:rPr>
        <w:t xml:space="preserve">Rieger, W. (1998). A phenomenon-based approach to upslope contributing area and depressions in DEMs. Hydrological Processes, 12(6), 857–872.</w:t>
      </w:r>
    </w:p>
    <w:p>
      <w:pPr>
        <w:spacing w:after="140"/>
        <w:ind w:left="431" w:hanging="431"/>
      </w:pPr>
      <w:r>
        <w:rPr>
          <w:rFonts w:ascii="Calibri" w:cs="Calibri" w:eastAsia="Calibri" w:hAnsi="Calibri"/>
          <w:sz w:val="20"/>
          <w:szCs w:val="20"/>
        </w:rPr>
        <w:t xml:space="preserve">Saunders, W. K., &amp; Maidment, D. R. (1996). A GIS assessment of nonpoint source pollution in the San Antonio-Nueces Coastal Basin. CRWR Online Report.</w:t>
      </w:r>
    </w:p>
    <w:p>
      <w:pPr>
        <w:spacing w:after="140"/>
        <w:ind w:left="431" w:hanging="431"/>
      </w:pPr>
      <w:r>
        <w:rPr>
          <w:rFonts w:ascii="Calibri" w:cs="Calibri" w:eastAsia="Calibri" w:hAnsi="Calibri"/>
          <w:sz w:val="20"/>
          <w:szCs w:val="20"/>
        </w:rPr>
        <w:t xml:space="preserve">Shaw, D. A., Vanderkamp, G., Conly, F. M., Pietroniro, A., &amp; Martz, L. (2013). The Fill-Spill Hydrology of Prairie Wetland Complexes during Drought and Deluge. Hydrological Processes, 26(20), 3147–3156. [SPILL algorithm]</w:t>
      </w:r>
    </w:p>
    <w:p>
      <w:pPr>
        <w:spacing w:after="140"/>
        <w:ind w:left="431" w:hanging="431"/>
      </w:pPr>
      <w:r>
        <w:rPr>
          <w:rFonts w:ascii="Calibri" w:cs="Calibri" w:eastAsia="Calibri" w:hAnsi="Calibri"/>
          <w:sz w:val="20"/>
          <w:szCs w:val="20"/>
        </w:rPr>
        <w:t xml:space="preserve">Shook, K., Pomeroy, J. W., Spence, C., &amp; Boychuk, L. (2011, 2013). Wetland DEM ponding model (WDPM) for prairie hydrology.</w:t>
      </w:r>
    </w:p>
    <w:p>
      <w:pPr>
        <w:spacing w:after="140"/>
        <w:ind w:left="431" w:hanging="431"/>
      </w:pPr>
      <w:r>
        <w:rPr>
          <w:rFonts w:ascii="Calibri" w:cs="Calibri" w:eastAsia="Calibri" w:hAnsi="Calibri"/>
          <w:sz w:val="20"/>
          <w:szCs w:val="20"/>
        </w:rPr>
        <w:t xml:space="preserve">Sithole, G., &amp; Vosselman, G. (2001, 2004). Filtering of airborne laser scanner data based on segmented point clouds. ISPRS.</w:t>
      </w:r>
    </w:p>
    <w:p>
      <w:pPr>
        <w:spacing w:after="140"/>
        <w:ind w:left="431" w:hanging="431"/>
      </w:pPr>
      <w:r>
        <w:rPr>
          <w:rFonts w:ascii="Calibri" w:cs="Calibri" w:eastAsia="Calibri" w:hAnsi="Calibri"/>
          <w:sz w:val="20"/>
          <w:szCs w:val="20"/>
        </w:rPr>
        <w:t xml:space="preserve">Soille, P., Vogt, J., &amp; Colombo, R. (2003). Carving and adaptive drainage enforcement of grid digital elevation models. Water Resources Research, 39(12), 1366.</w:t>
      </w:r>
    </w:p>
    <w:p>
      <w:pPr>
        <w:spacing w:after="140"/>
        <w:ind w:left="431" w:hanging="431"/>
      </w:pPr>
      <w:r>
        <w:rPr>
          <w:rFonts w:ascii="Calibri" w:cs="Calibri" w:eastAsia="Calibri" w:hAnsi="Calibri"/>
          <w:sz w:val="20"/>
          <w:szCs w:val="20"/>
        </w:rPr>
        <w:t xml:space="preserve">Tarboton, D. G. (1997). A new method for the determination of flow directions and upslope areas in grid digital elevation models. Water Resources Research, 33(2), 309–319.</w:t>
      </w:r>
    </w:p>
    <w:p>
      <w:pPr>
        <w:spacing w:after="140"/>
        <w:ind w:left="431" w:hanging="431"/>
      </w:pPr>
      <w:r>
        <w:rPr>
          <w:rFonts w:ascii="Calibri" w:cs="Calibri" w:eastAsia="Calibri" w:hAnsi="Calibri"/>
          <w:sz w:val="20"/>
          <w:szCs w:val="20"/>
        </w:rPr>
        <w:t xml:space="preserve">Uhe, P. et al. (2025). FathomDEM: a global bare-earth digital terrain model via computer-vision object removal.</w:t>
      </w:r>
    </w:p>
    <w:p>
      <w:pPr>
        <w:spacing w:after="140"/>
        <w:ind w:left="431" w:hanging="431"/>
      </w:pPr>
      <w:r>
        <w:rPr>
          <w:rFonts w:ascii="Calibri" w:cs="Calibri" w:eastAsia="Calibri" w:hAnsi="Calibri"/>
          <w:sz w:val="20"/>
          <w:szCs w:val="20"/>
        </w:rPr>
        <w:t xml:space="preserve">USGS (2025). Lidar Base Specification, Revision A – Digital Elevation Model Surface Treatments (hydroflattening, bridge removal).</w:t>
      </w:r>
    </w:p>
    <w:p>
      <w:pPr>
        <w:spacing w:after="140"/>
        <w:ind w:left="431" w:hanging="431"/>
      </w:pPr>
      <w:r>
        <w:rPr>
          <w:rFonts w:ascii="Calibri" w:cs="Calibri" w:eastAsia="Calibri" w:hAnsi="Calibri"/>
          <w:sz w:val="20"/>
          <w:szCs w:val="20"/>
        </w:rPr>
        <w:t xml:space="preserve">Wang, L., &amp; Liu, H. (2006). An efficient method for identifying and filling surface depressions in digital elevation models for hydrologic analysis and modelling. International Journal of Geographical Information Science, 20(2), 193–213.</w:t>
      </w:r>
    </w:p>
    <w:p>
      <w:pPr>
        <w:spacing w:after="140"/>
        <w:ind w:left="431" w:hanging="431"/>
      </w:pPr>
      <w:r>
        <w:rPr>
          <w:rFonts w:ascii="Calibri" w:cs="Calibri" w:eastAsia="Calibri" w:hAnsi="Calibri"/>
          <w:sz w:val="20"/>
          <w:szCs w:val="20"/>
        </w:rPr>
        <w:t xml:space="preserve">Zhang, K., Chen, S. C., Whitman, D., Shyu, M. L., Yan, J., &amp; Zhang, C. (2003). A progressive morphological filter for removing nonground measurements from airborne LIDAR data. IEEE Transactions on Geoscience and Remote Sensing, 41(4), 872–882.</w:t>
      </w:r>
    </w:p>
    <w:p>
      <w:pPr>
        <w:spacing w:after="140"/>
        <w:ind w:left="431" w:hanging="431"/>
      </w:pPr>
      <w:r>
        <w:rPr>
          <w:rFonts w:ascii="Calibri" w:cs="Calibri" w:eastAsia="Calibri" w:hAnsi="Calibri"/>
          <w:sz w:val="20"/>
          <w:szCs w:val="20"/>
        </w:rPr>
        <w:t xml:space="preserve">Springer Environmental Earth Sciences (2026). From data modification to preservation: evolution of DEM depression processing algorithms in hydrological modelling.</w:t>
      </w:r>
    </w:p>
    <w:p>
      <w:pPr>
        <w:spacing w:after="140"/>
        <w:ind w:left="431" w:hanging="431"/>
      </w:pPr>
      <w:r>
        <w:rPr>
          <w:rFonts w:ascii="Calibri" w:cs="Calibri" w:eastAsia="Calibri" w:hAnsi="Calibri"/>
          <w:sz w:val="20"/>
          <w:szCs w:val="20"/>
        </w:rPr>
        <w:t xml:space="preserve">PeerJ (2025). GEDTM30: global ensemble digital terrain model at 30 m and derived multiscale terrain variables.</w:t>
      </w:r>
    </w:p>
    <w:p>
      <w:pPr>
        <w:spacing w:after="140"/>
        <w:ind w:left="431" w:hanging="431"/>
      </w:pPr>
      <w:r>
        <w:rPr>
          <w:rFonts w:ascii="Calibri" w:cs="Calibri" w:eastAsia="Calibri" w:hAnsi="Calibri"/>
          <w:sz w:val="20"/>
          <w:szCs w:val="20"/>
        </w:rPr>
        <w:t xml:space="preserve">Marsh, C. B., Harder, P., &amp; Pomeroy, J. W. (2023). Validation of FABDEM, a global bare-earth elevation model, against UAV-lidar derived elevation in a complex forested mountain catchment. Environmental Research Communications, 5(3), 031009.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F4E5F"/>
      <w:sz w:val="32"/>
      <w:szCs w:val="32"/>
    </w:rPr>
  </w:style>
  <w:style w:type="paragraph" w:styleId="Heading2">
    <w:name w:val="Heading 2"/>
    <w:basedOn w:val="Normal"/>
    <w:next w:val="Normal"/>
    <w:qFormat/>
    <w:pPr>
      <w:spacing w:after="150" w:before="300"/>
    </w:pPr>
    <w:rPr>
      <w:rFonts w:ascii="Calibri" w:cs="Calibri" w:eastAsia="Calibri" w:hAnsi="Calibri"/>
      <w:b/>
      <w:bCs/>
      <w:color w:val="2E6E7E"/>
      <w:sz w:val="26"/>
      <w:szCs w:val="26"/>
    </w:rPr>
  </w:style>
  <w:style w:type="paragraph" w:styleId="Heading3">
    <w:name w:val="Heading 3"/>
    <w:basedOn w:val="Normal"/>
    <w:next w:val="Normal"/>
    <w:qFormat/>
    <w:pPr>
      <w:spacing w:after="100" w:before="200"/>
    </w:pPr>
    <w:rPr>
      <w:rFonts w:ascii="Calibri" w:cs="Calibri" w:eastAsia="Calibri" w:hAnsi="Calibri"/>
      <w:b/>
      <w:bCs/>
      <w:i/>
      <w:iCs/>
      <w:color w:val="3333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2026-08-21T07:43:36.490Z</dcterms:created>
  <dcterms:modified xsi:type="dcterms:W3CDTF">2026-08-21T07:43:36.503Z</dcterms:modified>
</cp:coreProperties>
</file>

<file path=docProps/custom.xml><?xml version="1.0" encoding="utf-8"?>
<Properties xmlns="http://schemas.openxmlformats.org/officeDocument/2006/custom-properties" xmlns:vt="http://schemas.openxmlformats.org/officeDocument/2006/docPropsVTypes"/>
</file>