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NFCU Card Account Opening</w:t>
      </w:r>
    </w:p>
    <w:p>
      <w:pPr>
        <w:spacing w:after="60"/>
      </w:pPr>
      <w:r>
        <w:rPr>
          <w:b/>
          <w:bCs/>
          <w:color w:val="B8862B"/>
          <w:sz w:val="24"/>
          <w:szCs w:val="24"/>
        </w:rPr>
        <w:t xml:space="preserve">3-minute video talk track · Service Cloud with Agentforce</w:t>
      </w:r>
    </w:p>
    <w:p>
      <w:pPr>
        <w:pBdr>
          <w:bottom w:val="single" w:color="B8862B" w:sz="8" w:space="6"/>
        </w:pBdr>
        <w:spacing w:after="200"/>
      </w:pPr>
      <w:r>
        <w:rPr>
          <w:color w:val="5A5A5A"/>
          <w:sz w:val="19"/>
          <w:szCs w:val="19"/>
        </w:rPr>
        <w:t xml:space="preserve">About 430 spoken words at roughly 150 words per minute, landing just under 3:00. Timestamps are targets. Demo member: Lauren Bailey, case 00005724.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D0D7E2" w:sz="4"/>
              <w:left w:val="single" w:color="D0D7E2" w:sz="4"/>
              <w:bottom w:val="single" w:color="D0D7E2" w:sz="4"/>
              <w:right w:val="single" w:color="D0D7E2" w:sz="4"/>
            </w:tcBorders>
            <w:shd w:fill="0B2D5B" w:color="auto" w:val="clear"/>
            <w:tcMar>
              <w:top w:type="dxa" w:w="100"/>
              <w:left w:type="dxa" w:w="120"/>
              <w:bottom w:type="dxa" w:w="100"/>
              <w:right w:type="dxa" w:w="120"/>
            </w:tcMar>
            <w:vAlign w:val="top"/>
          </w:tcPr>
          <w:p>
            <w:pPr>
              <w:spacing w:after="60"/>
            </w:pPr>
            <w:r>
              <w:rPr>
                <w:b/>
                <w:bCs/>
                <w:color w:val="FFFFFF"/>
              </w:rPr>
              <w:t xml:space="preserve">Time</w:t>
            </w:r>
          </w:p>
        </w:tc>
        <w:tc>
          <w:tcPr>
            <w:tcW w:type="dxa" w:w="3000"/>
            <w:tcBorders>
              <w:top w:val="single" w:color="D0D7E2" w:sz="4"/>
              <w:left w:val="single" w:color="D0D7E2" w:sz="4"/>
              <w:bottom w:val="single" w:color="D0D7E2" w:sz="4"/>
              <w:right w:val="single" w:color="D0D7E2" w:sz="4"/>
            </w:tcBorders>
            <w:shd w:fill="0B2D5B" w:color="auto" w:val="clear"/>
            <w:tcMar>
              <w:top w:type="dxa" w:w="100"/>
              <w:left w:type="dxa" w:w="120"/>
              <w:bottom w:type="dxa" w:w="100"/>
              <w:right w:type="dxa" w:w="120"/>
            </w:tcMar>
            <w:vAlign w:val="top"/>
          </w:tcPr>
          <w:p>
            <w:pPr>
              <w:spacing w:after="60"/>
            </w:pPr>
            <w:r>
              <w:rPr>
                <w:b/>
                <w:bCs/>
                <w:color w:val="FFFFFF"/>
              </w:rPr>
              <w:t xml:space="preserve">On screen</w:t>
            </w:r>
          </w:p>
        </w:tc>
        <w:tc>
          <w:tcPr>
            <w:tcW w:type="dxa" w:w="5160"/>
            <w:tcBorders>
              <w:top w:val="single" w:color="D0D7E2" w:sz="4"/>
              <w:left w:val="single" w:color="D0D7E2" w:sz="4"/>
              <w:bottom w:val="single" w:color="D0D7E2" w:sz="4"/>
              <w:right w:val="single" w:color="D0D7E2" w:sz="4"/>
            </w:tcBorders>
            <w:shd w:fill="0B2D5B" w:color="auto" w:val="clear"/>
            <w:tcMar>
              <w:top w:type="dxa" w:w="100"/>
              <w:left w:type="dxa" w:w="120"/>
              <w:bottom w:type="dxa" w:w="100"/>
              <w:right w:type="dxa" w:w="120"/>
            </w:tcMar>
            <w:vAlign w:val="top"/>
          </w:tcPr>
          <w:p>
            <w:pPr>
              <w:spacing w:after="60"/>
            </w:pPr>
            <w:r>
              <w:rPr>
                <w:b/>
                <w:bCs/>
                <w:color w:val="FFFFFF"/>
              </w:rPr>
              <w:t xml:space="preserve">Say</w:t>
            </w:r>
          </w:p>
        </w:tc>
      </w:tr>
      <w:tr>
        <w:trPr>
          <w:cantSplit/>
        </w:trPr>
        <w:tc>
          <w:tcPr>
            <w:tcW w:type="dxa" w:w="12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b/>
                <w:bCs/>
                <w:color w:val="0B2D5B"/>
              </w:rPr>
              <w:t xml:space="preserve">0:00–0:10</w:t>
            </w:r>
          </w:p>
          <w:p>
            <w:pPr>
              <w:spacing w:after="60"/>
            </w:pPr>
            <w:r>
              <w:rPr>
                <w:color w:val="5A5A5A"/>
                <w:sz w:val="18"/>
                <w:szCs w:val="18"/>
              </w:rPr>
              <w:t xml:space="preserve">Opening</w:t>
            </w:r>
          </w:p>
        </w:tc>
        <w:tc>
          <w:tcPr>
            <w:tcW w:type="dxa" w:w="30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pStyle w:val="ListParagraph"/>
              <w:numPr>
                <w:ilvl w:val="0"/>
                <w:numId w:val="2"/>
              </w:numPr>
              <w:spacing w:after="40"/>
            </w:pPr>
            <w:r>
              <w:rPr>
                <w:sz w:val="19"/>
                <w:szCs w:val="19"/>
              </w:rPr>
              <w:t xml:space="preserve">Member portal (Experience Cloud), Lauren signed in.</w:t>
            </w:r>
          </w:p>
        </w:tc>
        <w:tc>
          <w:tcPr>
            <w:tcW w:type="dxa" w:w="516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sz w:val="21"/>
                <w:szCs w:val="21"/>
              </w:rPr>
              <w:t xml:space="preserve">“Lauren Bailey is an active-duty Marine moving to Okinawa, with a card application she started and never finished. Here's how Navy Federal closes it in one conversation.”</w:t>
            </w:r>
          </w:p>
        </w:tc>
      </w:tr>
      <w:tr>
        <w:trPr>
          <w:cantSplit/>
        </w:trPr>
        <w:tc>
          <w:tcPr>
            <w:tcW w:type="dxa" w:w="120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spacing w:after="60"/>
            </w:pPr>
            <w:r>
              <w:rPr>
                <w:b/>
                <w:bCs/>
                <w:color w:val="0B2D5B"/>
              </w:rPr>
              <w:t xml:space="preserve">0:10–0:40</w:t>
            </w:r>
          </w:p>
          <w:p>
            <w:pPr>
              <w:spacing w:after="60"/>
            </w:pPr>
            <w:r>
              <w:rPr>
                <w:color w:val="5A5A5A"/>
                <w:sz w:val="18"/>
                <w:szCs w:val="18"/>
              </w:rPr>
              <w:t xml:space="preserve">Agentforce in the member portal</w:t>
            </w:r>
          </w:p>
        </w:tc>
        <w:tc>
          <w:tcPr>
            <w:tcW w:type="dxa" w:w="300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pStyle w:val="ListParagraph"/>
              <w:numPr>
                <w:ilvl w:val="0"/>
                <w:numId w:val="2"/>
              </w:numPr>
              <w:spacing w:after="40"/>
            </w:pPr>
            <w:r>
              <w:rPr>
                <w:sz w:val="19"/>
                <w:szCs w:val="19"/>
              </w:rPr>
              <w:t xml:space="preserve">Open chat in the portal and ask where the application stands.</w:t>
            </w:r>
          </w:p>
          <w:p>
            <w:pPr>
              <w:pStyle w:val="ListParagraph"/>
              <w:numPr>
                <w:ilvl w:val="0"/>
                <w:numId w:val="2"/>
              </w:numPr>
              <w:spacing w:after="40"/>
            </w:pPr>
            <w:r>
              <w:rPr>
                <w:sz w:val="19"/>
                <w:szCs w:val="19"/>
              </w:rPr>
              <w:t xml:space="preserve">Ask about eligibility after the PCS move, then which card fits her honeymoon.</w:t>
            </w:r>
          </w:p>
          <w:p>
            <w:pPr>
              <w:pStyle w:val="ListParagraph"/>
              <w:numPr>
                <w:ilvl w:val="0"/>
                <w:numId w:val="2"/>
              </w:numPr>
              <w:spacing w:after="40"/>
            </w:pPr>
            <w:r>
              <w:rPr>
                <w:sz w:val="19"/>
                <w:szCs w:val="19"/>
              </w:rPr>
              <w:t xml:space="preserve">Give the new APO address; the verification flag comes back.</w:t>
            </w:r>
          </w:p>
          <w:p>
            <w:pPr>
              <w:pStyle w:val="ListParagraph"/>
              <w:numPr>
                <w:ilvl w:val="0"/>
                <w:numId w:val="2"/>
              </w:numPr>
              <w:spacing w:after="40"/>
            </w:pPr>
            <w:r>
              <w:rPr>
                <w:sz w:val="19"/>
                <w:szCs w:val="19"/>
              </w:rPr>
              <w:t xml:space="preserve">Agent hands off to a member service rep.</w:t>
            </w:r>
          </w:p>
        </w:tc>
        <w:tc>
          <w:tcPr>
            <w:tcW w:type="dxa" w:w="516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spacing w:after="60"/>
            </w:pPr>
            <w:r>
              <w:rPr>
                <w:sz w:val="21"/>
                <w:szCs w:val="21"/>
              </w:rPr>
              <w:t xml:space="preserve">“She opens chat in the member portal. She's signed in, so the Agentforce agent already knows her and her application. It confirms she still qualifies after her PCS move and recommends the Flagship Premier for her honeymoon, grounded in Navy Federal's knowledge. When she updates her address, it calls out through MuleSoft for step-up identity and fraud checks. The change is flagged, so the agent hands her to a rep with the whole conversation attached.”</w:t>
            </w:r>
          </w:p>
        </w:tc>
      </w:tr>
      <w:tr>
        <w:trPr>
          <w:cantSplit/>
        </w:trPr>
        <w:tc>
          <w:tcPr>
            <w:tcW w:type="dxa" w:w="12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b/>
                <w:bCs/>
                <w:color w:val="0B2D5B"/>
              </w:rPr>
              <w:t xml:space="preserve">0:40–0:55</w:t>
            </w:r>
          </w:p>
          <w:p>
            <w:pPr>
              <w:spacing w:after="60"/>
            </w:pPr>
            <w:r>
              <w:rPr>
                <w:color w:val="5A5A5A"/>
                <w:sz w:val="18"/>
                <w:szCs w:val="18"/>
              </w:rPr>
              <w:t xml:space="preserve">Service Rep Assistant</w:t>
            </w:r>
          </w:p>
        </w:tc>
        <w:tc>
          <w:tcPr>
            <w:tcW w:type="dxa" w:w="30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pStyle w:val="ListParagraph"/>
              <w:numPr>
                <w:ilvl w:val="0"/>
                <w:numId w:val="2"/>
              </w:numPr>
              <w:spacing w:after="40"/>
            </w:pPr>
            <w:r>
              <w:rPr>
                <w:sz w:val="19"/>
                <w:szCs w:val="19"/>
              </w:rPr>
              <w:t xml:space="preserve">Chat and case in the console.</w:t>
            </w:r>
          </w:p>
          <w:p>
            <w:pPr>
              <w:pStyle w:val="ListParagraph"/>
              <w:numPr>
                <w:ilvl w:val="0"/>
                <w:numId w:val="2"/>
              </w:numPr>
              <w:spacing w:after="40"/>
            </w:pPr>
            <w:r>
              <w:rPr>
                <w:sz w:val="19"/>
                <w:szCs w:val="19"/>
              </w:rPr>
              <w:t xml:space="preserve">Service Assistant summary and plan steps.</w:t>
            </w:r>
          </w:p>
        </w:tc>
        <w:tc>
          <w:tcPr>
            <w:tcW w:type="dxa" w:w="516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sz w:val="21"/>
                <w:szCs w:val="21"/>
              </w:rPr>
              <w:t xml:space="preserve">“The chat lands in the rep's console with a case already open. The Service Rep Assistant summarizes it and lays out a plan from Navy Federal's own procedures, so even a newer rep works this case with confidence.”</w:t>
            </w:r>
          </w:p>
        </w:tc>
      </w:tr>
      <w:tr>
        <w:trPr>
          <w:cantSplit/>
        </w:trPr>
        <w:tc>
          <w:tcPr>
            <w:tcW w:type="dxa" w:w="120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spacing w:after="60"/>
            </w:pPr>
            <w:r>
              <w:rPr>
                <w:b/>
                <w:bCs/>
                <w:color w:val="0B2D5B"/>
              </w:rPr>
              <w:t xml:space="preserve">0:55–1:17</w:t>
            </w:r>
          </w:p>
          <w:p>
            <w:pPr>
              <w:spacing w:after="60"/>
            </w:pPr>
            <w:r>
              <w:rPr>
                <w:color w:val="5A5A5A"/>
                <w:sz w:val="18"/>
                <w:szCs w:val="18"/>
              </w:rPr>
              <w:t xml:space="preserve">Review Card Application</w:t>
            </w:r>
          </w:p>
        </w:tc>
        <w:tc>
          <w:tcPr>
            <w:tcW w:type="dxa" w:w="300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pStyle w:val="ListParagraph"/>
              <w:numPr>
                <w:ilvl w:val="0"/>
                <w:numId w:val="2"/>
              </w:numPr>
              <w:spacing w:after="40"/>
            </w:pPr>
            <w:r>
              <w:rPr>
                <w:sz w:val="19"/>
                <w:szCs w:val="19"/>
              </w:rPr>
              <w:t xml:space="preserve">Action bar step 1: Review Card Application.</w:t>
            </w:r>
          </w:p>
          <w:p>
            <w:pPr>
              <w:pStyle w:val="ListParagraph"/>
              <w:numPr>
                <w:ilvl w:val="0"/>
                <w:numId w:val="2"/>
              </w:numPr>
              <w:spacing w:after="40"/>
            </w:pPr>
            <w:r>
              <w:rPr>
                <w:sz w:val="19"/>
                <w:szCs w:val="19"/>
              </w:rPr>
              <w:t xml:space="preserve">Both attached files, then Parse application.</w:t>
            </w:r>
          </w:p>
          <w:p>
            <w:pPr>
              <w:pStyle w:val="ListParagraph"/>
              <w:numPr>
                <w:ilvl w:val="0"/>
                <w:numId w:val="2"/>
              </w:numPr>
              <w:spacing w:after="40"/>
            </w:pPr>
            <w:r>
              <w:rPr>
                <w:sz w:val="19"/>
                <w:szCs w:val="19"/>
              </w:rPr>
              <w:t xml:space="preserve">Metrics row and the address mismatch flag.</w:t>
            </w:r>
          </w:p>
        </w:tc>
        <w:tc>
          <w:tcPr>
            <w:tcW w:type="dxa" w:w="516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spacing w:after="60"/>
            </w:pPr>
            <w:r>
              <w:rPr>
                <w:sz w:val="21"/>
                <w:szCs w:val="21"/>
              </w:rPr>
              <w:t xml:space="preserve">“Review Card Application finds her application and government ID already on the case. One click and Agentforce checks both against membership and card requirements: six of twelve met, what's missing, and an address that differs from her ID. A ten-minute manual review becomes one click.”</w:t>
            </w:r>
          </w:p>
        </w:tc>
      </w:tr>
      <w:tr>
        <w:trPr>
          <w:cantSplit/>
        </w:trPr>
        <w:tc>
          <w:tcPr>
            <w:tcW w:type="dxa" w:w="12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b/>
                <w:bCs/>
                <w:color w:val="0B2D5B"/>
              </w:rPr>
              <w:t xml:space="preserve">1:17–1:39</w:t>
            </w:r>
          </w:p>
          <w:p>
            <w:pPr>
              <w:spacing w:after="60"/>
            </w:pPr>
            <w:r>
              <w:rPr>
                <w:color w:val="5A5A5A"/>
                <w:sz w:val="18"/>
                <w:szCs w:val="18"/>
              </w:rPr>
              <w:t xml:space="preserve">Complete Card Application</w:t>
            </w:r>
          </w:p>
        </w:tc>
        <w:tc>
          <w:tcPr>
            <w:tcW w:type="dxa" w:w="30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pStyle w:val="ListParagraph"/>
              <w:numPr>
                <w:ilvl w:val="0"/>
                <w:numId w:val="2"/>
              </w:numPr>
              <w:spacing w:after="40"/>
            </w:pPr>
            <w:r>
              <w:rPr>
                <w:sz w:val="19"/>
                <w:szCs w:val="19"/>
              </w:rPr>
              <w:t xml:space="preserve">Step 2: Parse Government ID fills the ID fields.</w:t>
            </w:r>
          </w:p>
          <w:p>
            <w:pPr>
              <w:pStyle w:val="ListParagraph"/>
              <w:numPr>
                <w:ilvl w:val="0"/>
                <w:numId w:val="2"/>
              </w:numPr>
              <w:spacing w:after="40"/>
            </w:pPr>
            <w:r>
              <w:rPr>
                <w:sz w:val="19"/>
                <w:szCs w:val="19"/>
              </w:rPr>
              <w:t xml:space="preserve">Step 3: Flagship marked “Best fit for you”; Capital One transfer carried over.</w:t>
            </w:r>
          </w:p>
          <w:p>
            <w:pPr>
              <w:pStyle w:val="ListParagraph"/>
              <w:numPr>
                <w:ilvl w:val="0"/>
                <w:numId w:val="2"/>
              </w:numPr>
              <w:spacing w:after="40"/>
            </w:pPr>
            <w:r>
              <w:rPr>
                <w:sz w:val="19"/>
                <w:szCs w:val="19"/>
              </w:rPr>
              <w:t xml:space="preserve">Second balance and fiancé set to collect; Complete.</w:t>
            </w:r>
          </w:p>
        </w:tc>
        <w:tc>
          <w:tcPr>
            <w:tcW w:type="dxa" w:w="516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sz w:val="21"/>
                <w:szCs w:val="21"/>
              </w:rPr>
              <w:t xml:space="preserve">“Complete Card Application picks up from there. Parse Government ID fills her license details, the Flagship Premier is marked best fit, and her Capital One transfer carries over. Her second balance and her fiancé's details are set to collect. One save updates the application in Salesforce, with no rekeying.”</w:t>
            </w:r>
          </w:p>
        </w:tc>
      </w:tr>
      <w:tr>
        <w:trPr>
          <w:cantSplit/>
        </w:trPr>
        <w:tc>
          <w:tcPr>
            <w:tcW w:type="dxa" w:w="120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spacing w:after="60"/>
            </w:pPr>
            <w:r>
              <w:rPr>
                <w:b/>
                <w:bCs/>
                <w:color w:val="0B2D5B"/>
              </w:rPr>
              <w:t xml:space="preserve">1:39–1:54</w:t>
            </w:r>
          </w:p>
          <w:p>
            <w:pPr>
              <w:spacing w:after="60"/>
            </w:pPr>
            <w:r>
              <w:rPr>
                <w:color w:val="5A5A5A"/>
                <w:sz w:val="18"/>
                <w:szCs w:val="18"/>
              </w:rPr>
              <w:t xml:space="preserve">Verify Identity</w:t>
            </w:r>
          </w:p>
        </w:tc>
        <w:tc>
          <w:tcPr>
            <w:tcW w:type="dxa" w:w="300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pStyle w:val="ListParagraph"/>
              <w:numPr>
                <w:ilvl w:val="0"/>
                <w:numId w:val="2"/>
              </w:numPr>
              <w:spacing w:after="40"/>
            </w:pPr>
            <w:r>
              <w:rPr>
                <w:sz w:val="19"/>
                <w:szCs w:val="19"/>
              </w:rPr>
              <w:t xml:space="preserve">ID and PCS orders side by side, already on file.</w:t>
            </w:r>
          </w:p>
          <w:p>
            <w:pPr>
              <w:pStyle w:val="ListParagraph"/>
              <w:numPr>
                <w:ilvl w:val="0"/>
                <w:numId w:val="2"/>
              </w:numPr>
              <w:spacing w:after="40"/>
            </w:pPr>
            <w:r>
              <w:rPr>
                <w:sz w:val="19"/>
                <w:szCs w:val="19"/>
              </w:rPr>
              <w:t xml:space="preserve">Check the confirmation box.</w:t>
            </w:r>
          </w:p>
        </w:tc>
        <w:tc>
          <w:tcPr>
            <w:tcW w:type="dxa" w:w="516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spacing w:after="60"/>
            </w:pPr>
            <w:r>
              <w:rPr>
                <w:sz w:val="21"/>
                <w:szCs w:val="21"/>
              </w:rPr>
              <w:t xml:space="preserve">“Verify Identity puts her ID and PCS orders side by side, already on the case. The rep compares them to her profile and checks the confirmation box, leaving an auditable step-up verification for a member moving overseas.”</w:t>
            </w:r>
          </w:p>
        </w:tc>
      </w:tr>
      <w:tr>
        <w:trPr>
          <w:cantSplit/>
        </w:trPr>
        <w:tc>
          <w:tcPr>
            <w:tcW w:type="dxa" w:w="12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b/>
                <w:bCs/>
                <w:color w:val="0B2D5B"/>
              </w:rPr>
              <w:t xml:space="preserve">1:54–2:14</w:t>
            </w:r>
          </w:p>
          <w:p>
            <w:pPr>
              <w:spacing w:after="60"/>
            </w:pPr>
            <w:r>
              <w:rPr>
                <w:color w:val="5A5A5A"/>
                <w:sz w:val="18"/>
                <w:szCs w:val="18"/>
              </w:rPr>
              <w:t xml:space="preserve">Email Application Requirements</w:t>
            </w:r>
          </w:p>
        </w:tc>
        <w:tc>
          <w:tcPr>
            <w:tcW w:type="dxa" w:w="30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pStyle w:val="ListParagraph"/>
              <w:numPr>
                <w:ilvl w:val="0"/>
                <w:numId w:val="2"/>
              </w:numPr>
              <w:spacing w:after="40"/>
            </w:pPr>
            <w:r>
              <w:rPr>
                <w:sz w:val="19"/>
                <w:szCs w:val="19"/>
              </w:rPr>
              <w:t xml:space="preserve">Outstanding items pre-selected; preview.</w:t>
            </w:r>
          </w:p>
          <w:p>
            <w:pPr>
              <w:pStyle w:val="ListParagraph"/>
              <w:numPr>
                <w:ilvl w:val="0"/>
                <w:numId w:val="2"/>
              </w:numPr>
              <w:spacing w:after="40"/>
            </w:pPr>
            <w:r>
              <w:rPr>
                <w:sz w:val="19"/>
                <w:szCs w:val="19"/>
              </w:rPr>
              <w:t xml:space="preserve">Send: case moves to Waiting on Customer.</w:t>
            </w:r>
          </w:p>
          <w:p>
            <w:pPr>
              <w:pStyle w:val="ListParagraph"/>
              <w:numPr>
                <w:ilvl w:val="0"/>
                <w:numId w:val="2"/>
              </w:numPr>
              <w:spacing w:after="40"/>
            </w:pPr>
            <w:r>
              <w:rPr>
                <w:sz w:val="19"/>
                <w:szCs w:val="19"/>
              </w:rPr>
              <w:t xml:space="preserve">Point to the checkmarks on the action bar.</w:t>
            </w:r>
          </w:p>
        </w:tc>
        <w:tc>
          <w:tcPr>
            <w:tcW w:type="dxa" w:w="516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sz w:val="21"/>
                <w:szCs w:val="21"/>
              </w:rPr>
              <w:t xml:space="preserve">“Email Application Requirements has everything outstanding pre-selected: her fiancé's details and the second balance transfer. Send logs it to the case and sets it to Waiting on Customer. Notice the checkmarks on the action bar: every step is done, and her applicant record updated itself.”</w:t>
            </w:r>
          </w:p>
        </w:tc>
      </w:tr>
      <w:tr>
        <w:trPr>
          <w:cantSplit/>
        </w:trPr>
        <w:tc>
          <w:tcPr>
            <w:tcW w:type="dxa" w:w="120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spacing w:after="60"/>
            </w:pPr>
            <w:r>
              <w:rPr>
                <w:b/>
                <w:bCs/>
                <w:color w:val="0B2D5B"/>
              </w:rPr>
              <w:t xml:space="preserve">2:14–2:26</w:t>
            </w:r>
          </w:p>
          <w:p>
            <w:pPr>
              <w:spacing w:after="60"/>
            </w:pPr>
            <w:r>
              <w:rPr>
                <w:color w:val="5A5A5A"/>
                <w:sz w:val="18"/>
                <w:szCs w:val="18"/>
              </w:rPr>
              <w:t xml:space="preserve">Enhanced Case Summaries</w:t>
            </w:r>
          </w:p>
        </w:tc>
        <w:tc>
          <w:tcPr>
            <w:tcW w:type="dxa" w:w="300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pStyle w:val="ListParagraph"/>
              <w:numPr>
                <w:ilvl w:val="0"/>
                <w:numId w:val="2"/>
              </w:numPr>
              <w:spacing w:after="40"/>
            </w:pPr>
            <w:r>
              <w:rPr>
                <w:sz w:val="19"/>
                <w:szCs w:val="19"/>
              </w:rPr>
              <w:t xml:space="preserve">Persona-based summary posted to the case feed.</w:t>
            </w:r>
          </w:p>
        </w:tc>
        <w:tc>
          <w:tcPr>
            <w:tcW w:type="dxa" w:w="516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spacing w:after="60"/>
            </w:pPr>
            <w:r>
              <w:rPr>
                <w:sz w:val="21"/>
                <w:szCs w:val="21"/>
              </w:rPr>
              <w:t xml:space="preserve">“All of it rolls up into a case summary configured by persona and posted to the case feed, so member services, fraud and lending all work from the same picture.”</w:t>
            </w:r>
          </w:p>
        </w:tc>
      </w:tr>
      <w:tr>
        <w:trPr>
          <w:cantSplit/>
        </w:trPr>
        <w:tc>
          <w:tcPr>
            <w:tcW w:type="dxa" w:w="12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b/>
                <w:bCs/>
                <w:color w:val="0B2D5B"/>
              </w:rPr>
              <w:t xml:space="preserve">2:26–2:34</w:t>
            </w:r>
          </w:p>
          <w:p>
            <w:pPr>
              <w:spacing w:after="60"/>
            </w:pPr>
            <w:r>
              <w:rPr>
                <w:color w:val="5A5A5A"/>
                <w:sz w:val="18"/>
                <w:szCs w:val="18"/>
              </w:rPr>
              <w:t xml:space="preserve">Generative Email Summaries</w:t>
            </w:r>
          </w:p>
        </w:tc>
        <w:tc>
          <w:tcPr>
            <w:tcW w:type="dxa" w:w="30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pStyle w:val="ListParagraph"/>
              <w:numPr>
                <w:ilvl w:val="0"/>
                <w:numId w:val="2"/>
              </w:numPr>
              <w:spacing w:after="40"/>
            </w:pPr>
            <w:r>
              <w:rPr>
                <w:sz w:val="19"/>
                <w:szCs w:val="19"/>
              </w:rPr>
              <w:t xml:space="preserve">Summary at the top of her reply.</w:t>
            </w:r>
          </w:p>
        </w:tc>
        <w:tc>
          <w:tcPr>
            <w:tcW w:type="dxa" w:w="516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sz w:val="21"/>
                <w:szCs w:val="21"/>
              </w:rPr>
              <w:t xml:space="preserve">“When Lauren replies, an email summary tells the rep what's been said at a glance, without reading the thread.”</w:t>
            </w:r>
          </w:p>
        </w:tc>
      </w:tr>
      <w:tr>
        <w:trPr>
          <w:cantSplit/>
        </w:trPr>
        <w:tc>
          <w:tcPr>
            <w:tcW w:type="dxa" w:w="120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spacing w:after="60"/>
            </w:pPr>
            <w:r>
              <w:rPr>
                <w:b/>
                <w:bCs/>
                <w:color w:val="0B2D5B"/>
              </w:rPr>
              <w:t xml:space="preserve">2:34–2:52</w:t>
            </w:r>
          </w:p>
          <w:p>
            <w:pPr>
              <w:spacing w:after="60"/>
            </w:pPr>
            <w:r>
              <w:rPr>
                <w:color w:val="5A5A5A"/>
                <w:sz w:val="18"/>
                <w:szCs w:val="18"/>
              </w:rPr>
              <w:t xml:space="preserve">Command Center for Service</w:t>
            </w:r>
          </w:p>
        </w:tc>
        <w:tc>
          <w:tcPr>
            <w:tcW w:type="dxa" w:w="300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pStyle w:val="ListParagraph"/>
              <w:numPr>
                <w:ilvl w:val="0"/>
                <w:numId w:val="2"/>
              </w:numPr>
              <w:spacing w:after="40"/>
            </w:pPr>
            <w:r>
              <w:rPr>
                <w:sz w:val="19"/>
                <w:szCs w:val="19"/>
              </w:rPr>
              <w:t xml:space="preserve">Queue backlog, wait times, rep capacity.</w:t>
            </w:r>
          </w:p>
          <w:p>
            <w:pPr>
              <w:pStyle w:val="ListParagraph"/>
              <w:numPr>
                <w:ilvl w:val="0"/>
                <w:numId w:val="2"/>
              </w:numPr>
              <w:spacing w:after="40"/>
            </w:pPr>
            <w:r>
              <w:rPr>
                <w:sz w:val="19"/>
                <w:szCs w:val="19"/>
              </w:rPr>
              <w:t xml:space="preserve">Omni Supervisor: live chats and a raised flag.</w:t>
            </w:r>
          </w:p>
        </w:tc>
        <w:tc>
          <w:tcPr>
            <w:tcW w:type="dxa" w:w="5160"/>
            <w:tcBorders>
              <w:top w:val="single" w:color="D0D7E2" w:sz="4"/>
              <w:left w:val="single" w:color="D0D7E2" w:sz="4"/>
              <w:bottom w:val="single" w:color="D0D7E2" w:sz="4"/>
              <w:right w:val="single" w:color="D0D7E2" w:sz="4"/>
            </w:tcBorders>
            <w:tcMar>
              <w:top w:type="dxa" w:w="100"/>
              <w:left w:type="dxa" w:w="120"/>
              <w:bottom w:type="dxa" w:w="100"/>
              <w:right w:type="dxa" w:w="120"/>
            </w:tcMar>
            <w:vAlign w:val="top"/>
          </w:tcPr>
          <w:p>
            <w:pPr>
              <w:spacing w:after="60"/>
            </w:pPr>
            <w:r>
              <w:rPr>
                <w:sz w:val="21"/>
                <w:szCs w:val="21"/>
              </w:rPr>
              <w:t xml:space="preserve">“Supervisors see it all in Command Center for Service: queue backlogs, wait times and rep capacity, with Omni Supervisor to monitor live chats, answer a raised flag and reassign work. Leaders spot a surge in card applications before members feel it.”</w:t>
            </w:r>
          </w:p>
        </w:tc>
      </w:tr>
      <w:tr>
        <w:trPr>
          <w:cantSplit/>
        </w:trPr>
        <w:tc>
          <w:tcPr>
            <w:tcW w:type="dxa" w:w="12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b/>
                <w:bCs/>
                <w:color w:val="0B2D5B"/>
              </w:rPr>
              <w:t xml:space="preserve">2:52–3:00</w:t>
            </w:r>
          </w:p>
          <w:p>
            <w:pPr>
              <w:spacing w:after="60"/>
            </w:pPr>
            <w:r>
              <w:rPr>
                <w:color w:val="5A5A5A"/>
                <w:sz w:val="18"/>
                <w:szCs w:val="18"/>
              </w:rPr>
              <w:t xml:space="preserve">Close</w:t>
            </w:r>
          </w:p>
        </w:tc>
        <w:tc>
          <w:tcPr>
            <w:tcW w:type="dxa" w:w="300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pStyle w:val="ListParagraph"/>
              <w:numPr>
                <w:ilvl w:val="0"/>
                <w:numId w:val="2"/>
              </w:numPr>
              <w:spacing w:after="40"/>
            </w:pPr>
            <w:r>
              <w:rPr>
                <w:sz w:val="19"/>
                <w:szCs w:val="19"/>
              </w:rPr>
              <w:t xml:space="preserve">Return to the completed case.</w:t>
            </w:r>
          </w:p>
        </w:tc>
        <w:tc>
          <w:tcPr>
            <w:tcW w:type="dxa" w:w="5160"/>
            <w:tcBorders>
              <w:top w:val="single" w:color="D0D7E2" w:sz="4"/>
              <w:left w:val="single" w:color="D0D7E2" w:sz="4"/>
              <w:bottom w:val="single" w:color="D0D7E2" w:sz="4"/>
              <w:right w:val="single" w:color="D0D7E2" w:sz="4"/>
            </w:tcBorders>
            <w:shd w:fill="EEF3F9" w:color="auto" w:val="clear"/>
            <w:tcMar>
              <w:top w:type="dxa" w:w="100"/>
              <w:left w:type="dxa" w:w="120"/>
              <w:bottom w:type="dxa" w:w="100"/>
              <w:right w:type="dxa" w:w="120"/>
            </w:tcMar>
            <w:vAlign w:val="top"/>
          </w:tcPr>
          <w:p>
            <w:pPr>
              <w:spacing w:after="60"/>
            </w:pPr>
            <w:r>
              <w:rPr>
                <w:sz w:val="21"/>
                <w:szCs w:val="21"/>
              </w:rPr>
              <w:t xml:space="preserve">“One conversation, from a portal chat to a finished application. That's Service Cloud and Agentforce for Navy Federal members.”</w:t>
            </w:r>
          </w:p>
        </w:tc>
      </w:tr>
    </w:tbl>
    <w:p>
      <w:pPr>
        <w:pStyle w:val="Heading2"/>
      </w:pPr>
      <w:r>
        <w:t xml:space="preserve">Before you record</w:t>
      </w:r>
    </w:p>
    <w:p>
      <w:pPr>
        <w:pStyle w:val="ListParagraph"/>
        <w:numPr>
          <w:ilvl w:val="0"/>
          <w:numId w:val="2"/>
        </w:numPr>
        <w:spacing w:after="80"/>
      </w:pPr>
      <w:r>
        <w:rPr>
          <w:b/>
          <w:bCs/>
        </w:rPr>
        <w:t xml:space="preserve">Checkbox: </w:t>
      </w:r>
      <w:r>
        <w:t xml:space="preserve">point to the checkmarks on the action bar after the email step, and the confirmation box in Verify Identity.</w:t>
      </w:r>
    </w:p>
    <w:p>
      <w:pPr>
        <w:pStyle w:val="ListParagraph"/>
        <w:numPr>
          <w:ilvl w:val="0"/>
          <w:numId w:val="2"/>
        </w:numPr>
        <w:spacing w:after="80"/>
      </w:pPr>
      <w:r>
        <w:rPr>
          <w:b/>
          <w:bCs/>
        </w:rPr>
        <w:t xml:space="preserve">Agent: </w:t>
      </w:r>
      <w:r>
        <w:t xml:space="preserve">status, eligibility, card comparison, address read-back and handoff are tested. The identity check is simulated; the knowledge action isn’t on the agent topic yet.</w:t>
      </w:r>
    </w:p>
    <w:p>
      <w:pPr>
        <w:pStyle w:val="ListParagraph"/>
        <w:numPr>
          <w:ilvl w:val="0"/>
          <w:numId w:val="2"/>
        </w:numPr>
        <w:spacing w:after="80"/>
      </w:pPr>
      <w:r>
        <w:rPr>
          <w:b/>
          <w:bCs/>
        </w:rPr>
        <w:t xml:space="preserve">Not built in this org: </w:t>
      </w:r>
      <w:r>
        <w:t xml:space="preserve">case summaries, email summaries and Command Center. Check they render, with live chats in Omni Supervisor.</w:t>
      </w:r>
    </w:p>
    <w:p>
      <w:pPr>
        <w:pStyle w:val="ListParagraph"/>
        <w:numPr>
          <w:ilvl w:val="0"/>
          <w:numId w:val="2"/>
        </w:numPr>
        <w:spacing w:after="80"/>
      </w:pPr>
      <w:r>
        <w:rPr>
          <w:b/>
          <w:bCs/>
        </w:rPr>
        <w:t xml:space="preserve">Fresh case: </w:t>
      </w:r>
      <w:r>
        <w:t xml:space="preserve">run on a case with the PDF, ID and PCS orders attached and no actions run yet, so counts, “Not parsed” states and checkmarks look right.</w:t>
      </w: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A"/>
        <w:sz w:val="16"/>
        <w:szCs w:val="16"/>
      </w:rPr>
      <w:t xml:space="preserve">NFCU Card Account Opening · Talk Track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0B2D5B"/>
      <w:sz w:val="40"/>
      <w:szCs w:val="40"/>
    </w:rPr>
  </w:style>
  <w:style w:type="paragraph" w:styleId="Heading2">
    <w:name w:val="Heading 2"/>
    <w:basedOn w:val="Normal"/>
    <w:next w:val="Normal"/>
    <w:qFormat/>
    <w:pPr>
      <w:spacing w:after="120" w:before="280"/>
      <w:outlineLvl w:val="1"/>
    </w:pPr>
    <w:rPr>
      <w:b/>
      <w:bCs/>
      <w:color w:val="0B2D5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2026-10-05T21:14:22.084Z</dcterms:created>
  <dcterms:modified xsi:type="dcterms:W3CDTF">2026-10-05T21:14:22.084Z</dcterms:modified>
</cp:coreProperties>
</file>

<file path=docProps/custom.xml><?xml version="1.0" encoding="utf-8"?>
<Properties xmlns="http://schemas.openxmlformats.org/officeDocument/2006/custom-properties" xmlns:vt="http://schemas.openxmlformats.org/officeDocument/2006/docPropsVTypes"/>
</file>