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Liberation Serif" w:hAnsi="Liberation Serif"/>
          <w:i/>
          <w:sz w:val="72"/>
          <w:szCs w:val="72"/>
          <w:color w:val="1a2744"/>
        </w:rPr>
      </w:pPr>
      <w:r>
        <w:rPr>
          <w:rFonts w:ascii="Liberation Serif" w:hAnsi="Liberation Serif"/>
          <w:i/>
          <w:sz w:val="72"/>
          <w:szCs w:val="72"/>
          <w:color w:val="1a2744"/>
        </w:rPr>
        <w:t xml:space="preserve">wonder</w:t>
      </w:r>
    </w:p>
    <w:p>
      <w:pPr>
        <w:jc w:val="center"/>
        <w:spacing w:after="200"/>
        <w:rPr>
          <w:rFonts w:ascii="Liberation Serif" w:hAnsi="Liberation Serif"/>
          <w:i/>
          <w:sz w:val="22"/>
          <w:szCs w:val="22"/>
          <w:color w:val="666666"/>
        </w:rPr>
      </w:pPr>
      <w:r>
        <w:rPr>
          <w:rFonts w:ascii="Liberation Serif" w:hAnsi="Liberation Serif"/>
          <w:i/>
          <w:sz w:val="22"/>
          <w:szCs w:val="22"/>
          <w:color w:val="666666"/>
        </w:rPr>
        <w:t xml:space="preserve">/ˈwʌndər/</w:t>
      </w:r>
    </w:p>
    <w:p>
      <w:pPr>
        <w:jc w:val="center"/>
        <w:spacing w:after="100"/>
        <w:rPr>
          <w:rFonts w:ascii="Liberation Sans" w:hAnsi="Liberation Sans"/>
          <w:i/>
          <w:sz w:val="18"/>
          <w:szCs w:val="18"/>
          <w:color w:val="888888"/>
        </w:rPr>
      </w:pPr>
      <w:r>
        <w:rPr>
          <w:rFonts w:ascii="Liberation Sans" w:hAnsi="Liberation Sans"/>
          <w:i/>
          <w:sz w:val="18"/>
          <w:szCs w:val="18"/>
          <w:color w:val="888888"/>
        </w:rPr>
        <w:t xml:space="preserve">noun</w:t>
      </w:r>
    </w:p>
    <w:p>
      <w:pPr>
        <w:jc w:val="center"/>
        <w:spacing w:after="800"/>
        <w:rPr>
          <w:rFonts w:ascii="Liberation Serif" w:hAnsi="Liberation Serif"/>
          <w:i/>
          <w:sz w:val="22"/>
          <w:szCs w:val="22"/>
          <w:color w:val="333333"/>
        </w:rPr>
      </w:pPr>
      <w:r>
        <w:rPr>
          <w:rFonts w:ascii="Liberation Serif" w:hAnsi="Liberation Serif"/>
          <w:i/>
          <w:sz w:val="22"/>
          <w:szCs w:val="22"/>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Liberation Sans" w:hAnsi="Liberation Sans"/>
          <w:sz w:val="20"/>
          <w:szCs w:val="20"/>
          <w:color w:val="cccccc"/>
        </w:rPr>
      </w:pPr>
      <w:r>
        <w:rPr>
          <w:rFonts w:ascii="Liberation Sans" w:hAnsi="Liberation Sans"/>
          <w:sz w:val="20"/>
          <w:szCs w:val="20"/>
          <w:color w:val="cccccc"/>
        </w:rPr>
        <w:t xml:space="preserve">•  •  •</w:t>
      </w:r>
    </w:p>
    <w:p>
      <w:pPr>
        <w:jc w:val="center"/>
        <w:spacing w:after="120"/>
        <w:rPr>
          <w:rFonts w:ascii="Liberation Serif" w:hAnsi="Liberation Serif"/>
          <w:i/>
          <w:sz w:val="72"/>
          <w:szCs w:val="72"/>
          <w:color w:val="1a2744"/>
        </w:rPr>
      </w:pPr>
      <w:r>
        <w:rPr>
          <w:rFonts w:ascii="Liberation Serif" w:hAnsi="Liberation Serif"/>
          <w:i/>
          <w:sz w:val="72"/>
          <w:szCs w:val="72"/>
          <w:color w:val="1a2744"/>
        </w:rPr>
        <w:t xml:space="preserve">architecture</w:t>
      </w:r>
    </w:p>
    <w:p>
      <w:pPr>
        <w:jc w:val="center"/>
        <w:spacing w:after="200"/>
        <w:rPr>
          <w:rFonts w:ascii="Liberation Serif" w:hAnsi="Liberation Serif"/>
          <w:i/>
          <w:sz w:val="22"/>
          <w:szCs w:val="22"/>
          <w:color w:val="666666"/>
        </w:rPr>
      </w:pPr>
      <w:r>
        <w:rPr>
          <w:rFonts w:ascii="Liberation Serif" w:hAnsi="Liberation Serif"/>
          <w:i/>
          <w:sz w:val="22"/>
          <w:szCs w:val="22"/>
          <w:color w:val="666666"/>
        </w:rPr>
        <w:t xml:space="preserve">/ˈɑːrkɪtektʃər/</w:t>
      </w:r>
    </w:p>
    <w:p>
      <w:pPr>
        <w:jc w:val="center"/>
        <w:spacing w:after="100"/>
        <w:rPr>
          <w:rFonts w:ascii="Liberation Sans" w:hAnsi="Liberation Sans"/>
          <w:i/>
          <w:sz w:val="18"/>
          <w:szCs w:val="18"/>
          <w:color w:val="888888"/>
        </w:rPr>
      </w:pPr>
      <w:r>
        <w:rPr>
          <w:rFonts w:ascii="Liberation Sans" w:hAnsi="Liberation Sans"/>
          <w:i/>
          <w:sz w:val="18"/>
          <w:szCs w:val="18"/>
          <w:color w:val="888888"/>
        </w:rPr>
        <w:t xml:space="preserve">noun</w:t>
      </w:r>
    </w:p>
    <w:p>
      <w:pPr>
        <w:jc w:val="center"/>
        <w:spacing w:after="200"/>
        <w:rPr>
          <w:rFonts w:ascii="Liberation Serif" w:hAnsi="Liberation Serif"/>
          <w:i/>
          <w:sz w:val="22"/>
          <w:szCs w:val="22"/>
          <w:color w:val="333333"/>
        </w:rPr>
      </w:pPr>
      <w:r>
        <w:rPr>
          <w:rFonts w:ascii="Liberation Serif" w:hAnsi="Liberation Serif"/>
          <w:i/>
          <w:sz w:val="22"/>
          <w:szCs w:val="22"/>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Liberation Sans" w:hAnsi="Liberation Sans"/>
          <w:b/>
          <w:sz w:val="32"/>
          <w:szCs w:val="32"/>
          <w:color w:val="1a2744"/>
        </w:rPr>
      </w:pPr>
      <w:r>
        <w:rPr>
          <w:rFonts w:ascii="Liberation Sans" w:hAnsi="Liberation Sans"/>
          <w:b/>
          <w:sz w:val="32"/>
          <w:szCs w:val="32"/>
          <w:color w:val="1a2744"/>
        </w:rPr>
        <w:t xml:space="preserve">Why This Book Puts Them Together</w:t>
      </w:r>
    </w:p>
    <w:p>
      <w:pPr>
        <w:jc w:val="center"/>
        <w:spacing w:after="300"/>
        <w:rPr>
          <w:rFonts w:ascii="Liberation Serif" w:hAnsi="Liberation Serif"/>
          <w:sz w:val="24"/>
          <w:szCs w:val="24"/>
          <w:color w:val="333333"/>
        </w:rPr>
      </w:pPr>
      <w:r>
        <w:rPr>
          <w:rFonts w:ascii="Liberation Serif" w:hAnsi="Liberation Serif"/>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Liberation Serif" w:hAnsi="Liberation Serif"/>
          <w:sz w:val="24"/>
          <w:szCs w:val="24"/>
          <w:color w:val="333333"/>
        </w:rPr>
      </w:pPr>
      <w:r>
        <w:rPr>
          <w:rFonts w:ascii="Liberation Serif" w:hAnsi="Liberation Serif"/>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Liberation Serif" w:hAnsi="Liberation Serif"/>
          <w:sz w:val="24"/>
          <w:szCs w:val="24"/>
          <w:color w:val="333333"/>
        </w:rPr>
      </w:pPr>
      <w:r>
        <w:rPr>
          <w:rFonts w:ascii="Liberation Serif" w:hAnsi="Liberation Serif"/>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Liberation Sans" w:hAnsi="Liberation Sans"/>
          <w:b/>
          <w:sz w:val="30"/>
          <w:szCs w:val="30"/>
          <w:color w:val="1a2744"/>
        </w:rPr>
      </w:pPr>
      <w:r>
        <w:rPr>
          <w:rFonts w:ascii="Liberation Sans" w:hAnsi="Liberation Sans"/>
          <w:b/>
          <w:sz w:val="30"/>
          <w:szCs w:val="30"/>
          <w:color w:val="1a2744"/>
        </w:rPr>
        <w:t xml:space="preserve">Behavioral Science and Mentalism:</w:t>
      </w:r>
    </w:p>
    <w:p>
      <w:pPr>
        <w:jc w:val="center"/>
        <w:spacing w:after="400"/>
        <w:rPr>
          <w:rFonts w:ascii="Liberation Sans" w:hAnsi="Liberation Sans"/>
          <w:b/>
          <w:sz w:val="30"/>
          <w:szCs w:val="30"/>
          <w:color w:val="1a2744"/>
        </w:rPr>
      </w:pPr>
      <w:r>
        <w:rPr>
          <w:rFonts w:ascii="Liberation Sans" w:hAnsi="Liberation Sans"/>
          <w:b/>
          <w:sz w:val="30"/>
          <w:szCs w:val="30"/>
          <w:color w:val="1a2744"/>
        </w:rPr>
        <w:t xml:space="preserve">Two Fields That Rarely Speak</w:t>
      </w:r>
    </w:p>
    <w:p>
      <w:pPr>
        <w:spacing w:after="240"/>
        <w:rPr>
          <w:rFonts w:ascii="Liberation Serif" w:hAnsi="Liberation Serif"/>
          <w:sz w:val="22"/>
          <w:szCs w:val="22"/>
          <w:color w:val="333333"/>
        </w:rPr>
      </w:pPr>
      <w:r>
        <w:rPr>
          <w:rFonts w:ascii="Liberation Serif" w:hAnsi="Liberation Serif"/>
          <w:sz w:val="22"/>
          <w:szCs w:val="22"/>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Liberation Serif" w:hAnsi="Liberation Serif"/>
          <w:sz w:val="22"/>
          <w:szCs w:val="22"/>
          <w:color w:val="333333"/>
        </w:rPr>
      </w:pPr>
      <w:r>
        <w:rPr>
          <w:rFonts w:ascii="Liberation Serif" w:hAnsi="Liberation Serif"/>
          <w:sz w:val="22"/>
          <w:szCs w:val="22"/>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Liberation Serif" w:hAnsi="Liberation Serif"/>
          <w:sz w:val="22"/>
          <w:szCs w:val="22"/>
          <w:color w:val="333333"/>
        </w:rPr>
      </w:pPr>
      <w:r>
        <w:rPr>
          <w:rFonts w:ascii="Liberation Serif" w:hAnsi="Liberation Serif"/>
          <w:sz w:val="22"/>
          <w:szCs w:val="22"/>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Liberation Serif" w:hAnsi="Liberation Serif"/>
          <w:sz w:val="22"/>
          <w:szCs w:val="22"/>
          <w:color w:val="333333"/>
        </w:rPr>
      </w:pPr>
      <w:r>
        <w:rPr>
          <w:rFonts w:ascii="Liberation Serif" w:hAnsi="Liberation Serif"/>
          <w:sz w:val="22"/>
          <w:szCs w:val="22"/>
          <w:color w:val="333333"/>
        </w:rPr>
        <w:t xml:space="preserve">The mentalist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Liberation Serif" w:hAnsi="Liberation Serif"/>
          <w:sz w:val="22"/>
          <w:szCs w:val="22"/>
          <w:color w:val="333333"/>
        </w:rPr>
      </w:pPr>
      <w:r>
        <w:rPr>
          <w:rFonts w:ascii="Liberation Serif" w:hAnsi="Liberation Serif"/>
          <w:sz w:val="22"/>
          <w:szCs w:val="22"/>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Liberation Serif" w:hAnsi="Liberation Serif"/>
          <w:sz w:val="22"/>
          <w:szCs w:val="22"/>
          <w:color w:val="333333"/>
        </w:rPr>
      </w:pPr>
      <w:r>
        <w:rPr>
          <w:rFonts w:ascii="Liberation Serif" w:hAnsi="Liberation Serif"/>
          <w:sz w:val="22"/>
          <w:szCs w:val="22"/>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ageBreakBefore/>
        <w:rPr/>
      </w:pPr>
    </w:p>
    <w:p>
      <w:pPr>
        <w:spacing w:after="200"/>
        <w:rPr/>
      </w:pPr>
    </w:p>
    <w:p>
      <w:pPr>
        <w:jc w:val="center"/>
        <w:spacing w:after="400"/>
        <w:rPr>
          <w:rFonts w:ascii="Liberation Sans" w:hAnsi="Liberation Sans"/>
          <w:b/>
          <w:sz w:val="24"/>
          <w:szCs w:val="24"/>
          <w:color w:val="1a2744"/>
        </w:rPr>
      </w:pPr>
      <w:r>
        <w:rPr>
          <w:rFonts w:ascii="Liberation Sans" w:hAnsi="Liberation Sans"/>
          <w:b/>
          <w:sz w:val="24"/>
          <w:szCs w:val="24"/>
          <w:color w:val="1a2744"/>
        </w:rPr>
        <w:t xml:space="preserve">ACKNOWLEDGMENTS</w:t>
      </w:r>
    </w:p>
    <w:p>
      <w:pPr>
        <w:spacing w:after="240"/>
        <w:rPr>
          <w:rFonts w:ascii="Liberation Serif" w:hAnsi="Liberation Serif"/>
          <w:sz w:val="22"/>
          <w:szCs w:val="22"/>
          <w:color w:val="333333"/>
        </w:rPr>
      </w:pPr>
      <w:r>
        <w:rPr>
          <w:rFonts w:ascii="Liberation Serif" w:hAnsi="Liberation Serif"/>
          <w:sz w:val="22"/>
          <w:szCs w:val="22"/>
          <w:color w:val="333333"/>
        </w:rPr>
        <w:t xml:space="preserve">There are many people I owe thanks to, not only for helping shape this book, but for helping shape the path that led me to it.</w:t>
      </w:r>
    </w:p>
    <w:p>
      <w:pPr>
        <w:spacing w:after="240"/>
        <w:rPr>
          <w:rFonts w:ascii="Liberation Serif" w:hAnsi="Liberation Serif"/>
          <w:sz w:val="22"/>
          <w:szCs w:val="22"/>
          <w:color w:val="333333"/>
        </w:rPr>
      </w:pPr>
      <w:r>
        <w:rPr>
          <w:rFonts w:ascii="Liberation Serif" w:hAnsi="Liberation Serif"/>
          <w:sz w:val="22"/>
          <w:szCs w:val="22"/>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Liberation Serif" w:hAnsi="Liberation Serif"/>
          <w:sz w:val="22"/>
          <w:szCs w:val="22"/>
          <w:color w:val="333333"/>
        </w:rPr>
      </w:pPr>
      <w:r>
        <w:rPr>
          <w:rFonts w:ascii="Liberation Serif" w:hAnsi="Liberation Serif"/>
          <w:sz w:val="22"/>
          <w:szCs w:val="22"/>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Liberation Serif" w:hAnsi="Liberation Serif"/>
          <w:sz w:val="22"/>
          <w:szCs w:val="22"/>
          <w:color w:val="333333"/>
        </w:rPr>
      </w:pPr>
      <w:r>
        <w:rPr>
          <w:rFonts w:ascii="Liberation Serif" w:hAnsi="Liberation Serif"/>
          <w:sz w:val="22"/>
          <w:szCs w:val="22"/>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Liberation Serif" w:hAnsi="Liberation Serif"/>
          <w:sz w:val="22"/>
          <w:szCs w:val="22"/>
          <w:color w:val="333333"/>
        </w:rPr>
      </w:pPr>
      <w:r>
        <w:rPr>
          <w:rFonts w:ascii="Liberation Serif" w:hAnsi="Liberation Serif"/>
          <w:sz w:val="22"/>
          <w:szCs w:val="22"/>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Liberation Serif" w:hAnsi="Liberation Serif"/>
          <w:sz w:val="22"/>
          <w:szCs w:val="22"/>
          <w:color w:val="333333"/>
        </w:rPr>
      </w:pPr>
      <w:r>
        <w:rPr>
          <w:rFonts w:ascii="Liberation Serif" w:hAnsi="Liberation Serif"/>
          <w:sz w:val="22"/>
          <w:szCs w:val="22"/>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Liberation Serif" w:hAnsi="Liberation Serif"/>
          <w:sz w:val="22"/>
          <w:szCs w:val="22"/>
          <w:color w:val="333333"/>
        </w:rPr>
      </w:pPr>
      <w:r>
        <w:rPr>
          <w:rFonts w:ascii="Liberation Serif" w:hAnsi="Liberation Serif"/>
          <w:sz w:val="22"/>
          <w:szCs w:val="22"/>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Liberation Serif" w:hAnsi="Liberation Serif"/>
          <w:sz w:val="22"/>
          <w:szCs w:val="22"/>
          <w:color w:val="333333"/>
        </w:rPr>
      </w:pPr>
      <w:r>
        <w:rPr>
          <w:rFonts w:ascii="Liberation Serif" w:hAnsi="Liberation Serif"/>
          <w:sz w:val="22"/>
          <w:szCs w:val="22"/>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12"/>
          <w:szCs w:val="12"/>
        </w:rPr>
        <w:t xml:space="preserve"/>
      </w:r>
    </w:p>
    <w:p>
      <w:pPr>
        <w:spacing w:before="0" w:after="40" w:line="280"/>
        <w:jc w:val="center"/>
      </w:pPr>
      <w:r>
        <w:rPr>
          <w:rFonts w:ascii="Calibri" w:cs="Calibri" w:eastAsia="Calibri" w:hAnsi="Calibri"/>
          <w:b/>
          <w:bCs/>
          <w:color w:val="C9A84C"/>
          <w:sz w:val="14"/>
          <w:szCs w:val="1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0"/>
          <w:szCs w:val="20"/>
        </w:rPr>
        <w:t xml:space="preserve">A Behavioral Guide to Attention, Suggestion, and Astonishment for Mentalists</w:t>
      </w:r>
    </w:p>
    <w:p>
      <w:pPr>
        <w:spacing w:before="0" w:after="120" w:line="280"/>
        <w:jc w:val="center"/>
      </w:pPr>
      <w:r>
        <w:rPr>
          <w:rFonts w:ascii="Calibri" w:cs="Calibri" w:eastAsia="Calibri" w:hAnsi="Calibri"/>
          <w:b/>
          <w:bCs/>
          <w:color w:val="C9A84C"/>
          <w:sz w:val="14"/>
          <w:szCs w:val="14"/>
        </w:rPr>
        <w:t xml:space="preserve">EXPANDED EDITION</w:t>
      </w:r>
    </w:p>
    <w:p>
      <w:pPr>
        <w:spacing w:before="0" w:after="10" w:line="280"/>
        <w:jc w:val="center"/>
      </w:pPr>
      <w:r>
        <w:rPr>
          <w:rFonts w:ascii="Garamond" w:cs="Garamond" w:eastAsia="Garamond" w:hAnsi="Garamond"/>
          <w:b/>
          <w:bCs/>
          <w:color w:val="0A1628"/>
          <w:sz w:val="18"/>
          <w:szCs w:val="18"/>
        </w:rPr>
        <w:t xml:space="preserve">CHRIS MICHAEL</w:t>
      </w:r>
    </w:p>
    <w:p>
      <w:pPr>
        <w:spacing w:before="0" w:after="4" w:line="280"/>
        <w:jc w:val="center"/>
      </w:pPr>
      <w:r>
        <w:rPr>
          <w:rFonts w:ascii="Garamond" w:cs="Garamond" w:eastAsia="Garamond" w:hAnsi="Garamond"/>
          <w:color w:val="4A4A4A"/>
          <w:sz w:val="16"/>
          <w:szCs w:val="16"/>
        </w:rPr>
        <w:t xml:space="preserve">Behavioral Strategist · Mentalist · Keynote Speaker</w:t>
      </w:r>
    </w:p>
    <w:p>
      <w:pPr>
        <w:spacing w:before="0" w:after="0" w:line="280"/>
        <w:jc w:val="center"/>
      </w:pPr>
      <w:r>
        <w:rPr>
          <w:rFonts w:ascii="Garamond" w:cs="Garamond" w:eastAsia="Garamond" w:hAnsi="Garamond"/>
          <w:color w:val="4A4A4A"/>
          <w:sz w:val="16"/>
          <w:szCs w:val="16"/>
        </w:rPr>
        <w:t xml:space="preserve">Founder, Decode Behavior · Global Institute of Behavior</w:t>
      </w:r>
    </w:p>
    <w:p>
      <w:pPr>
        <w:spacing w:before="40" w:after="40" w:line="280"/>
        <w:jc w:val="left"/>
      </w:pPr>
      <w:r>
        <w:rPr>
          <w:rFonts w:ascii="Garamond" w:cs="Garamond" w:eastAsia="Garamond" w:hAnsi="Garamond"/>
          <w:color w:val="111111"/>
          <w:sz w:val="12"/>
          <w:szCs w:val="12"/>
        </w:rPr>
        <w:t xml:space="preserve"/>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0" w:after="20" w:line="280"/>
        <w:jc w:val="center"/>
      </w:pPr>
      <w:r>
        <w:rPr>
          <w:rFonts w:ascii="Garamond" w:cs="Garamond" w:eastAsia="Garamond" w:hAnsi="Garamond"/>
          <w:color w:val="0A1628"/>
          <w:sz w:val="22"/>
          <w:szCs w:val="22"/>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16"/>
          <w:szCs w:val="16"/>
        </w:rPr>
        <w:t xml:space="preserve">— Chris Michael</w:t>
      </w:r>
    </w:p>
    <w:p>
      <w:pPr>
        <w:spacing w:before="200" w:after="200" w:line="280"/>
        <w:jc w:val="left"/>
      </w:pPr>
      <w:r>
        <w:rPr>
          <w:rFonts w:ascii="Garamond" w:cs="Garamond" w:eastAsia="Garamond" w:hAnsi="Garamond"/>
          <w:color w:val="CCCCCC"/>
          <w:sz w:val="14"/>
          <w:szCs w:val="14"/>
        </w:rPr>
        <w:t xml:space="preserve">────────────────────────────────────────────────────────────────────────────────</w:t>
      </w:r>
    </w:p>
    <w:p>
      <w:pPr>
        <w:pStyle w:val="Heading1"/>
        <w:spacing w:before="200" w:after="80" w:line="280"/>
        <w:jc w:val="left"/>
      </w:pPr>
      <w:r>
        <w:rPr>
          <w:rFonts w:ascii="Garamond" w:cs="Garamond" w:eastAsia="Garamond" w:hAnsi="Garamond"/>
          <w:b/>
          <w:bCs/>
          <w:color w:val="0A1628"/>
          <w:sz w:val="28"/>
          <w:szCs w:val="28"/>
        </w:rPr>
        <w:t xml:space="preserve">TABLE OF CONTENTS</w:t>
      </w:r>
    </w:p>
    <w:p>
      <w:pPr>
        <w:spacing w:before="0" w:after="200" w:line="280"/>
        <w:jc w:val="left"/>
      </w:pPr>
      <w:r>
        <w:rPr>
          <w:rFonts w:ascii="Calibri" w:cs="Calibri" w:eastAsia="Calibri" w:hAnsi="Calibri"/>
          <w:color w:val="4A4A4A"/>
          <w:sz w:val="17"/>
          <w:szCs w:val="17"/>
        </w:rPr>
        <w:t xml:space="preserve">Page numbers will be finalized at layout. This manuscript is organized using heading styles. Use Word's automatic Table of Contents feature (References → Table of Contents) to generate a linked TOC with current page numbers.</w:t>
      </w:r>
    </w:p>
    <w:p>
      <w:r>
        <w:rPr>
          <w:b/>
          <w:bCs/>
        </w:rPr>
        <w:t xml:space="preserve">INTRODUCTION  —  On Being the Person Who Admits What They Do</w:t>
      </w:r>
    </w:p>
    <w:p>
      <w:r>
        <w:rPr>
          <w:b/>
          <w:bCs/>
        </w:rPr>
        <w:t xml:space="preserve">PART ONE  —  The Architecture of Wonder</w:t>
      </w:r>
    </w:p>
    <w:p>
      <w:r>
        <w:rPr>
          <w:b/>
          <w:bCs/>
        </w:rPr>
        <w:t xml:space="preserve">Chapter 1  —  Designing for Reality</w:t>
      </w:r>
    </w:p>
    <w:p>
      <w:r>
        <w:rPr>
          <w:b/>
          <w:bCs/>
        </w:rPr>
        <w:t xml:space="preserve">Chapter 2  —  The Five Forces of Salience</w:t>
      </w:r>
    </w:p>
    <w:p>
      <w:r>
        <w:rPr>
          <w:b/>
          <w:bCs/>
        </w:rPr>
        <w:t xml:space="preserve">Chapter 3  —  Tension, Threat and the Window of Wonder</w:t>
      </w:r>
    </w:p>
    <w:p>
      <w:r>
        <w:rPr>
          <w:b/>
          <w:bCs/>
        </w:rPr>
        <w:t xml:space="preserve">Chapter 4  —  The Architecture of Anticipation</w:t>
      </w:r>
    </w:p>
    <w:p>
      <w:r>
        <w:rPr>
          <w:b/>
          <w:bCs/>
        </w:rPr>
        <w:t xml:space="preserve">Chapter 5  —  Attention as a Weapon</w:t>
      </w:r>
    </w:p>
    <w:p>
      <w:r>
        <w:rPr>
          <w:b/>
          <w:bCs/>
        </w:rPr>
        <w:t xml:space="preserve">Chapter 6  —  Authority, Credibility, and the Psychology of Belief</w:t>
      </w:r>
    </w:p>
    <w:p>
      <w:r>
        <w:rPr>
          <w:b/>
          <w:bCs/>
        </w:rPr>
        <w:t xml:space="preserve">PART TWO  —  Reading the Room</w:t>
      </w:r>
    </w:p>
    <w:p>
      <w:r>
        <w:rPr>
          <w:b/>
          <w:bCs/>
        </w:rPr>
        <w:t xml:space="preserve">Chapter 7  —  Behavioral Profiling in Real Time</w:t>
      </w:r>
    </w:p>
    <w:p>
      <w:r>
        <w:rPr>
          <w:b/>
          <w:bCs/>
        </w:rPr>
        <w:t xml:space="preserve">Chapter 8  —  The 80-Signal System</w:t>
      </w:r>
    </w:p>
    <w:p>
      <w:r>
        <w:rPr>
          <w:b/>
          <w:bCs/>
        </w:rPr>
        <w:t xml:space="preserve">Chapter 9  —  DISC in Real Time</w:t>
      </w:r>
    </w:p>
    <w:p>
      <w:r>
        <w:rPr>
          <w:b/>
          <w:bCs/>
        </w:rPr>
        <w:t xml:space="preserve">Chapter 10  —  Cold Reading, Warm Reading, and Thin Slicing</w:t>
      </w:r>
    </w:p>
    <w:p>
      <w:r>
        <w:rPr>
          <w:b/>
          <w:bCs/>
        </w:rPr>
        <w:t xml:space="preserve">Chapter 11  —  The Micro-Expression Matrix</w:t>
      </w:r>
    </w:p>
    <w:p>
      <w:r>
        <w:rPr>
          <w:b/>
          <w:bCs/>
        </w:rPr>
        <w:t xml:space="preserve">Chapter 12  —  Volunteer Handling Through a Neural Lens</w:t>
      </w:r>
    </w:p>
    <w:p>
      <w:r>
        <w:rPr>
          <w:b/>
          <w:bCs/>
        </w:rPr>
        <w:t xml:space="preserve">Chapter 13  —  The Language of Compliance</w:t>
      </w:r>
    </w:p>
    <w:p>
      <w:r>
        <w:rPr>
          <w:b/>
          <w:bCs/>
        </w:rPr>
        <w:t xml:space="preserve">Chapter 14  —  Closing the Barn Door</w:t>
      </w:r>
    </w:p>
    <w:p>
      <w:r>
        <w:rPr>
          <w:b/>
          <w:bCs/>
        </w:rPr>
        <w:t xml:space="preserve">Chapter 15  —  The Science of Hypnosis</w:t>
      </w:r>
    </w:p>
    <w:p>
      <w:r>
        <w:rPr>
          <w:b/>
          <w:bCs/>
        </w:rPr>
        <w:t xml:space="preserve">PART THREE  —  Field Notes</w:t>
      </w:r>
    </w:p>
    <w:p>
      <w:r>
        <w:rPr>
          <w:b/>
          <w:bCs/>
        </w:rPr>
        <w:t xml:space="preserve">PART FOUR  —  The Corporate Stage</w:t>
      </w:r>
    </w:p>
    <w:p>
      <w:r>
        <w:rPr>
          <w:b/>
          <w:bCs/>
        </w:rPr>
        <w:t xml:space="preserve">Chapter 16  —  Mentalism in the Boardroom</w:t>
      </w:r>
    </w:p>
    <w:p>
      <w:r>
        <w:rPr>
          <w:b/>
          <w:bCs/>
        </w:rPr>
        <w:t xml:space="preserve">Chapter 17  —  The Behavioral Training Framework</w:t>
      </w:r>
    </w:p>
    <w:p>
      <w:r>
        <w:rPr>
          <w:b/>
          <w:bCs/>
        </w:rPr>
        <w:t xml:space="preserve">Chapter 18  —  Stories from the Field</w:t>
      </w:r>
    </w:p>
    <w:p>
      <w:r>
        <w:rPr>
          <w:b/>
          <w:bCs/>
        </w:rPr>
        <w:t xml:space="preserve">Chapter 19  —  Influence Without Authority</w:t>
      </w:r>
    </w:p>
    <w:p>
      <w:r>
        <w:rPr>
          <w:b/>
          <w:bCs/>
        </w:rPr>
        <w:t xml:space="preserve">Chapter 20  —  The Ethics of Influence</w:t>
      </w:r>
    </w:p>
    <w:p>
      <w:r>
        <w:rPr>
          <w:b/>
          <w:bCs/>
        </w:rPr>
        <w:t xml:space="preserve">PART FIVE  —  The Neural Performance Model</w:t>
      </w:r>
    </w:p>
    <w:p>
      <w:r>
        <w:rPr>
          <w:b/>
          <w:bCs/>
        </w:rPr>
        <w:t xml:space="preserve">PART SIX  —  Presence and Perception</w:t>
      </w:r>
    </w:p>
    <w:p>
      <w:r>
        <w:rPr>
          <w:b/>
          <w:bCs/>
        </w:rPr>
        <w:t xml:space="preserve">Chapter 21  —  The Art of Strolling</w:t>
      </w:r>
    </w:p>
    <w:p>
      <w:r>
        <w:rPr>
          <w:b/>
          <w:bCs/>
        </w:rPr>
        <w:t xml:space="preserve">Chapter 22  —  When the Room Rises</w:t>
      </w:r>
    </w:p>
    <w:p>
      <w:r>
        <w:rPr>
          <w:b/>
          <w:bCs/>
        </w:rPr>
        <w:t xml:space="preserve">Chapter 23  —  Audio as Architecture</w:t>
      </w:r>
    </w:p>
    <w:p>
      <w:r>
        <w:rPr>
          <w:b/>
          <w:bCs/>
        </w:rPr>
        <w:t xml:space="preserve">Chapter 24  —  Compliance by Design</w:t>
      </w:r>
    </w:p>
    <w:p>
      <w:r>
        <w:rPr>
          <w:b/>
          <w:bCs/>
        </w:rPr>
        <w:t xml:space="preserve">Chapter 25  —  The Authority Frame</w:t>
      </w:r>
    </w:p>
    <w:p>
      <w:r>
        <w:rPr>
          <w:b/>
          <w:bCs/>
        </w:rPr>
        <w:t xml:space="preserve">Chapter 26  —  The Professional Advancement System</w:t>
      </w:r>
    </w:p>
    <w:p>
      <w:r>
        <w:rPr>
          <w:b/>
          <w:bCs/>
        </w:rPr>
        <w:t xml:space="preserve">Chapter 27  —  The Intro Video</w:t>
      </w:r>
    </w:p>
    <w:p>
      <w:r>
        <w:rPr>
          <w:b/>
          <w:bCs/>
        </w:rPr>
        <w:t xml:space="preserve">Chapter 28  —  Signal to Statement</w:t>
      </w:r>
    </w:p>
    <w:p>
      <w:r>
        <w:rPr>
          <w:b/>
          <w:bCs/>
        </w:rPr>
        <w:t xml:space="preserve">Chapter 29  —  Insight Demonstrations</w:t>
      </w:r>
    </w:p>
    <w:p>
      <w:r>
        <w:rPr>
          <w:b/>
          <w:bCs/>
        </w:rPr>
        <w:t xml:space="preserve">Chapter 30  —  Method Invisibility</w:t>
      </w:r>
    </w:p>
    <w:p>
      <w:r>
        <w:rPr>
          <w:b/>
          <w:bCs/>
        </w:rPr>
        <w:t xml:space="preserve">Chapter 31  —  Patter, Rhythm, and Silence</w:t>
      </w:r>
    </w:p>
    <w:p>
      <w:r>
        <w:rPr>
          <w:b/>
          <w:bCs/>
        </w:rPr>
        <w:t xml:space="preserve">PART SEVEN  —  The Business Brain</w:t>
      </w:r>
    </w:p>
    <w:p>
      <w:r>
        <w:rPr>
          <w:b/>
          <w:bCs/>
        </w:rPr>
        <w:t xml:space="preserve">Chapter 32  —  Where Bookings Are Actually Won</w:t>
      </w:r>
    </w:p>
    <w:p>
      <w:r>
        <w:rPr>
          <w:b/>
          <w:bCs/>
        </w:rPr>
        <w:t xml:space="preserve">Chapter 33  —  Introductions, Bios, and Testimonials</w:t>
      </w:r>
    </w:p>
    <w:p>
      <w:r>
        <w:rPr>
          <w:b/>
          <w:bCs/>
        </w:rPr>
        <w:t xml:space="preserve">Chapter 34  —  Authority Architecture</w:t>
      </w:r>
    </w:p>
    <w:p>
      <w:r>
        <w:rPr>
          <w:b/>
          <w:bCs/>
        </w:rPr>
        <w:t xml:space="preserve">Chapter 35  —  The Language of Authority</w:t>
      </w:r>
    </w:p>
    <w:p>
      <w:r>
        <w:rPr>
          <w:b/>
          <w:bCs/>
        </w:rPr>
        <w:t xml:space="preserve">Chapter 36  —  Reading the Booking Room</w:t>
      </w:r>
    </w:p>
    <w:p>
      <w:r>
        <w:rPr>
          <w:b/>
          <w:bCs/>
        </w:rPr>
        <w:t xml:space="preserve">Chapter 37  —  The Decode Behavior Framework</w:t>
      </w:r>
    </w:p>
    <w:p>
      <w:r>
        <w:rPr>
          <w:b/>
          <w:bCs/>
        </w:rPr>
        <w:t xml:space="preserve">GLOSSARY  —  Scientific, Behavioral, and Performance Terms</w:t>
      </w:r>
    </w:p>
    <w:p>
      <w:r>
        <w:rPr>
          <w:b/>
          <w:bCs/>
        </w:rPr>
        <w:t xml:space="preserve">ABOUT THE AUTHOR</w:t>
      </w:r>
    </w:p>
    <w:p>
      <w:pPr>
        <w:spacing w:before="200" w:after="200" w:line="280"/>
        <w:jc w:val="left"/>
      </w:pPr>
      <w:r>
        <w:rPr>
          <w:rFonts w:ascii="Garamond" w:cs="Garamond" w:eastAsia="Garamond" w:hAnsi="Garamond"/>
          <w:color w:val="CCCCCC"/>
          <w:sz w:val="14"/>
          <w:szCs w:val="14"/>
        </w:rPr>
        <w:t xml:space="preserve">────────────────────────────────────────────────────────────────────────────────</w:t>
      </w:r>
    </w:p>
    <w:p>
      <w:pPr>
        <w:pStyle w:val="Heading1"/>
        <w:spacing w:before="200" w:after="40" w:line="280"/>
        <w:jc w:val="left"/>
      </w:pPr>
      <w:r>
        <w:rPr>
          <w:rFonts w:ascii="Garamond" w:cs="Garamond" w:eastAsia="Garamond" w:hAnsi="Garamond"/>
          <w:b/>
          <w:bCs/>
          <w:color w:val="0A1628"/>
          <w:sz w:val="28"/>
          <w:szCs w:val="28"/>
        </w:rPr>
        <w:t xml:space="preserve">INTRODUCTION</w:t>
      </w:r>
    </w:p>
    <w:p>
      <w:pPr>
        <w:spacing w:before="0" w:after="200" w:line="280"/>
        <w:jc w:val="left"/>
      </w:pPr>
      <w:r>
        <w:rPr>
          <w:rFonts w:ascii="Garamond" w:cs="Garamond" w:eastAsia="Garamond" w:hAnsi="Garamond"/>
          <w:color w:val="4A4A4A"/>
          <w:sz w:val="20"/>
          <w:szCs w:val="20"/>
        </w:rPr>
        <w:t xml:space="preserve">On Being the Person Who Admits What They Do</w:t>
      </w:r>
    </w:p>
    <w:p>
      <w:pPr>
        <w:spacing w:before="140" w:after="140" w:line="280"/>
        <w:jc w:val="left"/>
      </w:pPr>
      <w:r>
        <w:rPr>
          <w:rFonts w:ascii="Garamond" w:cs="Garamond" w:eastAsia="Garamond" w:hAnsi="Garamond"/>
          <w:color w:val="111111"/>
          <w:sz w:val="22"/>
          <w:szCs w:val="22"/>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2"/>
          <w:szCs w:val="22"/>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2"/>
          <w:szCs w:val="22"/>
        </w:rPr>
        <w:t xml:space="preserve">They imply a very specific kind of person:</w:t>
      </w:r>
    </w:p>
    <w:p>
      <w:pPr>
        <w:spacing w:before="140" w:after="140" w:line="280"/>
        <w:jc w:val="left"/>
      </w:pPr>
      <w:r>
        <w:rPr>
          <w:rFonts w:ascii="Garamond" w:cs="Garamond" w:eastAsia="Garamond" w:hAnsi="Garamond"/>
          <w:color w:val="111111"/>
          <w:sz w:val="22"/>
          <w:szCs w:val="22"/>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2"/>
          <w:szCs w:val="22"/>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2"/>
          <w:szCs w:val="22"/>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2"/>
          <w:szCs w:val="22"/>
        </w:rPr>
        <w:t xml:space="preserve">Together, those cues can support a read like:</w:t>
      </w:r>
    </w:p>
    <w:p>
      <w:pPr>
        <w:spacing w:before="140" w:after="140" w:line="280"/>
        <w:jc w:val="left"/>
      </w:pPr>
      <w:r>
        <w:rPr>
          <w:rFonts w:ascii="Garamond" w:cs="Garamond" w:eastAsia="Garamond" w:hAnsi="Garamond"/>
          <w:color w:val="111111"/>
          <w:sz w:val="22"/>
          <w:szCs w:val="22"/>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2"/>
          <w:szCs w:val="22"/>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2"/>
          <w:szCs w:val="22"/>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2"/>
          <w:szCs w:val="22"/>
        </w:rPr>
        <w:t xml:space="preserve">They all run on the same nervous system.</w:t>
      </w:r>
    </w:p>
    <w:p>
      <w:pPr>
        <w:spacing w:before="140" w:after="140" w:line="280"/>
        <w:jc w:val="left"/>
      </w:pPr>
      <w:r>
        <w:rPr>
          <w:rFonts w:ascii="Garamond" w:cs="Garamond" w:eastAsia="Garamond" w:hAnsi="Garamond"/>
          <w:color w:val="111111"/>
          <w:sz w:val="22"/>
          <w:szCs w:val="22"/>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2"/>
          <w:szCs w:val="22"/>
        </w:rPr>
        <w:t xml:space="preserve">That is what this book is for.</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2"/>
          <w:szCs w:val="22"/>
        </w:rPr>
        <w:t xml:space="preserve">What This Book Is</w:t>
      </w:r>
    </w:p>
    <w:p>
      <w:pPr>
        <w:spacing w:before="140" w:after="140" w:line="280"/>
        <w:jc w:val="left"/>
      </w:pPr>
      <w:r>
        <w:rPr>
          <w:rFonts w:ascii="Garamond" w:cs="Garamond" w:eastAsia="Garamond" w:hAnsi="Garamond"/>
          <w:color w:val="111111"/>
          <w:sz w:val="22"/>
          <w:szCs w:val="22"/>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pStyle w:val="Heading3"/>
        <w:spacing w:before="280" w:after="80"/>
      </w:pPr>
      <w:r>
        <w:rPr>
          <w:rFonts w:ascii="Garamond" w:cs="Garamond" w:eastAsia="Garamond" w:hAnsi="Garamond"/>
          <w:b/>
          <w:bCs/>
          <w:color w:val="0A1628"/>
          <w:sz w:val="22"/>
          <w:szCs w:val="22"/>
        </w:rPr>
        <w:t xml:space="preserve">A Note on Sources</w:t>
      </w:r>
    </w:p>
    <w:p>
      <w:pPr>
        <w:spacing w:before="140" w:after="140" w:line="280"/>
        <w:jc w:val="left"/>
      </w:pPr>
      <w:r>
        <w:rPr>
          <w:rFonts w:ascii="Garamond" w:cs="Garamond" w:eastAsia="Garamond" w:hAnsi="Garamond"/>
          <w:color w:val="111111"/>
          <w:sz w:val="22"/>
          <w:szCs w:val="22"/>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2"/>
          <w:szCs w:val="22"/>
        </w:rPr>
        <w:t xml:space="preserve">Let’s begin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18"/>
          <w:szCs w:val="18"/>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w:t>
      </w:r>
    </w:p>
    <w:p>
      <w:pPr>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18"/>
          <w:szCs w:val="18"/>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2"/>
          <w:szCs w:val="22"/>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2"/>
          <w:szCs w:val="22"/>
        </w:rPr>
        <w:t xml:space="preserve">This book is about engineering those conditions deliberately.</w:t>
      </w:r>
    </w:p>
    <w:p>
      <w:pPr>
        <w:spacing w:before="140" w:after="140" w:line="280"/>
        <w:jc w:val="left"/>
      </w:pPr>
      <w:r>
        <w:rPr>
          <w:rFonts w:ascii="Garamond" w:cs="Garamond" w:eastAsia="Garamond" w:hAnsi="Garamond"/>
          <w:color w:val="111111"/>
          <w:sz w:val="22"/>
          <w:szCs w:val="22"/>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2"/>
          <w:szCs w:val="22"/>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2"/>
          <w:szCs w:val="22"/>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2"/>
          <w:szCs w:val="22"/>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Expectation Loading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Earned Completion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2"/>
          <w:szCs w:val="22"/>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2"/>
          <w:szCs w:val="22"/>
        </w:rPr>
        <w:t xml:space="preserve">Cognitive Economy</w:t>
      </w:r>
    </w:p>
    <w:p>
      <w:pPr>
        <w:spacing w:before="140" w:after="140" w:line="280"/>
        <w:jc w:val="left"/>
      </w:pPr>
      <w:r>
        <w:rPr>
          <w:rFonts w:ascii="Garamond" w:cs="Garamond" w:eastAsia="Garamond" w:hAnsi="Garamond"/>
          <w:color w:val="111111"/>
          <w:sz w:val="22"/>
          <w:szCs w:val="22"/>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2"/>
          <w:szCs w:val="22"/>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2"/>
          <w:szCs w:val="22"/>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2"/>
          <w:szCs w:val="22"/>
        </w:rPr>
        <w:t xml:space="preserve">Metabolic Efficiency</w:t>
      </w:r>
    </w:p>
    <w:p>
      <w:pPr>
        <w:spacing w:before="140" w:after="140" w:line="280"/>
        <w:jc w:val="left"/>
      </w:pPr>
      <w:r>
        <w:rPr>
          <w:rFonts w:ascii="Garamond" w:cs="Garamond" w:eastAsia="Garamond" w:hAnsi="Garamond"/>
          <w:color w:val="111111"/>
          <w:sz w:val="22"/>
          <w:szCs w:val="22"/>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2"/>
          <w:szCs w:val="22"/>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2"/>
          <w:szCs w:val="22"/>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2"/>
          <w:szCs w:val="22"/>
        </w:rPr>
        <w:t xml:space="preserve">Predictive Processing</w:t>
      </w:r>
    </w:p>
    <w:p>
      <w:pPr>
        <w:spacing w:before="140" w:after="140" w:line="280"/>
        <w:jc w:val="left"/>
      </w:pPr>
      <w:r>
        <w:rPr>
          <w:rFonts w:ascii="Garamond" w:cs="Garamond" w:eastAsia="Garamond" w:hAnsi="Garamond"/>
          <w:color w:val="111111"/>
          <w:sz w:val="22"/>
          <w:szCs w:val="22"/>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2"/>
          <w:szCs w:val="22"/>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2"/>
          <w:szCs w:val="22"/>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w:t>
      </w:r>
    </w:p>
    <w:p>
      <w:pPr>
        <w:pStyle w:val="Heading1"/>
        <w:spacing w:before="0" w:after="8" w:line="400"/>
        <w:jc w:val="left"/>
      </w:pPr>
      <w:r>
        <w:rPr>
          <w:rFonts w:ascii="Garamond" w:cs="Garamond" w:eastAsia="Garamond" w:hAnsi="Garamond"/>
          <w:b/>
          <w:bCs/>
          <w:color w:val="0A1628"/>
          <w:sz w:val="30"/>
          <w:szCs w:val="30"/>
        </w:rPr>
        <w:t xml:space="preserve">The Five Forces of Salience</w:t>
      </w:r>
    </w:p>
    <w:p>
      <w:pPr>
        <w:spacing w:before="4" w:after="280" w:line="280"/>
        <w:jc w:val="left"/>
      </w:pPr>
      <w:r>
        <w:rPr>
          <w:rFonts w:ascii="Garamond" w:cs="Garamond" w:eastAsia="Garamond" w:hAnsi="Garamond"/>
          <w:color w:val="4A4A4A"/>
          <w:sz w:val="18"/>
          <w:szCs w:val="18"/>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2"/>
          <w:szCs w:val="22"/>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2"/>
          <w:szCs w:val="22"/>
        </w:rPr>
        <w:t xml:space="preserve">Five forces reliably activate this system.</w:t>
      </w:r>
    </w:p>
    <w:p>
      <w:pPr>
        <w:spacing w:before="140" w:after="140" w:line="280"/>
        <w:jc w:val="left"/>
      </w:pPr>
      <w:r>
        <w:rPr>
          <w:rFonts w:ascii="Garamond" w:cs="Garamond" w:eastAsia="Garamond" w:hAnsi="Garamond"/>
          <w:color w:val="111111"/>
          <w:sz w:val="22"/>
          <w:szCs w:val="22"/>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2"/>
          <w:szCs w:val="22"/>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2"/>
          <w:szCs w:val="22"/>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2"/>
          <w:szCs w:val="22"/>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2"/>
          <w:szCs w:val="22"/>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2"/>
          <w:szCs w:val="22"/>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Stacking the Forces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Common Misread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w:t>
      </w:r>
    </w:p>
    <w:p>
      <w:pPr>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18"/>
          <w:szCs w:val="18"/>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2"/>
          <w:szCs w:val="22"/>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2"/>
          <w:szCs w:val="22"/>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Tension Laughter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Always Trust the Body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2"/>
          <w:szCs w:val="22"/>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2"/>
          <w:szCs w:val="22"/>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Breathing Visibility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Laughter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Stillness Gradient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Phone Emergence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Self-Soothing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Absence of Response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2"/>
          <w:szCs w:val="22"/>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2"/>
          <w:szCs w:val="22"/>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Refect and Reset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Productive Silence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Redirect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2"/>
          <w:szCs w:val="22"/>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2"/>
          <w:szCs w:val="22"/>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2"/>
          <w:szCs w:val="22"/>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4</w:t>
      </w:r>
    </w:p>
    <w:p>
      <w:pPr>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18"/>
          <w:szCs w:val="18"/>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2"/>
          <w:szCs w:val="22"/>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2"/>
          <w:szCs w:val="22"/>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2"/>
          <w:szCs w:val="22"/>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2"/>
          <w:szCs w:val="22"/>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Premature Resolution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Intermittent Structure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it is setup. Everything between it and the reveal is the experience.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5</w:t>
      </w:r>
    </w:p>
    <w:p>
      <w:pPr>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18"/>
          <w:szCs w:val="18"/>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2"/>
          <w:szCs w:val="22"/>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2"/>
          <w:szCs w:val="22"/>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2"/>
          <w:szCs w:val="22"/>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Octopus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Change Blindness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System 2 Load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2"/>
          <w:szCs w:val="22"/>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2"/>
          <w:szCs w:val="22"/>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Effort Inversion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6</w:t>
      </w:r>
    </w:p>
    <w:p>
      <w:pPr>
        <w:pStyle w:val="Heading1"/>
        <w:spacing w:before="0" w:after="8" w:line="400"/>
        <w:jc w:val="left"/>
      </w:pPr>
      <w:r>
        <w:rPr>
          <w:rFonts w:ascii="Garamond" w:cs="Garamond" w:eastAsia="Garamond" w:hAnsi="Garamond"/>
          <w:b/>
          <w:bCs/>
          <w:color w:val="0A1628"/>
          <w:sz w:val="30"/>
          <w:szCs w:val="30"/>
        </w:rPr>
        <w:t xml:space="preserve">Authority, Credibility, and the Psychology of Belief</w:t>
      </w:r>
    </w:p>
    <w:p>
      <w:pPr>
        <w:spacing w:before="4" w:after="280" w:line="280"/>
        <w:jc w:val="left"/>
      </w:pPr>
      <w:r>
        <w:rPr>
          <w:rFonts w:ascii="Garamond" w:cs="Garamond" w:eastAsia="Garamond" w:hAnsi="Garamond"/>
          <w:color w:val="4A4A4A"/>
          <w:sz w:val="18"/>
          <w:szCs w:val="18"/>
        </w:rPr>
        <w:t xml:space="preserve">Trust is not a judgment. It is a physiological state. The question is whether you are designing for it.</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Pr>
        <w:spacing w:before="140" w:after="140" w:line="280"/>
        <w:jc w:val="left"/>
      </w:pPr>
      <w:r>
        <w:rPr>
          <w:rFonts w:ascii="Garamond" w:cs="Garamond" w:eastAsia="Garamond" w:hAnsi="Garamond"/>
          <w:color w:val="111111"/>
          <w:sz w:val="22"/>
          <w:szCs w:val="22"/>
        </w:rPr>
        <w:t xml:space="preserve">This means credibility is not primarily a matter of what you say. It is a matter of what your behavior broadcasts before and while you say it.</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18"/>
          <w:szCs w:val="18"/>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r>
        <w:t xml:space="preserve">CHAPTER 7</w:t>
      </w:r>
    </w:p>
    <w:p>
      <w:r>
        <w:t xml:space="preserve">Behavioral Profiling in Real Time</w:t>
      </w:r>
    </w:p>
    <w:p>
      <w:r>
        <w:t xml:space="preserve">What you are actually noticing when you know something is off. And how to formalize that knowing into a deployable system.</w:t>
      </w:r>
    </w:p>
    <w:p>
      <w:r>
        <w:t xml:space="preserve">────────────────────────────────────────────────────────────────────────────────</w:t>
      </w:r>
    </w:p>
    <w:p/>
    <w:p>
      <w:r>
        <w:t xml:space="preserve">Body Language Is Mostly Bullshit</w:t>
      </w:r>
    </w:p>
    <w:p/>
    <w:p>
      <w:r>
        <w:t xml:space="preserve">At least, the way most people use the term.</w:t>
      </w:r>
    </w:p>
    <w:p/>
    <w:p>
      <w:r>
        <w:t xml:space="preserve">People think body language means decoding a crossed arm, a glance away, or a fidget like it is a vending machine for truth. It is not. A single gesture can mean twenty different things. Without context, clusters, and calibration, “reading body language” is usually just confident projection.</w:t>
      </w:r>
    </w:p>
    <w:p/>
    <w:p>
      <w:r>
        <w:t xml:space="preserve">Most mentalists know this instinctively. You have watched someone work a crowd and nail a read that had nothing to do with arm position or eye direction. And you have watched someone else recite a body language checklist and get it completely wrong. The difference is not talent. The difference is method.</w:t>
      </w:r>
    </w:p>
    <w:p/>
    <w:p>
      <w:r>
        <w:t xml:space="preserve">What works is not isolated body language. What works is behavioral profiling.</w:t>
      </w:r>
    </w:p>
    <w:p/>
    <w:p>
      <w:r>
        <w:t xml:space="preserve">What Behavioral Profiling Is — and Is Not</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the mentalist,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formalized or accidental.</w:t>
      </w:r>
    </w:p>
    <w:p/>
    <w:p>
      <w:r>
        <w:t xml:space="preserve">The difference between guessing and reading is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p>
      <w:r>
        <w:t xml:space="preserve">The calibration window is the first sixty to ninety seconds of any interaction. Use it entirely for baseline-building. Ask about the event, the venue, directions. Low-stakes, no performance pressure. Watch how they speak when nothing is at stake. Their baseline behavior is the most honest version you will see.</w:t>
      </w:r>
    </w:p>
    <w:p/>
    <w:p>
      <w:r>
        <w:t xml:space="preserve">For mentalists, the calibration window often starts before the interaction. When a volunteer walks from their seat to the stage, you have five to seven seconds of unguarded movement. Gait, posture, eye direction, breathing rate, hand position — all broadcasting before they know they are being read. That walk is your baseline. Use it.</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For the mentalist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One signal is noise. Three co-occurring behaviors multiply each other’s diagnostic weight. A cluster is a pattern. Never act on a single signal.</w:t>
      </w:r>
    </w:p>
    <w:p/>
    <w:p>
      <w:r>
        <w:t xml:space="preserve">Congruence — Does the body match the words? When the body says one thing and the words say another, the body is telling the truth. Incongruence is your most reliable signal. For the mentalist, this is where the real read lives.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 generic chart. Deviation from their baseline is the data point. Without baseline, every read is a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For the mentalist, deviation is the moment. It is the flicker that tells you a word landed, a prediction hit close, or a thought was genuinely suppressed. The audience sees magic. You see a deviation from baseline that confirmed your read. That is the craft.</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baseline. Not against a codified directional map. Lateral movement before responding means processing. Downward movement often means emotional access. Read both against what this person normally does. That is the read.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For the mentalist,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Not yet formally validated in peer-reviewed research. Use to add nuance to reads already grounded in T1 and T2. Never lead with a T3 alone.</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mentalist who builds a routine around a T4 signal is building on sand.</w:t>
      </w:r>
    </w:p>
    <w:p/>
    <w:p>
      <w:r>
        <w:t xml:space="preserve">The Three-Signal Rule</w:t>
      </w:r>
    </w:p>
    <w:p/>
    <w:p>
      <w:r>
        <w:t xml:space="preserve">One signal is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strolling mentalist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For the mentalist, 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8</w:t>
      </w:r>
    </w:p>
    <w:p>
      <w:pPr>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18"/>
          <w:szCs w:val="18"/>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2"/>
          <w:szCs w:val="22"/>
        </w:rPr>
        <w:t xml:space="preserve">T4 signals have been removed from this table and documented in the T4 Appendix. Everything here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12"/>
          <w:szCs w:val="12"/>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Calibri" w:hAnsi="Calibri" w:cs="Calibri"/>
                <w:sz w:val="17"/>
                <w:szCs w:val="17"/>
                <w:color w:val="FFFFFF"/>
                <w:b/>
                <w:bCs/>
              </w:rPr>
              <w:t xml:space="preserve">#</w:t>
            </w:r>
          </w:p>
        </w:tc>
        <w:tc>
          <w:tcPr>
            <w:tcW w:type="dxa" w:w="3300"/>
            <w:shd w:val="clear" w:fill="0D1E30" w:color="auto"/>
            <w:vAlign w:val="center"/>
          </w:tcPr>
          <w:p>
            <w:pPr>
              <w:spacing w:before="60" w:after="60" w:line="240" w:lineRule="auto"/>
              <w:jc w:val="left"/>
            </w:pPr>
            <w:r>
              <w:rPr>
                <w:rFonts w:ascii="Calibri" w:hAnsi="Calibri" w:cs="Calibri"/>
                <w:sz w:val="17"/>
                <w:szCs w:val="17"/>
                <w:color w:val="FFFFFF"/>
                <w:b/>
                <w:bCs/>
              </w:rPr>
              <w:t xml:space="preserve">OBSERVATION</w:t>
            </w:r>
          </w:p>
        </w:tc>
        <w:tc>
          <w:tcPr>
            <w:tcW w:type="dxa" w:w="3500"/>
            <w:shd w:val="clear" w:fill="0D1E30" w:color="auto"/>
            <w:vAlign w:val="center"/>
          </w:tcPr>
          <w:p>
            <w:pPr>
              <w:spacing w:before="60" w:after="60" w:line="240" w:lineRule="auto"/>
              <w:jc w:val="left"/>
            </w:pPr>
            <w:r>
              <w:rPr>
                <w:rFonts w:ascii="Calibri" w:hAnsi="Calibri" w:cs="Calibri"/>
                <w:sz w:val="17"/>
                <w:szCs w:val="17"/>
                <w:color w:val="FFFFFF"/>
                <w:b/>
                <w:bCs/>
              </w:rPr>
              <w:t xml:space="preserve">WHAT IT TELLS YOU</w:t>
            </w:r>
          </w:p>
        </w:tc>
        <w:tc>
          <w:tcPr>
            <w:tcW w:type="dxa" w:w="800"/>
            <w:shd w:val="clear" w:fill="0D1E30" w:color="auto"/>
            <w:vAlign w:val="center"/>
          </w:tcPr>
          <w:p>
            <w:pPr>
              <w:spacing w:before="60" w:after="60" w:line="240" w:lineRule="auto"/>
              <w:jc w:val="center"/>
            </w:pPr>
            <w:r>
              <w:rPr>
                <w:rFonts w:ascii="Calibri" w:hAnsi="Calibri" w:cs="Calibri"/>
                <w:sz w:val="17"/>
                <w:szCs w:val="17"/>
                <w:color w:val="FFFFFF"/>
                <w:b/>
                <w:bCs/>
              </w:rPr>
              <w:t xml:space="preserve">TIER</w:t>
            </w:r>
          </w:p>
        </w:tc>
        <w:tc>
          <w:tcPr>
            <w:tcW w:type="dxa" w:w="1260"/>
            <w:shd w:val="clear" w:fill="0D1E30" w:color="auto"/>
            <w:vAlign w:val="center"/>
          </w:tcPr>
          <w:p>
            <w:pPr>
              <w:spacing w:before="60" w:after="60" w:line="240" w:lineRule="auto"/>
              <w:jc w:val="center"/>
            </w:pPr>
            <w:r>
              <w:rPr>
                <w:rFonts w:ascii="Calibri" w:hAnsi="Calibri" w:cs="Calibri"/>
                <w:sz w:val="17"/>
                <w:szCs w:val="17"/>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Phone pocket side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Handedness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Shoe sole wear direction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Gait and stance pattern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Clothing condition vs. posture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Self-image investment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Thumbs outside pockets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Confidence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Thumbs inside pockets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Time since last haircut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Grooming priority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Fingernail condition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Eye contact willingness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confidence (rate 1–8)</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Foot direction in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moving out of the way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deference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Stress or confidence shift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Shoelace condition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Attention to personal detail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Wrinkles behind knees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Extended seated-time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Fidgeting level in public</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comfort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Leg crossing direction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Bag contact with feet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Permanence of facial wrinkles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Phone placed face-down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Privacy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Watch set ahead / exact / behind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Relationship with time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Pen or phone in breast pocket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Preparedness habit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Eye contact break to swallow</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anxiety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Own vs. others’ object handling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Boundary respect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Tie tightness and alignment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Conformity vs. individuality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Nail biting vs. trimmed nails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Chronic vs. acute stress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Belt notch wear pattern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Recent weight change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Shoe lacing consistency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Attention to personal detail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Trouser rear cuff wear</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Scar and callus distribution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Long blink while speaking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discomfort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Forehead wrinkle curve upward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Inside cheek or lip biting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Self-soothing; anxiety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Knuckle orientation at rest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Privacy screen on device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Latest technology model</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Status signaling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Pinky distance from fingers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Cuff dirt or discoloration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Teeth condition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Face scrunch + deep breath</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Explosive reaction tendency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Phone grip style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Notification response speed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Urgency-driven personality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Walking speed vs. crowd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Energy level; goal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Resting shoulder tension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Chronic stress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Head tilt when listening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Weight distribution at rest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Postural confidence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Security-awareness mindset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Humor reaction timing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processing speed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Vocal volume calibration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awareness vs. self-focus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Intimacy and trust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Face touching during thinking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Cognitive engagement style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Postural symmetry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Physical training background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Ear redness in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Emotional arousal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Eyebrow expressiveness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Emotional reactivity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Handshake pressure and timing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Chair choice in a room</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Coat placement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Drink placement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Comfort vs. self-protection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Compliance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often they interrupt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Repetition of key phrases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Pronoun use: “I,” “we,” “they”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Ego threat threshold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smile disappearance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80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bl>
    <w:p>
      <w:pPr>
        <w:spacing w:before="40" w:after="40" w:line="280"/>
        <w:jc w:val="left"/>
      </w:pPr>
      <w:r>
        <w:rPr>
          <w:rFonts w:ascii="Garamond" w:cs="Garamond" w:eastAsia="Garamond" w:hAnsi="Garamond"/>
          <w:color w:val="111111"/>
          <w:sz w:val="12"/>
          <w:szCs w:val="12"/>
        </w:rPr>
        <w:t xml:space="preserve"/>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T4 Signals Removed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2"/>
          <w:szCs w:val="22"/>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01 — Appearance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02 — Movement &amp; Posture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03 — Territory &amp; Personal Space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04 — Social Confidence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05 — Cognitive Processing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06 — Emotional Regulation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2"/>
          <w:szCs w:val="22"/>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01 — SHOES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02 — HANDS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03 — EYES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04 — POSTURE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05 — ENERGY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2"/>
          <w:szCs w:val="22"/>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9</w:t>
      </w:r>
    </w:p>
    <w:p>
      <w:pPr>
        <w:pStyle w:val="Heading1"/>
        <w:spacing w:before="0" w:after="8" w:line="400"/>
        <w:jc w:val="left"/>
      </w:pPr>
      <w:r>
        <w:rPr>
          <w:rFonts w:ascii="Garamond" w:cs="Garamond" w:eastAsia="Garamond" w:hAnsi="Garamond"/>
          <w:b/>
          <w:bCs/>
          <w:color w:val="0A1628"/>
          <w:sz w:val="30"/>
          <w:szCs w:val="30"/>
        </w:rPr>
        <w:t xml:space="preserve">DISC in Real Time</w:t>
      </w:r>
    </w:p>
    <w:p>
      <w:pPr>
        <w:spacing w:before="4" w:after="280" w:line="280"/>
        <w:jc w:val="left"/>
      </w:pPr>
      <w:r>
        <w:rPr>
          <w:rFonts w:ascii="Garamond" w:cs="Garamond" w:eastAsia="Garamond" w:hAnsi="Garamond"/>
          <w:color w:val="4A4A4A"/>
          <w:sz w:val="18"/>
          <w:szCs w:val="18"/>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 — DIRECT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 — INFLUENTIAL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 — STEADY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 — CONSCIENTIOUS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2"/>
          <w:szCs w:val="22"/>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D/C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I/S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D/I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C/S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2"/>
          <w:szCs w:val="22"/>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2"/>
          <w:szCs w:val="22"/>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2"/>
          <w:szCs w:val="22"/>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2"/>
          <w:szCs w:val="22"/>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2"/>
          <w:szCs w:val="22"/>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10</w:t>
      </w:r>
    </w:p>
    <w:p>
      <w:pPr>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18"/>
          <w:szCs w:val="18"/>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2"/>
          <w:szCs w:val="22"/>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2"/>
          <w:szCs w:val="22"/>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2"/>
          <w:szCs w:val="22"/>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2"/>
          <w:szCs w:val="22"/>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2"/>
          <w:szCs w:val="22"/>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2"/>
          <w:szCs w:val="22"/>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Cold-Warm-Hot Spectrum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Forer Effect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2"/>
          <w:szCs w:val="22"/>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2"/>
          <w:szCs w:val="22"/>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2"/>
          <w:szCs w:val="22"/>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2"/>
          <w:szCs w:val="22"/>
        </w:rPr>
        <w:t xml:space="preserve">Observe. Do not prescribe. You are reading behavior.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2"/>
          <w:szCs w:val="22"/>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2"/>
          <w:szCs w:val="22"/>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2"/>
          <w:szCs w:val="22"/>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2"/>
          <w:szCs w:val="22"/>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2"/>
          <w:szCs w:val="22"/>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Not a battery of assessments. Seconds. Sometimes less.</w:t>
      </w:r>
    </w:p>
    <w:p>
      <w:pPr>
        <w:spacing w:before="140" w:after="140" w:line="280"/>
        <w:jc w:val="left"/>
      </w:pPr>
      <w:r>
        <w:rPr>
          <w:rFonts w:ascii="Garamond" w:cs="Garamond" w:eastAsia="Garamond" w:hAnsi="Garamond"/>
          <w:color w:val="111111"/>
          <w:sz w:val="22"/>
          <w:szCs w:val="22"/>
        </w:rPr>
        <w:t xml:space="preserve">Their initial work showed that observers watching silent thirty-second video clips of teachers could predict end-of-year student evaluations with statistically significant accuracy. No audio, no context.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2"/>
          <w:szCs w:val="22"/>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2"/>
          <w:szCs w:val="22"/>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Know what it is and what it is not.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Visual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Auditory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Kinesthetic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2"/>
          <w:szCs w:val="22"/>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D-Type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D-Type — Close-Up/Theatrical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S-Type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S-Type — Close-Up/Theatrical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T1 Physical Read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Security Profile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Connector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Status Mismatch — Close-Up/Theatrical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Expensive shoes or watch + notably simpler clothing elsewhere. LINE: 'There's one thing you've invested in that most people in your life don't fully understand. It's not about the thing. It's about what having it represents.'</w:t>
      </w:r>
    </w:p>
    <w:p>
      <w:r>
        <w:rPr>
          <w:b/>
          <w:bCs/>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for the mentalist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b/>
          <w:bCs/>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b/>
          <w:bCs/>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b/>
          <w:bCs/>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b/>
          <w:bCs/>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b/>
          <w:bCs/>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11</w:t>
      </w:r>
    </w:p>
    <w:p>
      <w:pPr>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18"/>
          <w:szCs w:val="18"/>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2"/>
          <w:szCs w:val="22"/>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2"/>
          <w:szCs w:val="22"/>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2"/>
          <w:szCs w:val="22"/>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Seven Expressions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Duchenne Marker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Leakage Hierarchy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Convergence Rule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2"/>
          <w:szCs w:val="22"/>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12</w:t>
      </w:r>
    </w:p>
    <w:p>
      <w:pPr>
        <w:pStyle w:val="Heading1"/>
        <w:spacing w:before="0" w:after="8" w:line="400"/>
        <w:jc w:val="left"/>
      </w:pPr>
      <w:r>
        <w:rPr>
          <w:rFonts w:ascii="Garamond" w:cs="Garamond" w:eastAsia="Garamond" w:hAnsi="Garamond"/>
          <w:b/>
          <w:bCs/>
          <w:color w:val="0A1628"/>
          <w:sz w:val="30"/>
          <w:szCs w:val="30"/>
        </w:rPr>
        <w:t xml:space="preserve">Volunteer Handling Through a Neural Lens</w:t>
      </w:r>
    </w:p>
    <w:p>
      <w:pPr>
        <w:spacing w:before="4" w:after="280" w:line="280"/>
        <w:jc w:val="left"/>
      </w:pPr>
      <w:r>
        <w:rPr>
          <w:rFonts w:ascii="Garamond" w:cs="Garamond" w:eastAsia="Garamond" w:hAnsi="Garamond"/>
          <w:color w:val="4A4A4A"/>
          <w:sz w:val="18"/>
          <w:szCs w:val="18"/>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2"/>
          <w:szCs w:val="22"/>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2"/>
          <w:szCs w:val="22"/>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Supporter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Performer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Challenger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Anxious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Analytical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Emotional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Reserved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Quiet, contained, not demonstratively engaged. Not disinterested.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2"/>
          <w:szCs w:val="22"/>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High Confidence + High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High Confidence + Low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Low Confidence + High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Low Confidence + Low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2"/>
          <w:szCs w:val="22"/>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Redirect to the Room</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Reframe the Resistance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Graceful Close and Reset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Close the current interaction cleanly, thank them, return them to their seat, and open a new effect with a different approach. Never apologize. Never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2"/>
          <w:szCs w:val="22"/>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2"/>
          <w:szCs w:val="22"/>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2"/>
          <w:szCs w:val="22"/>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2"/>
          <w:szCs w:val="22"/>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2"/>
          <w:szCs w:val="22"/>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2"/>
          <w:szCs w:val="22"/>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2"/>
          <w:szCs w:val="22"/>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2"/>
          <w:szCs w:val="22"/>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2"/>
          <w:szCs w:val="22"/>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2"/>
          <w:szCs w:val="22"/>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2"/>
          <w:szCs w:val="22"/>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2"/>
          <w:szCs w:val="22"/>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Anchoring Prerequisites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state must be genuine before the anchor is applied. Install it at the peak. Not during the build, not after the resolution. Peak first. Apply immediately. Timing is the technique.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Three-Response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13</w:t>
      </w:r>
    </w:p>
    <w:p>
      <w:pPr>
        <w:pStyle w:val="Heading1"/>
        <w:spacing w:before="0" w:after="8" w:line="400"/>
        <w:jc w:val="left"/>
      </w:pPr>
      <w:r>
        <w:rPr>
          <w:rFonts w:ascii="Garamond" w:cs="Garamond" w:eastAsia="Garamond" w:hAnsi="Garamond"/>
          <w:b/>
          <w:bCs/>
          <w:color w:val="0A1628"/>
          <w:sz w:val="30"/>
          <w:szCs w:val="30"/>
        </w:rPr>
        <w:t xml:space="preserve">The Language of Compliance</w:t>
      </w:r>
    </w:p>
    <w:p>
      <w:pPr>
        <w:spacing w:before="4" w:after="280" w:line="280"/>
        <w:jc w:val="left"/>
      </w:pPr>
      <w:r>
        <w:rPr>
          <w:rFonts w:ascii="Garamond" w:cs="Garamond" w:eastAsia="Garamond" w:hAnsi="Garamond"/>
          <w:color w:val="4A4A4A"/>
          <w:sz w:val="18"/>
          <w:szCs w:val="18"/>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14"/>
          <w:szCs w:val="1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2"/>
          <w:szCs w:val="22"/>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2"/>
          <w:szCs w:val="22"/>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2"/>
          <w:szCs w:val="22"/>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2"/>
          <w:szCs w:val="22"/>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Pace-Lead Ratio</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2"/>
          <w:szCs w:val="22"/>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Presupposition Check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2"/>
          <w:szCs w:val="22"/>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Yes Set Structure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Influence vs. Persuasion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2"/>
          <w:szCs w:val="22"/>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Soft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Moderate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Strong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Pinpoint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only when you have a specific, evidence-anchored read ready to deliver. No qualification. No hedge.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14</w:t>
      </w:r>
    </w:p>
    <w:p>
      <w:pPr>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18"/>
          <w:szCs w:val="18"/>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2"/>
          <w:szCs w:val="22"/>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2"/>
          <w:szCs w:val="22"/>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2"/>
          <w:szCs w:val="22"/>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2"/>
          <w:szCs w:val="22"/>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Precision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Acknowledgment Move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Clean Finish</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15</w:t>
      </w:r>
    </w:p>
    <w:p>
      <w:pPr>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18"/>
          <w:szCs w:val="18"/>
        </w:rPr>
        <w:t xml:space="preserve">What it actually is, how it actually works, and why the myths get in the way.</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2"/>
          <w:szCs w:val="22"/>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2"/>
          <w:szCs w:val="22"/>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2"/>
          <w:szCs w:val="22"/>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2"/>
          <w:szCs w:val="22"/>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2"/>
          <w:szCs w:val="22"/>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2"/>
          <w:szCs w:val="22"/>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2"/>
          <w:szCs w:val="22"/>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1"/>
          <w:szCs w:val="21"/>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2"/>
          <w:szCs w:val="22"/>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2"/>
          <w:szCs w:val="22"/>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2"/>
          <w:szCs w:val="22"/>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2"/>
          <w:szCs w:val="22"/>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2"/>
          <w:szCs w:val="22"/>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2"/>
          <w:szCs w:val="22"/>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2"/>
          <w:szCs w:val="22"/>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2"/>
          <w:szCs w:val="22"/>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1"/>
          <w:szCs w:val="21"/>
        </w:rPr>
        <w:t xml:space="preserve">Is this really me? Is this plausible? Am I doing this right?</w:t>
      </w:r>
    </w:p>
    <w:p>
      <w:pPr>
        <w:spacing w:before="140" w:after="140" w:line="280"/>
        <w:jc w:val="left"/>
      </w:pPr>
      <w:r>
        <w:rPr>
          <w:rFonts w:ascii="Garamond" w:cs="Garamond" w:eastAsia="Garamond" w:hAnsi="Garamond"/>
          <w:color w:val="111111"/>
          <w:sz w:val="22"/>
          <w:szCs w:val="22"/>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2"/>
          <w:szCs w:val="22"/>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2"/>
          <w:szCs w:val="22"/>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2"/>
          <w:szCs w:val="22"/>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2"/>
          <w:szCs w:val="22"/>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2"/>
          <w:szCs w:val="22"/>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2"/>
          <w:szCs w:val="22"/>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2"/>
          <w:szCs w:val="22"/>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2"/>
          <w:szCs w:val="22"/>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2"/>
          <w:szCs w:val="22"/>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2"/>
          <w:szCs w:val="22"/>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2"/>
          <w:szCs w:val="22"/>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2"/>
          <w:szCs w:val="22"/>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2"/>
          <w:szCs w:val="22"/>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2"/>
          <w:szCs w:val="22"/>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2"/>
          <w:szCs w:val="22"/>
        </w:rPr>
        <w:t xml:space="preserve">Hypnosis likely biases that competition.</w:t>
      </w:r>
    </w:p>
    <w:p>
      <w:pPr>
        <w:spacing w:before="140" w:after="140" w:line="280"/>
        <w:jc w:val="left"/>
      </w:pPr>
      <w:r>
        <w:rPr>
          <w:rFonts w:ascii="Garamond" w:cs="Garamond" w:eastAsia="Garamond" w:hAnsi="Garamond"/>
          <w:color w:val="111111"/>
          <w:sz w:val="22"/>
          <w:szCs w:val="22"/>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2"/>
          <w:szCs w:val="22"/>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2"/>
          <w:szCs w:val="22"/>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2"/>
          <w:szCs w:val="22"/>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2"/>
          <w:szCs w:val="22"/>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2"/>
          <w:szCs w:val="22"/>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2"/>
          <w:szCs w:val="22"/>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2"/>
          <w:szCs w:val="22"/>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2"/>
          <w:szCs w:val="22"/>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2"/>
          <w:szCs w:val="22"/>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2"/>
          <w:szCs w:val="22"/>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2"/>
          <w:szCs w:val="22"/>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2"/>
          <w:szCs w:val="22"/>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2"/>
          <w:szCs w:val="22"/>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2"/>
          <w:szCs w:val="22"/>
        </w:rPr>
        <w:t xml:space="preserve">Neurons do not merely fire. They fire in rhythms.</w:t>
      </w:r>
    </w:p>
    <w:p>
      <w:pPr>
        <w:spacing w:before="140" w:after="140" w:line="280"/>
        <w:jc w:val="left"/>
      </w:pPr>
      <w:r>
        <w:rPr>
          <w:rFonts w:ascii="Garamond" w:cs="Garamond" w:eastAsia="Garamond" w:hAnsi="Garamond"/>
          <w:color w:val="111111"/>
          <w:sz w:val="22"/>
          <w:szCs w:val="22"/>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2"/>
          <w:szCs w:val="22"/>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2"/>
          <w:szCs w:val="22"/>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2"/>
          <w:szCs w:val="22"/>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2"/>
          <w:szCs w:val="22"/>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2"/>
          <w:szCs w:val="22"/>
        </w:rPr>
        <w:t xml:space="preserve">There is a limited but useful comparison to alcohol.</w:t>
      </w:r>
    </w:p>
    <w:p>
      <w:pPr>
        <w:spacing w:before="140" w:after="140" w:line="280"/>
        <w:jc w:val="left"/>
      </w:pPr>
      <w:r>
        <w:rPr>
          <w:rFonts w:ascii="Garamond" w:cs="Garamond" w:eastAsia="Garamond" w:hAnsi="Garamond"/>
          <w:color w:val="111111"/>
          <w:sz w:val="22"/>
          <w:szCs w:val="22"/>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2"/>
          <w:szCs w:val="22"/>
        </w:rPr>
        <w:t xml:space="preserve">In both cases, the mind may become more responsive to the frame it is given.</w:t>
      </w:r>
    </w:p>
    <w:p>
      <w:pPr>
        <w:spacing w:before="140" w:after="140" w:line="280"/>
        <w:jc w:val="left"/>
      </w:pPr>
      <w:r>
        <w:rPr>
          <w:rFonts w:ascii="Garamond" w:cs="Garamond" w:eastAsia="Garamond" w:hAnsi="Garamond"/>
          <w:color w:val="111111"/>
          <w:sz w:val="22"/>
          <w:szCs w:val="22"/>
        </w:rPr>
        <w:t xml:space="preserve">But the difference matters.</w:t>
      </w:r>
    </w:p>
    <w:p>
      <w:pPr>
        <w:spacing w:before="140" w:after="140" w:line="280"/>
        <w:jc w:val="left"/>
      </w:pPr>
      <w:r>
        <w:rPr>
          <w:rFonts w:ascii="Garamond" w:cs="Garamond" w:eastAsia="Garamond" w:hAnsi="Garamond"/>
          <w:color w:val="111111"/>
          <w:sz w:val="22"/>
          <w:szCs w:val="22"/>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2"/>
          <w:szCs w:val="22"/>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2"/>
          <w:szCs w:val="22"/>
        </w:rPr>
        <w:t xml:space="preserve">That is exactly what makes it so powerful.</w:t>
      </w:r>
    </w:p>
    <w:p>
      <w:pPr>
        <w:spacing w:before="140" w:after="140" w:line="280"/>
        <w:jc w:val="left"/>
      </w:pPr>
      <w:r>
        <w:rPr>
          <w:rFonts w:ascii="Garamond" w:cs="Garamond" w:eastAsia="Garamond" w:hAnsi="Garamond"/>
          <w:color w:val="111111"/>
          <w:sz w:val="22"/>
          <w:szCs w:val="22"/>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18"/>
          <w:szCs w:val="18"/>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12"/>
          <w:szCs w:val="12"/>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2"/>
          <w:szCs w:val="22"/>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2"/>
          <w:szCs w:val="22"/>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2"/>
          <w:szCs w:val="22"/>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Six Cards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Format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2"/>
          <w:szCs w:val="22"/>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2"/>
          <w:szCs w:val="22"/>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2"/>
          <w:szCs w:val="22"/>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2"/>
          <w:szCs w:val="22"/>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2"/>
          <w:szCs w:val="22"/>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2"/>
          <w:szCs w:val="22"/>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2"/>
          <w:szCs w:val="22"/>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2"/>
          <w:szCs w:val="22"/>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live. Stay there longer.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2"/>
          <w:szCs w:val="22"/>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2"/>
          <w:szCs w:val="22"/>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Identify the single moment in each performance that should be the most emotionally intense. Design backward from it. Everything before it is build. Everything after it is resolution.</w:t>
      </w:r>
    </w:p>
    <w:p>
      <w:pPr>
        <w:spacing w:before="140" w:after="140" w:line="280"/>
        <w:jc w:val="left"/>
      </w:pPr>
      <w:r>
        <w:rPr>
          <w:rFonts w:ascii="Garamond" w:cs="Garamond" w:eastAsia="Garamond" w:hAnsi="Garamond"/>
          <w:color w:val="111111"/>
          <w:sz w:val="22"/>
          <w:szCs w:val="22"/>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2"/>
          <w:szCs w:val="22"/>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2"/>
          <w:szCs w:val="22"/>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2"/>
          <w:szCs w:val="22"/>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Design the sequence so the conclusion arrives before you name it. When the audience has reached the insight, name it. Not before.</w:t>
      </w:r>
    </w:p>
    <w:p>
      <w:pPr>
        <w:spacing w:before="140" w:after="140" w:line="280"/>
        <w:jc w:val="left"/>
      </w:pPr>
      <w:r>
        <w:rPr>
          <w:rFonts w:ascii="Garamond" w:cs="Garamond" w:eastAsia="Garamond" w:hAnsi="Garamond"/>
          <w:color w:val="111111"/>
          <w:sz w:val="22"/>
          <w:szCs w:val="22"/>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2"/>
          <w:szCs w:val="22"/>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2"/>
          <w:szCs w:val="22"/>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2"/>
          <w:szCs w:val="22"/>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2"/>
          <w:szCs w:val="22"/>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2"/>
          <w:szCs w:val="22"/>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2"/>
          <w:szCs w:val="22"/>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2"/>
          <w:szCs w:val="22"/>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2"/>
          <w:szCs w:val="22"/>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2"/>
          <w:szCs w:val="22"/>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Find something genuinely interesting about this room before you begin. Not as a technique. As a requirement. The audience will simulate your state. Give them something worth having.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18"/>
          <w:szCs w:val="18"/>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16</w:t>
      </w:r>
    </w:p>
    <w:p>
      <w:pPr>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18"/>
          <w:szCs w:val="18"/>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A room full of executives is not a harder audience. It is a differently motivated one. 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2"/>
          <w:szCs w:val="22"/>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2"/>
          <w:szCs w:val="22"/>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2"/>
          <w:szCs w:val="22"/>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Corporate Audience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Credibility Sequence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2"/>
          <w:szCs w:val="22"/>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2"/>
          <w:szCs w:val="22"/>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Experience Before Explanation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17</w:t>
      </w:r>
    </w:p>
    <w:p>
      <w:pPr>
        <w:pStyle w:val="Heading1"/>
        <w:spacing w:before="0" w:after="8" w:line="400"/>
        <w:jc w:val="left"/>
      </w:pPr>
      <w:r>
        <w:rPr>
          <w:rFonts w:ascii="Garamond" w:cs="Garamond" w:eastAsia="Garamond" w:hAnsi="Garamond"/>
          <w:b/>
          <w:bCs/>
          <w:color w:val="0A1628"/>
          <w:sz w:val="30"/>
          <w:szCs w:val="30"/>
        </w:rPr>
        <w:t xml:space="preserve">The Behavioral Training Framework</w:t>
      </w:r>
    </w:p>
    <w:p>
      <w:pPr>
        <w:spacing w:before="4" w:after="280" w:line="280"/>
        <w:jc w:val="left"/>
      </w:pPr>
      <w:r>
        <w:rPr>
          <w:rFonts w:ascii="Garamond" w:cs="Garamond" w:eastAsia="Garamond" w:hAnsi="Garamond"/>
          <w:color w:val="4A4A4A"/>
          <w:sz w:val="18"/>
          <w:szCs w:val="18"/>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Liberation Serif" w:hAnsi="Liberation Serif"/>
          <w:sz w:val="22"/>
          <w:szCs w:val="22"/>
          <w:color w:val="333333"/>
        </w:rPr>
      </w:pPr>
      <w:r>
        <w:rPr>
          <w:rFonts w:ascii="Liberation Serif" w:hAnsi="Liberation Serif"/>
          <w:sz w:val="22"/>
          <w:szCs w:val="22"/>
          <w:color w:val="333333"/>
        </w:rPr>
        <w:t xml:space="preserve">That room taught me what the research already shows:</w:t>
      </w:r>
    </w:p>
    <w:p>
      <w:pPr>
        <w:spacing w:before="140" w:after="140" w:line="280"/>
        <w:jc w:val="left"/>
      </w:pPr>
      <w:r>
        <w:rPr>
          <w:rFonts w:ascii="Garamond" w:cs="Garamond" w:eastAsia="Garamond" w:hAnsi="Garamond"/>
          <w:color w:val="111111"/>
          <w:sz w:val="22"/>
          <w:szCs w:val="22"/>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2"/>
          <w:szCs w:val="22"/>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2"/>
          <w:szCs w:val="22"/>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Design Sequence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Hippocampus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2"/>
          <w:szCs w:val="22"/>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2"/>
          <w:szCs w:val="22"/>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Performer Advantage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18</w:t>
      </w:r>
    </w:p>
    <w:p>
      <w:pPr>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18"/>
          <w:szCs w:val="18"/>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14"/>
          <w:szCs w:val="14"/>
        </w:rPr>
        <w:t xml:space="preserve">────────────────────────────────────────────────────────────────────────────────</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17"/>
          <w:szCs w:val="17"/>
        </w:rPr>
        <w:t xml:space="preserve">On working with a defense agency leadership team</w:t>
      </w:r>
    </w:p>
    <w:p>
      <w:pPr>
        <w:spacing w:before="140" w:after="140" w:line="280"/>
        <w:jc w:val="left"/>
      </w:pPr>
      <w:r>
        <w:rPr>
          <w:rFonts w:ascii="Garamond" w:cs="Garamond" w:eastAsia="Garamond" w:hAnsi="Garamond"/>
          <w:color w:val="111111"/>
          <w:sz w:val="22"/>
          <w:szCs w:val="22"/>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2"/>
          <w:szCs w:val="22"/>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2"/>
          <w:szCs w:val="22"/>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2"/>
          <w:szCs w:val="22"/>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2"/>
          <w:szCs w:val="22"/>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17"/>
          <w:szCs w:val="17"/>
        </w:rPr>
        <w:t xml:space="preserve">On earning the most resistant person in the room</w:t>
      </w:r>
    </w:p>
    <w:p>
      <w:pPr>
        <w:spacing w:before="140" w:after="140" w:line="280"/>
        <w:jc w:val="left"/>
      </w:pPr>
      <w:r>
        <w:rPr>
          <w:rFonts w:ascii="Garamond" w:cs="Garamond" w:eastAsia="Garamond" w:hAnsi="Garamond"/>
          <w:color w:val="111111"/>
          <w:sz w:val="22"/>
          <w:szCs w:val="22"/>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2"/>
          <w:szCs w:val="22"/>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2"/>
          <w:szCs w:val="22"/>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2"/>
          <w:szCs w:val="22"/>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17"/>
          <w:szCs w:val="17"/>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2"/>
          <w:szCs w:val="22"/>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2"/>
          <w:szCs w:val="22"/>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2"/>
          <w:szCs w:val="22"/>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2"/>
          <w:szCs w:val="22"/>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17"/>
          <w:szCs w:val="17"/>
        </w:rPr>
        <w:t xml:space="preserve">On engineering a shared experience in a large room</w:t>
      </w:r>
    </w:p>
    <w:p>
      <w:pPr>
        <w:spacing w:before="140" w:after="140" w:line="280"/>
        <w:jc w:val="left"/>
      </w:pPr>
      <w:r>
        <w:rPr>
          <w:rFonts w:ascii="Garamond" w:cs="Garamond" w:eastAsia="Garamond" w:hAnsi="Garamond"/>
          <w:color w:val="111111"/>
          <w:sz w:val="22"/>
          <w:szCs w:val="22"/>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2"/>
          <w:szCs w:val="22"/>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2"/>
          <w:szCs w:val="22"/>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2"/>
          <w:szCs w:val="22"/>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19</w:t>
      </w:r>
    </w:p>
    <w:p>
      <w:pPr>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18"/>
          <w:szCs w:val="18"/>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2"/>
          <w:szCs w:val="22"/>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Compliance vs. Internalization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Self-Attribution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2"/>
          <w:szCs w:val="22"/>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2"/>
          <w:szCs w:val="22"/>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Mirror Technique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Reactance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Direct challenge to resistance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Timing the Name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2"/>
          <w:szCs w:val="22"/>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2"/>
          <w:szCs w:val="22"/>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2"/>
          <w:szCs w:val="22"/>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20</w:t>
      </w:r>
    </w:p>
    <w:p>
      <w:pPr>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18"/>
          <w:szCs w:val="18"/>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2"/>
          <w:szCs w:val="22"/>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2"/>
          <w:szCs w:val="22"/>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Not permanent deception.</w:t>
      </w:r>
    </w:p>
    <w:p>
      <w:pPr>
        <w:spacing w:before="140" w:after="140" w:line="280"/>
        <w:jc w:val="left"/>
      </w:pPr>
      <w:r>
        <w:rPr>
          <w:rFonts w:ascii="Garamond" w:cs="Garamond" w:eastAsia="Garamond" w:hAnsi="Garamond"/>
          <w:color w:val="111111"/>
          <w:sz w:val="22"/>
          <w:szCs w:val="22"/>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2"/>
          <w:szCs w:val="22"/>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2"/>
          <w:szCs w:val="22"/>
        </w:rPr>
        <w:t xml:space="preserve">I want to be specific about this. Not in the abstract.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2"/>
          <w:szCs w:val="22"/>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2"/>
          <w:szCs w:val="22"/>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2"/>
          <w:szCs w:val="22"/>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Distress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2"/>
          <w:szCs w:val="22"/>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2"/>
          <w:szCs w:val="22"/>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2"/>
          <w:szCs w:val="22"/>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2"/>
          <w:szCs w:val="22"/>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Consent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Transparency Rule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Manipulation Line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2"/>
          <w:szCs w:val="22"/>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2"/>
          <w:szCs w:val="22"/>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Design Default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2"/>
          <w:szCs w:val="22"/>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2"/>
          <w:szCs w:val="22"/>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2"/>
          <w:szCs w:val="22"/>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FIVE</w:t>
      </w:r>
    </w:p>
    <w:p>
      <w:pPr>
        <w:spacing w:before="0" w:after="10" w:line="480"/>
        <w:jc w:val="left"/>
      </w:pPr>
      <w:r>
        <w:rPr>
          <w:rFonts w:ascii="Garamond" w:cs="Garamond" w:eastAsia="Garamond" w:hAnsi="Garamond"/>
          <w:b/>
          <w:bCs/>
          <w:color w:val="0A1628"/>
          <w:sz w:val="38"/>
          <w:szCs w:val="38"/>
        </w:rPr>
        <w:t xml:space="preserve">The Neural Performance Model</w:t>
      </w:r>
    </w:p>
    <w:p>
      <w:pPr>
        <w:spacing w:before="0" w:after="600" w:line="280"/>
        <w:jc w:val="left"/>
      </w:pPr>
      <w:r>
        <w:rPr>
          <w:rFonts w:ascii="Garamond" w:cs="Garamond" w:eastAsia="Garamond" w:hAnsi="Garamond"/>
          <w:color w:val="4A4A4A"/>
          <w:sz w:val="18"/>
          <w:szCs w:val="18"/>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12"/>
          <w:szCs w:val="12"/>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2"/>
          <w:szCs w:val="22"/>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01 · PRIME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02 ·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03 · TENSION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04 · ANCHOR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05 · ESCALATE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06 · RELEASE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07 · EMBED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2"/>
          <w:szCs w:val="22"/>
        </w:rPr>
        <w:t xml:space="preserve">Use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PRE-SHOW PRIMING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ATTENTION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TENSION AND RELEASE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BEHAVIORAL PROFILING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MEMORY ENCODING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18"/>
          <w:szCs w:val="18"/>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2"/>
          <w:szCs w:val="22"/>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1 — OBSERVATION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behavioral reading infrastructure that runs before any performance element begins. The 56-signal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2 — ENVIRONMENTAL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3 — PRE-SHOW INTELLIGENCE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4 — STRUCTURAL SEQUENCE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2"/>
          <w:szCs w:val="22"/>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18"/>
          <w:szCs w:val="18"/>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21</w:t>
      </w:r>
    </w:p>
    <w:p>
      <w:pPr>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18"/>
          <w:szCs w:val="18"/>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2"/>
          <w:szCs w:val="22"/>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Bow and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CEO Introduction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2"/>
          <w:szCs w:val="22"/>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2"/>
          <w:szCs w:val="22"/>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Exit Protocol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Leave groups with the same energy you would exit a strong success. The room reads the departure. A confident, unhurried exit from a resistant group resets the narrative before you reach the next table.</w:t>
      </w:r>
    </w:p>
    <w:p>
      <w:r>
        <w:rPr>
          <w:b/>
          <w:bCs/>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b/>
          <w:bCs/>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b/>
          <w:bCs/>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b/>
          <w:bCs/>
        </w:rPr>
        <w:t xml:space="preserve">Seconds 10–40 — One Effect</w:t>
      </w:r>
    </w:p>
    <w:p/>
    <w:p>
      <w:r>
        <w:t xml:space="preserve">One demonstration. Not two. Not a medley. One clean effect that fits the energy and composition of the group. Match the effect to what you observed in the scan: a prediction for an analytical group, an influence demonstration for an expressive group, a personal read for a quieter table.</w:t>
      </w:r>
    </w:p>
    <w:p/>
    <w:p>
      <w:r>
        <w:rPr>
          <w:b/>
          <w:bCs/>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b/>
          <w:bCs/>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b/>
          <w:bCs/>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22</w:t>
      </w:r>
    </w:p>
    <w:p>
      <w:pPr>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18"/>
          <w:szCs w:val="18"/>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2"/>
          <w:szCs w:val="22"/>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Duration Neglect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Peak vs. Close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2"/>
          <w:szCs w:val="22"/>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23</w:t>
      </w:r>
    </w:p>
    <w:p>
      <w:pPr>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18"/>
          <w:szCs w:val="18"/>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Use it.</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2"/>
          <w:szCs w:val="22"/>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Target State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Dead Time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2"/>
          <w:szCs w:val="22"/>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2"/>
          <w:szCs w:val="22"/>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Tempo and Trust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24</w:t>
      </w:r>
    </w:p>
    <w:p>
      <w:pPr>
        <w:pStyle w:val="Heading1"/>
        <w:spacing w:before="0" w:after="8" w:line="400"/>
        <w:jc w:val="left"/>
      </w:pPr>
      <w:r>
        <w:rPr>
          <w:rFonts w:ascii="Garamond" w:cs="Garamond" w:eastAsia="Garamond" w:hAnsi="Garamond"/>
          <w:b/>
          <w:bCs/>
          <w:color w:val="0A1628"/>
          <w:sz w:val="30"/>
          <w:szCs w:val="30"/>
        </w:rPr>
        <w:t xml:space="preserve">Compliance by Design</w:t>
      </w:r>
    </w:p>
    <w:p>
      <w:pPr>
        <w:spacing w:before="4" w:after="280" w:line="280"/>
        <w:jc w:val="left"/>
      </w:pPr>
      <w:r>
        <w:rPr>
          <w:rFonts w:ascii="Garamond" w:cs="Garamond" w:eastAsia="Garamond" w:hAnsi="Garamond"/>
          <w:color w:val="4A4A4A"/>
          <w:sz w:val="18"/>
          <w:szCs w:val="18"/>
        </w:rPr>
        <w:t xml:space="preserve">The dance floor of death is a design failure, not an audience failure.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2"/>
          <w:szCs w:val="22"/>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Mirror Neurons and Modeling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First Mover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2"/>
          <w:szCs w:val="22"/>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Compliance History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Compliance Temperature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25</w:t>
      </w:r>
    </w:p>
    <w:p>
      <w:pPr>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18"/>
          <w:szCs w:val="18"/>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1. Certainty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2. Congruence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3. Presence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4. Composure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5. Investment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2"/>
          <w:szCs w:val="22"/>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2"/>
          <w:szCs w:val="22"/>
        </w:rPr>
        <w:t xml:space="preserve">The room is reading you from the moment you appear in its peripheral vision. Not your opening line. Not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b/>
          <w:bCs/>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b/>
          <w:bCs/>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b/>
          <w:bCs/>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26</w:t>
      </w:r>
    </w:p>
    <w:p>
      <w:pPr>
        <w:pStyle w:val="Heading1"/>
        <w:spacing w:before="0" w:after="8" w:line="400"/>
        <w:jc w:val="left"/>
      </w:pPr>
      <w:r>
        <w:rPr>
          <w:rFonts w:ascii="Garamond" w:cs="Garamond" w:eastAsia="Garamond" w:hAnsi="Garamond"/>
          <w:b/>
          <w:bCs/>
          <w:color w:val="0A1628"/>
          <w:sz w:val="30"/>
          <w:szCs w:val="30"/>
        </w:rPr>
        <w:t xml:space="preserve">The Professional Advancement System</w:t>
      </w:r>
    </w:p>
    <w:p>
      <w:pPr>
        <w:spacing w:before="4" w:after="280" w:line="280"/>
        <w:jc w:val="left"/>
      </w:pPr>
      <w:r>
        <w:rPr>
          <w:rFonts w:ascii="Garamond" w:cs="Garamond" w:eastAsia="Garamond" w:hAnsi="Garamond"/>
          <w:color w:val="4A4A4A"/>
          <w:sz w:val="18"/>
          <w:szCs w:val="18"/>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2"/>
          <w:szCs w:val="22"/>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Discovery Call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Customization Meeting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Site Visit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2"/>
          <w:szCs w:val="22"/>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Memory Window</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Referral Condition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27</w:t>
      </w:r>
    </w:p>
    <w:p>
      <w:pPr>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18"/>
          <w:szCs w:val="18"/>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2"/>
          <w:szCs w:val="22"/>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Intro Video Formula</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Timing Note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2"/>
          <w:szCs w:val="22"/>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Pre-Entry Checklist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Threshold Rule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28</w:t>
      </w:r>
    </w:p>
    <w:p>
      <w:pPr>
        <w:pStyle w:val="Heading1"/>
        <w:spacing w:before="0" w:after="8" w:line="400"/>
        <w:jc w:val="left"/>
      </w:pPr>
      <w:r>
        <w:rPr>
          <w:rFonts w:ascii="Garamond" w:cs="Garamond" w:eastAsia="Garamond" w:hAnsi="Garamond"/>
          <w:b/>
          <w:bCs/>
          <w:color w:val="0A1628"/>
          <w:sz w:val="30"/>
          <w:szCs w:val="30"/>
        </w:rPr>
        <w:t xml:space="preserve">Signal to Statement</w:t>
      </w:r>
    </w:p>
    <w:p>
      <w:pPr>
        <w:spacing w:before="4" w:after="280" w:line="280"/>
        <w:jc w:val="left"/>
      </w:pPr>
      <w:r>
        <w:rPr>
          <w:rFonts w:ascii="Garamond" w:cs="Garamond" w:eastAsia="Garamond" w:hAnsi="Garamond"/>
          <w:color w:val="4A4A4A"/>
          <w:sz w:val="18"/>
          <w:szCs w:val="18"/>
        </w:rPr>
        <w:t xml:space="preserve">The gap between seeing and saying, and the five structural moves that close it.</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2"/>
          <w:szCs w:val="22"/>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2"/>
          <w:szCs w:val="22"/>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2"/>
          <w:szCs w:val="22"/>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2"/>
          <w:szCs w:val="22"/>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T1 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Behavioral 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Social 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2"/>
          <w:szCs w:val="22"/>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2"/>
          <w:szCs w:val="22"/>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1 — Broad Impression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2 — Behavioral Pattern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3 — Personal Theme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Shift from behavioral to personal. This is where performance begins. Deliver a specific personal theme that feels private. Not flattering. Not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4 — Specific Reveal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peak. State the specific once. Cleanly. No qualification, no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2"/>
          <w:szCs w:val="22"/>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2"/>
          <w:szCs w:val="22"/>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2"/>
          <w:szCs w:val="22"/>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2"/>
          <w:szCs w:val="22"/>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2"/>
          <w:szCs w:val="22"/>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2"/>
          <w:szCs w:val="22"/>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2"/>
          <w:szCs w:val="22"/>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2"/>
          <w:szCs w:val="22"/>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2"/>
          <w:szCs w:val="22"/>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2"/>
          <w:szCs w:val="22"/>
        </w:rPr>
        <w:t xml:space="preserve">Level 4: [Specific. Delivered once. Standing still.]</w:t>
      </w:r>
    </w:p>
    <w:p>
      <w:pPr>
        <w:spacing w:before="140" w:after="140" w:line="280"/>
        <w:jc w:val="left"/>
      </w:pPr>
      <w:r>
        <w:rPr>
          <w:rFonts w:ascii="Garamond" w:cs="Garamond" w:eastAsia="Garamond" w:hAnsi="Garamond"/>
          <w:color w:val="111111"/>
          <w:sz w:val="22"/>
          <w:szCs w:val="22"/>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29</w:t>
      </w:r>
    </w:p>
    <w:p>
      <w:pPr>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18"/>
          <w:szCs w:val="18"/>
        </w:rPr>
        <w:t xml:space="preserve">Six frameworks for life readings built from signal clusters — not guesswork.</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2"/>
          <w:szCs w:val="22"/>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2"/>
          <w:szCs w:val="22"/>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2"/>
          <w:szCs w:val="22"/>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2"/>
          <w:szCs w:val="22"/>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2"/>
          <w:szCs w:val="22"/>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 was a version of your life that looked very different from this one. A deliberate decision. A pivot. Not a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2"/>
          <w:szCs w:val="22"/>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2"/>
          <w:szCs w:val="22"/>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2"/>
          <w:szCs w:val="22"/>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2"/>
          <w:szCs w:val="22"/>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2"/>
          <w:szCs w:val="22"/>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2"/>
          <w:szCs w:val="22"/>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2"/>
          <w:szCs w:val="22"/>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2"/>
          <w:szCs w:val="22"/>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30</w:t>
      </w:r>
    </w:p>
    <w:p>
      <w:pPr>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18"/>
          <w:szCs w:val="18"/>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2"/>
          <w:szCs w:val="22"/>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2"/>
          <w:szCs w:val="22"/>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2"/>
          <w:szCs w:val="22"/>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2"/>
          <w:szCs w:val="22"/>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2"/>
          <w:szCs w:val="22"/>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2"/>
          <w:szCs w:val="22"/>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Delay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2"/>
          <w:szCs w:val="22"/>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2"/>
          <w:szCs w:val="22"/>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Anti-Backtracking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2"/>
          <w:szCs w:val="22"/>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2"/>
          <w:szCs w:val="22"/>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2"/>
          <w:szCs w:val="22"/>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2"/>
          <w:szCs w:val="22"/>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2"/>
          <w:szCs w:val="22"/>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2"/>
          <w:szCs w:val="22"/>
        </w:rPr>
        <w:t xml:space="preserve">After a strong reveal, the audience is feeling.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31</w:t>
      </w:r>
    </w:p>
    <w:p>
      <w:pPr>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18"/>
          <w:szCs w:val="18"/>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Approaching a Reveal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After a Statement Lands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When the Subject Looks Uncomfortable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When the Room Has Energy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After a Recovery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graceful exit should be followed by a brief acceleration. It signals confidence and resets the energy. The recovery is a data point, not a failure. Move forward like it.</w:t>
      </w:r>
    </w:p>
    <w:p>
      <w:r>
        <w:rPr>
          <w:b/>
          <w:bCs/>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b/>
          <w:bCs/>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b/>
          <w:bCs/>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b/>
          <w:bCs/>
        </w:rPr>
        <w:t xml:space="preserve">Level 3 — Pivot</w:t>
      </w:r>
    </w:p>
    <w:p/>
    <w:p>
      <w:r>
        <w:t xml:space="preserve">Cleanly release the missed read and move to entirely new territory with full confidence. No apology. No explanation.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b/>
          <w:bCs/>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Never apologize. Never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 Strolling Work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Instruction Pause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Confirmation Pause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Strategic Look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Stillness for Reveals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Movement for Resets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Matching Physical Pace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2"/>
          <w:szCs w:val="22"/>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Calibri" w:cs="Calibri" w:eastAsia="Calibri" w:hAnsi="Calibri"/>
                <w:b/>
                <w:bCs/>
                <w:color w:val="FFFFFF"/>
                <w:sz w:val="16"/>
                <w:szCs w:val="16"/>
              </w:rPr>
              <w:t xml:space="preserve">ENVIRONMENT</w:t>
            </w:r>
          </w:p>
        </w:tc>
        <w:tc>
          <w:tcPr>
            <w:tcW w:type="dxa" w:w="2000"/>
            <w:shd w:fill="0A1628" w:color="0A1628" w:val="solid"/>
          </w:tcPr>
          <w:p>
            <w:pPr>
              <w:spacing w:before="60" w:after="60"/>
              <w:jc w:val="left"/>
            </w:pPr>
            <w:r>
              <w:rPr>
                <w:rFonts w:ascii="Calibri" w:cs="Calibri" w:eastAsia="Calibri" w:hAnsi="Calibri"/>
                <w:b/>
                <w:bCs/>
                <w:color w:val="FFFFFF"/>
                <w:sz w:val="16"/>
                <w:szCs w:val="16"/>
              </w:rPr>
              <w:t xml:space="preserve">DEMONSTRATION TYPE</w:t>
            </w:r>
          </w:p>
        </w:tc>
        <w:tc>
          <w:tcPr>
            <w:tcW w:type="dxa" w:w="2000"/>
            <w:shd w:fill="0A1628" w:color="0A1628" w:val="solid"/>
          </w:tcPr>
          <w:p>
            <w:pPr>
              <w:spacing w:before="60" w:after="60"/>
              <w:jc w:val="left"/>
            </w:pPr>
            <w:r>
              <w:rPr>
                <w:rFonts w:ascii="Calibri" w:cs="Calibri" w:eastAsia="Calibri" w:hAnsi="Calibri"/>
                <w:b/>
                <w:bCs/>
                <w:color w:val="FFFFFF"/>
                <w:sz w:val="16"/>
                <w:szCs w:val="16"/>
              </w:rPr>
              <w:t xml:space="preserve">VOLUNTEER APPROACH</w:t>
            </w:r>
          </w:p>
        </w:tc>
        <w:tc>
          <w:tcPr>
            <w:tcW w:type="dxa" w:w="1200"/>
            <w:shd w:fill="0A1628" w:color="0A1628" w:val="solid"/>
          </w:tcPr>
          <w:p>
            <w:pPr>
              <w:spacing w:before="60" w:after="60"/>
              <w:jc w:val="left"/>
            </w:pPr>
            <w:r>
              <w:rPr>
                <w:rFonts w:ascii="Calibri" w:cs="Calibri" w:eastAsia="Calibri" w:hAnsi="Calibri"/>
                <w:b/>
                <w:bCs/>
                <w:color w:val="FFFFFF"/>
                <w:sz w:val="16"/>
                <w:szCs w:val="16"/>
              </w:rPr>
              <w:t xml:space="preserve">REVEAL STYLE</w:t>
            </w:r>
          </w:p>
        </w:tc>
        <w:tc>
          <w:tcPr>
            <w:tcW w:type="dxa" w:w="2000"/>
            <w:shd w:fill="0A1628" w:color="0A1628" w:val="solid"/>
          </w:tcPr>
          <w:p>
            <w:pPr>
              <w:spacing w:before="60" w:after="60"/>
              <w:jc w:val="left"/>
            </w:pPr>
            <w:r>
              <w:rPr>
                <w:rFonts w:ascii="Calibri" w:cs="Calibri" w:eastAsia="Calibri" w:hAnsi="Calibri"/>
                <w:b/>
                <w:bCs/>
                <w:color w:val="FFFFFF"/>
                <w:sz w:val="16"/>
                <w:szCs w:val="16"/>
              </w:rPr>
              <w:t xml:space="preserve">NOTES</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STROLLING / WALKAROUND</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T1 cold reads · Social role read · 90-second behavioral profile</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T1 opener on whoever is present. Act on one or two strong signals.</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Soft hit + one strong hit</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No pre-selection. Read whoever is in front of you. Leave at the peak.</w:t>
            </w:r>
          </w:p>
        </w:tc>
      </w:tr>
      <w:tr>
        <w:tc>
          <w:tcPr>
            <w:tcW w:type="dxa" w:w="1200"/>
            <w:shd w:fill="FFFFFF" w:color="FFFFFF" w:val="solid"/>
          </w:tcPr>
          <w:p>
            <w:pPr>
              <w:spacing w:before="60" w:after="60"/>
              <w:jc w:val="left"/>
            </w:pPr>
            <w:r>
              <w:rPr>
                <w:rFonts w:ascii="Calibri" w:cs="Calibri" w:eastAsia="Calibri" w:hAnsi="Calibri"/>
                <w:b/>
                <w:bCs/>
                <w:color w:val="0A1628"/>
                <w:sz w:val="16"/>
                <w:szCs w:val="16"/>
              </w:rPr>
              <w:t xml:space="preserve">CLOSE-UP</w:t>
            </w:r>
          </w:p>
        </w:tc>
        <w:tc>
          <w:tcPr>
            <w:tcW w:type="dxa" w:w="2000"/>
            <w:shd w:fill="FFFFFF" w:color="FFFFFF" w:val="solid"/>
          </w:tcPr>
          <w:p>
            <w:pPr>
              <w:spacing w:before="60" w:after="60"/>
              <w:jc w:val="left"/>
            </w:pPr>
            <w:r>
              <w:rPr>
                <w:rFonts w:ascii="Calibri" w:cs="Calibri" w:eastAsia="Calibri" w:hAnsi="Calibri"/>
                <w:color w:val="111111"/>
                <w:sz w:val="16"/>
                <w:szCs w:val="16"/>
              </w:rPr>
              <w:t xml:space="preserve">Hidden interest read · Relationship dynamic · Life pivot</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Emotional, Reserved, or Analytical volunteer. Intimacy is the asset.</w:t>
            </w:r>
          </w:p>
        </w:tc>
        <w:tc>
          <w:tcPr>
            <w:tcW w:type="dxa" w:w="1200"/>
            <w:shd w:fill="FFFFFF" w:color="FFFFFF" w:val="solid"/>
          </w:tcPr>
          <w:p>
            <w:pPr>
              <w:spacing w:before="60" w:after="60"/>
              <w:jc w:val="left"/>
            </w:pPr>
            <w:r>
              <w:rPr>
                <w:rFonts w:ascii="Calibri" w:cs="Calibri" w:eastAsia="Calibri" w:hAnsi="Calibri"/>
                <w:color w:val="111111"/>
                <w:sz w:val="16"/>
                <w:szCs w:val="16"/>
              </w:rPr>
              <w:t xml:space="preserve">Full layered read at Level 3–4</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Use the full reading lines. Depth earns trust in intimate settings.</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PARLOR (8–30)</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Curiosity-based reads · Social role · Life pivot</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Room is the volunteer. Read everyone simultaneously.</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Layered read + callback</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Intimacy creates permission. Work the whole room, not one subject.</w:t>
            </w:r>
          </w:p>
        </w:tc>
      </w:tr>
      <w:tr>
        <w:tc>
          <w:tcPr>
            <w:tcW w:type="dxa" w:w="1200"/>
            <w:shd w:fill="FFFFFF" w:color="FFFFFF" w:val="solid"/>
          </w:tcPr>
          <w:p>
            <w:pPr>
              <w:spacing w:before="60" w:after="60"/>
              <w:jc w:val="left"/>
            </w:pPr>
            <w:r>
              <w:rPr>
                <w:rFonts w:ascii="Calibri" w:cs="Calibri" w:eastAsia="Calibri" w:hAnsi="Calibri"/>
                <w:b/>
                <w:bCs/>
                <w:color w:val="0A1628"/>
                <w:sz w:val="16"/>
                <w:szCs w:val="16"/>
              </w:rPr>
              <w:t xml:space="preserve">CORPORATE KEYNOTE</w:t>
            </w:r>
          </w:p>
        </w:tc>
        <w:tc>
          <w:tcPr>
            <w:tcW w:type="dxa" w:w="2000"/>
            <w:shd w:fill="FFFFFF" w:color="FFFFFF" w:val="solid"/>
          </w:tcPr>
          <w:p>
            <w:pPr>
              <w:spacing w:before="60" w:after="60"/>
              <w:jc w:val="left"/>
            </w:pPr>
            <w:r>
              <w:rPr>
                <w:rFonts w:ascii="Calibri" w:cs="Calibri" w:eastAsia="Calibri" w:hAnsi="Calibri"/>
                <w:color w:val="111111"/>
                <w:sz w:val="16"/>
                <w:szCs w:val="16"/>
              </w:rPr>
              <w:t xml:space="preserve">Behavioral profile · Pre-show reveals · Travel pattern read</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Pre-show selection. Supporter or Challenger. Win the room leader first.</w:t>
            </w:r>
          </w:p>
        </w:tc>
        <w:tc>
          <w:tcPr>
            <w:tcW w:type="dxa" w:w="1200"/>
            <w:shd w:fill="FFFFFF" w:color="FFFFFF" w:val="solid"/>
          </w:tcPr>
          <w:p>
            <w:pPr>
              <w:spacing w:before="60" w:after="60"/>
              <w:jc w:val="left"/>
            </w:pPr>
            <w:r>
              <w:rPr>
                <w:rFonts w:ascii="Calibri" w:cs="Calibri" w:eastAsia="Calibri" w:hAnsi="Calibri"/>
                <w:color w:val="111111"/>
                <w:sz w:val="16"/>
                <w:szCs w:val="16"/>
              </w:rPr>
              <w:t xml:space="preserve">Strong hit + pre-show reveal</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Authority matters. Win the room leader in the first effect.</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STAGE SHOW</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Full layered read · Life reading · Social role reveal</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Full matrix selection. Assess confidence and suggestibility independently.</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All four levels of the layered read</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Theatrical distance requires Level 4 staging mechanics every time.</w:t>
            </w:r>
          </w:p>
        </w:tc>
      </w:tr>
      <w:tr>
        <w:tc>
          <w:tcPr>
            <w:tcW w:type="dxa" w:w="1200"/>
            <w:shd w:fill="FFFFFF" w:color="FFFFFF" w:val="solid"/>
          </w:tcPr>
          <w:p>
            <w:pPr>
              <w:spacing w:before="60" w:after="60"/>
              <w:jc w:val="left"/>
            </w:pPr>
            <w:r>
              <w:rPr>
                <w:rFonts w:ascii="Calibri" w:cs="Calibri" w:eastAsia="Calibri" w:hAnsi="Calibri"/>
                <w:b/>
                <w:bCs/>
                <w:color w:val="0A1628"/>
                <w:sz w:val="16"/>
                <w:szCs w:val="16"/>
              </w:rPr>
              <w:t xml:space="preserve">THEATER</w:t>
            </w:r>
          </w:p>
        </w:tc>
        <w:tc>
          <w:tcPr>
            <w:tcW w:type="dxa" w:w="2000"/>
            <w:shd w:fill="FFFFFF" w:color="FFFFFF" w:val="solid"/>
          </w:tcPr>
          <w:p>
            <w:pPr>
              <w:spacing w:before="60" w:after="60"/>
              <w:jc w:val="left"/>
            </w:pPr>
            <w:r>
              <w:rPr>
                <w:rFonts w:ascii="Calibri" w:cs="Calibri" w:eastAsia="Calibri" w:hAnsi="Calibri"/>
                <w:color w:val="111111"/>
                <w:sz w:val="16"/>
                <w:szCs w:val="16"/>
              </w:rPr>
              <w:t xml:space="preserve">Complete insight demonstration sequence · Callback close</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Supporter or Emotional volunteer for peaks. Challenger for prediction.</w:t>
            </w:r>
          </w:p>
        </w:tc>
        <w:tc>
          <w:tcPr>
            <w:tcW w:type="dxa" w:w="1200"/>
            <w:shd w:fill="FFFFFF" w:color="FFFFFF" w:val="solid"/>
          </w:tcPr>
          <w:p>
            <w:pPr>
              <w:spacing w:before="60" w:after="60"/>
              <w:jc w:val="left"/>
            </w:pPr>
            <w:r>
              <w:rPr>
                <w:rFonts w:ascii="Calibri" w:cs="Calibri" w:eastAsia="Calibri" w:hAnsi="Calibri"/>
                <w:color w:val="111111"/>
                <w:sz w:val="16"/>
                <w:szCs w:val="16"/>
              </w:rPr>
              <w:t xml:space="preserve">Layered read + insight demo + callback</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Build the callback into show design. Plant in first effect, pay off at the close.</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PRIVATE CONSULTATION</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Complete behavioral deep-read · All six insight frameworks</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One subject. Full session. No audience management required.</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All levels, extended, with full DISC and ethical framing</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12"/>
          <w:szCs w:val="12"/>
        </w:rPr>
        <w:t xml:space="preserve"/>
      </w:r>
    </w:p>
    <w:p>
      <w:pPr>
        <w:spacing w:before="140" w:after="140" w:line="280"/>
        <w:jc w:val="left"/>
      </w:pPr>
      <w:r>
        <w:rPr>
          <w:rFonts w:ascii="Garamond" w:cs="Garamond" w:eastAsia="Garamond" w:hAnsi="Garamond"/>
          <w:color w:val="111111"/>
          <w:sz w:val="22"/>
          <w:szCs w:val="22"/>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18"/>
          <w:szCs w:val="18"/>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32</w:t>
      </w:r>
    </w:p>
    <w:p>
      <w:pPr>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18"/>
          <w:szCs w:val="18"/>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2"/>
          <w:szCs w:val="22"/>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2"/>
          <w:szCs w:val="22"/>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Limbic Ledger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Thank-You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Referral Psychology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2"/>
          <w:szCs w:val="22"/>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1. The First Email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2. The Response Lag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3. The Pre-Show Conversation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4. The Arrival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5. The Logistics Ease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6. The Recovery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7. The Follow-Through</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2"/>
          <w:szCs w:val="22"/>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33</w:t>
      </w:r>
    </w:p>
    <w:p>
      <w:pPr>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18"/>
          <w:szCs w:val="18"/>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Introductions change the state of the room before the performer begins. A weak introduction makes you climb uphill. A strong introduction creates borrowed certainty. A great introduction changes the audience’s posture toward the experience before the first line is spoken. A weak introduction makes the performer climb uphill.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2"/>
          <w:szCs w:val="22"/>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Bio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Rule of Compression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2"/>
          <w:szCs w:val="22"/>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2"/>
          <w:szCs w:val="22"/>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Weak vs. Strong Testimonial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What Testimonials Are Actually For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34</w:t>
      </w:r>
    </w:p>
    <w:p>
      <w:pPr>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18"/>
          <w:szCs w:val="18"/>
        </w:rPr>
        <w:t xml:space="preserve">The words you choose and the sentence structures you use are behavioral signals.</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Processing Fluency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Silence as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2"/>
          <w:szCs w:val="22"/>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Declaration vs. Invitation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Email Compression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35</w:t>
      </w:r>
    </w:p>
    <w:p>
      <w:pPr>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18"/>
          <w:szCs w:val="18"/>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2"/>
          <w:szCs w:val="22"/>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2"/>
          <w:szCs w:val="22"/>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Baseline Problem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Third Person to First Person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2"/>
          <w:szCs w:val="22"/>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2"/>
          <w:szCs w:val="22"/>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Right Question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36</w:t>
      </w:r>
    </w:p>
    <w:p>
      <w:pPr>
        <w:pStyle w:val="Heading1"/>
        <w:spacing w:before="0" w:after="8" w:line="400"/>
        <w:jc w:val="left"/>
      </w:pPr>
      <w:r>
        <w:rPr>
          <w:rFonts w:ascii="Garamond" w:cs="Garamond" w:eastAsia="Garamond" w:hAnsi="Garamond"/>
          <w:b/>
          <w:bCs/>
          <w:color w:val="0A1628"/>
          <w:sz w:val="30"/>
          <w:szCs w:val="30"/>
        </w:rPr>
        <w:t xml:space="preserve">The Decode Behavior Framework</w:t>
      </w:r>
    </w:p>
    <w:p>
      <w:pPr>
        <w:spacing w:before="4" w:after="280" w:line="280"/>
        <w:jc w:val="left"/>
      </w:pPr>
      <w:r>
        <w:rPr>
          <w:rFonts w:ascii="Garamond" w:cs="Garamond" w:eastAsia="Garamond" w:hAnsi="Garamond"/>
          <w:color w:val="4A4A4A"/>
          <w:sz w:val="18"/>
          <w:szCs w:val="18"/>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Framework in One Line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2"/>
          <w:szCs w:val="22"/>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Peer vs. Vendor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2"/>
          <w:szCs w:val="22"/>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Future Vision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2"/>
          <w:szCs w:val="22"/>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2"/>
          <w:szCs w:val="22"/>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2"/>
          <w:szCs w:val="22"/>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Thank-You That Converts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Referral Ask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2"/>
          <w:szCs w:val="22"/>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2"/>
          <w:szCs w:val="22"/>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2"/>
          <w:szCs w:val="22"/>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2"/>
          <w:szCs w:val="22"/>
        </w:rPr>
        <w:t xml:space="preserve">Use the tools.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2"/>
          <w:szCs w:val="22"/>
        </w:rPr>
        <w:t xml:space="preserve">Honor it. Always.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19"/>
          <w:szCs w:val="19"/>
        </w:rPr>
        <w:t xml:space="preserve">Every audience gives you something irreplaceable: their attention, their trust,</w:t>
      </w:r>
    </w:p>
    <w:p>
      <w:pPr>
        <w:spacing w:before="0" w:after="4" w:line="280"/>
        <w:jc w:val="center"/>
      </w:pPr>
      <w:r>
        <w:rPr>
          <w:rFonts w:ascii="Garamond" w:cs="Garamond" w:eastAsia="Garamond" w:hAnsi="Garamond"/>
          <w:color w:val="4A4A4A"/>
          <w:sz w:val="19"/>
          <w:szCs w:val="19"/>
        </w:rPr>
        <w:t xml:space="preserve">and for a few minutes, their willingness to believe the world is stranger and</w:t>
      </w:r>
    </w:p>
    <w:p>
      <w:pPr>
        <w:spacing w:before="0" w:after="80" w:line="280"/>
        <w:jc w:val="center"/>
      </w:pPr>
      <w:r>
        <w:rPr>
          <w:rFonts w:ascii="Garamond" w:cs="Garamond" w:eastAsia="Garamond" w:hAnsi="Garamond"/>
          <w:color w:val="4A4A4A"/>
          <w:sz w:val="19"/>
          <w:szCs w:val="19"/>
        </w:rPr>
        <w:t xml:space="preserve">more beautiful than they thought. That is not a small thing. Honor it. Always.</w:t>
      </w:r>
    </w:p>
    <w:p>
      <w:pPr>
        <w:spacing w:before="0" w:after="0" w:line="280"/>
        <w:jc w:val="center"/>
      </w:pPr>
      <w:r>
        <w:rPr>
          <w:rFonts w:ascii="Garamond" w:cs="Garamond" w:eastAsia="Garamond" w:hAnsi="Garamond"/>
          <w:color w:val="4A4A4A"/>
          <w:sz w:val="15"/>
          <w:szCs w:val="15"/>
        </w:rPr>
        <w:t xml:space="preserve">decodebehavior.co · Washington D.C.</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200" w:after="4" w:line="280"/>
        <w:jc w:val="center"/>
      </w:pPr>
      <w:r>
        <w:rPr>
          <w:rFonts w:ascii="Garamond" w:cs="Garamond" w:eastAsia="Garamond" w:hAnsi="Garamond"/>
          <w:color w:val="0A1628"/>
          <w:sz w:val="22"/>
          <w:szCs w:val="22"/>
        </w:rPr>
        <w:t xml:space="preserve">"The mind does not experience what happens.</w:t>
      </w:r>
    </w:p>
    <w:p>
      <w:pPr>
        <w:spacing w:before="0" w:after="20" w:line="280"/>
        <w:jc w:val="center"/>
      </w:pPr>
      <w:r>
        <w:rPr>
          <w:rFonts w:ascii="Garamond" w:cs="Garamond" w:eastAsia="Garamond" w:hAnsi="Garamond"/>
          <w:color w:val="0A1628"/>
          <w:sz w:val="22"/>
          <w:szCs w:val="22"/>
        </w:rPr>
        <w:t xml:space="preserve">It experiences what it predicts will happen."</w:t>
      </w:r>
    </w:p>
    <w:p>
      <w:pPr>
        <w:spacing w:before="0" w:after="0" w:line="280"/>
        <w:jc w:val="center"/>
      </w:pPr>
      <w:r>
        <w:rPr>
          <w:rFonts w:ascii="Garamond" w:cs="Garamond" w:eastAsia="Garamond" w:hAnsi="Garamond"/>
          <w:color w:val="4A4A4A"/>
          <w:sz w:val="15"/>
          <w:szCs w:val="15"/>
        </w:rPr>
        <w:t xml:space="preserve">— Chris Michael · Decode Behavior</w:t>
      </w:r>
    </w:p>
    <w:p>
      <w:pPr>
        <w:spacing w:before="280" w:after="280" w:line="280"/>
        <w:jc w:val="center"/>
      </w:pPr>
      <w:r>
        <w:rPr>
          <w:rFonts w:ascii="Garamond" w:cs="Garamond" w:eastAsia="Garamond" w:hAnsi="Garamond"/>
          <w:color w:val="CCCCCC"/>
          <w:sz w:val="18"/>
          <w:szCs w:val="18"/>
        </w:rPr>
        <w:t xml:space="preserve">· · ·</w:t>
      </w:r>
    </w:p>
    <w:p>
      <w:pPr>
        <w:rPr>
          <w:b/>
          <w:sz w:val="36"/>
          <w:szCs w:val="36"/>
        </w:rPr>
      </w:pPr>
      <w:r>
        <w:rPr>
          <w:b/>
          <w:bCs/>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A mentalist operates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Style w:val="Heading2"/>
        <w:spacing w:before="480" w:after="20" w:line="280"/>
        <w:jc w:val="left"/>
      </w:pPr>
      <w:r>
        <w:rPr>
          <w:b/>
          <w:bCs/>
        </w:rPr>
        <w:t xml:space="preserve">CHAPTER 37</w:t>
      </w:r>
    </w:p>
    <w:p>
      <w:pPr/>
      <w:r>
        <w:rPr>
          <w:b/>
          <w:bCs/>
        </w:rPr>
        <w:t xml:space="preserve">The FATE Model for Performers</w:t>
      </w:r>
    </w:p>
    <w:p>
      <w:pPr/>
      <w:r>
        <w:t xml:space="preserve">Four forces every audience evaluates before you speak — and how to control all four.</w:t>
      </w:r>
    </w:p>
    <w:p>
      <w:pPr>
        <w:spacing w:before="200" w:after="200" w:line="280"/>
        <w:jc w:val="left"/>
      </w:pPr>
      <w:r>
        <w:t xml:space="preserve">────────────────────────────────────────────────────────────────────────────────</w:t>
      </w:r>
    </w:p>
    <w:p/>
    <w:p>
      <w:pPr/>
      <w:r>
        <w:rPr>
          <w:b/>
          <w:bCs/>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b/>
          <w:bCs/>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b/>
          <w:bCs/>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b/>
          <w:bCs/>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b/>
          <w:bCs/>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b/>
          <w:bCs/>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b/>
          <w:bCs/>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b/>
          <w:bCs/>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b/>
          <w:bCs/>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b/>
          <w:bCs/>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b/>
          <w:bCs/>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b/>
          <w:bCs/>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b/>
          <w:bCs/>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b/>
          <w:bCs/>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Style w:val="Heading2"/>
        <w:spacing w:before="480" w:after="20" w:line="280"/>
        <w:jc w:val="left"/>
      </w:pPr>
      <w:r>
        <w:rPr>
          <w:b/>
          <w:bCs/>
        </w:rPr>
        <w:t xml:space="preserve">CHAPTER 38</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b/>
          <w:bCs/>
        </w:rPr>
        <w:t xml:space="preserve">What You Have Felt Before</w:t>
      </w:r>
    </w:p>
    <w:p/>
    <w:p>
      <w:pPr/>
      <w:r>
        <w:t xml:space="preserve">You have watched someone walk into a room and change it.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b/>
          <w:bCs/>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b/>
          <w:bCs/>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b/>
          <w:bCs/>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b/>
          <w:bCs/>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b/>
          <w:bCs/>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b/>
          <w:bCs/>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b/>
          <w:bCs/>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b/>
          <w:bCs/>
        </w:rPr>
        <w:t xml:space="preserve">Level 1. Burden: The trait is actively working against you. Others experience it as a negative.</w:t>
      </w:r>
    </w:p>
    <w:p/>
    <w:p>
      <w:pPr/>
      <w:r>
        <w:rPr>
          <w:b/>
          <w:bCs/>
        </w:rPr>
        <w:t xml:space="preserve">Level 2. Developing: Present but inconsistent. Breaks under pressure.</w:t>
      </w:r>
    </w:p>
    <w:p/>
    <w:p>
      <w:pPr/>
      <w:r>
        <w:rPr>
          <w:b/>
          <w:bCs/>
        </w:rPr>
        <w:t xml:space="preserve">Level 3. Positive: Functional and visible in favorable conditions. Not yet reliable under stress.</w:t>
      </w:r>
    </w:p>
    <w:p/>
    <w:p>
      <w:pPr/>
      <w:r>
        <w:rPr>
          <w:b/>
          <w:bCs/>
        </w:rPr>
        <w:t xml:space="preserve">Level 4. Inspirational: Consistent enough to influence others. Visible even in difficult moments.</w:t>
      </w:r>
    </w:p>
    <w:p/>
    <w:p>
      <w:pPr/>
      <w:r>
        <w:rPr>
          <w:b/>
          <w:bCs/>
        </w:rPr>
        <w:t xml:space="preserve">Level 5. Contagious: The trait radiates. Others begin exhibiting it in your presence without being asked.</w:t>
      </w:r>
    </w:p>
    <w:p/>
    <w:p>
      <w:pPr/>
      <w:r>
        <w:t xml:space="preserve">Confidence Assessment</w:t>
      </w:r>
    </w:p>
    <w:p/>
    <w:p>
      <w:pPr/>
      <w:r>
        <w:rPr>
          <w:b/>
          <w:bCs/>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needed from the room.</w:t>
      </w:r>
    </w:p>
    <w:p/>
    <w:p>
      <w:pPr/>
      <w:r>
        <w:t xml:space="preserve">Discipline Assessment</w:t>
      </w:r>
    </w:p>
    <w:p/>
    <w:p>
      <w:pPr/>
      <w:r>
        <w:rPr>
          <w:b/>
          <w:bCs/>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b/>
          <w:bCs/>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Never takes credit. Composure is contagious even in crisis.</w:t>
      </w:r>
    </w:p>
    <w:p/>
    <w:p>
      <w:pPr/>
      <w:r>
        <w:t xml:space="preserve">Gratitude Assessment</w:t>
      </w:r>
    </w:p>
    <w:p/>
    <w:p>
      <w:pPr/>
      <w:r>
        <w:rPr>
          <w:b/>
          <w:bCs/>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b/>
          <w:bCs/>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b/>
          <w:bCs/>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Style w:val="Heading2"/>
        <w:spacing w:before="480" w:after="20" w:line="280"/>
        <w:jc w:val="left"/>
      </w:pPr>
      <w:r>
        <w:rPr>
          <w:b/>
          <w:bCs/>
        </w:rPr>
        <w:t xml:space="preserve">CHAPTER 39</w:t>
      </w:r>
    </w:p>
    <w:p>
      <w:pPr/>
      <w:r>
        <w:t xml:space="preserve">The Behavioral Table of Elements</w:t>
      </w:r>
    </w:p>
    <w:p>
      <w:pPr/>
      <w:r>
        <w:t xml:space="preserve">Every observable behavior. Catalogued, rated, and mapped. A performer's DRS field reference.</w:t>
      </w:r>
    </w:p>
    <w:p>
      <w:pPr>
        <w:spacing w:before="200" w:after="200" w:line="280"/>
        <w:jc w:val="left"/>
      </w:pPr>
      <w:r>
        <w:t xml:space="preserve">────────────────────────────────────────────────────────────────────────────────</w:t>
      </w:r>
    </w:p>
    <w:p/>
    <w:p>
      <w:pPr/>
      <w:r>
        <w:rPr>
          <w:b/>
          <w:bCs/>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Behavioral Table of Elements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the mentalist, it is something more specific: a vocabulary for reading the room with precision that the audience experiences as impossible insight.</w:t>
      </w:r>
    </w:p>
    <w:p/>
    <w:p>
      <w:pPr/>
      <w:r>
        <w:rPr>
          <w:b/>
          <w:bCs/>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b/>
          <w:bCs/>
        </w:rPr>
        <w:t xml:space="preserve">The Three Signal Clusters</w:t>
      </w:r>
    </w:p>
    <w:p/>
    <w:p>
      <w:pPr/>
      <w:r>
        <w:t xml:space="preserve">For the performer, the full BTE is a reference library. In practice, three clusters cover the majority of what you will encounter on stage and in close-up work.</w:t>
      </w:r>
    </w:p>
    <w:p/>
    <w:p>
      <w:pPr/>
      <w:r>
        <w:rPr>
          <w:b/>
          <w:bCs/>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b/>
          <w:bCs/>
        </w:rPr>
        <w:t xml:space="preserve">Performance Application: When two or more retreat signals appear in a volunteer, do not push harder. The limbic system is in conflict-avoidance mode. Reframe the interaction. Create safety. Lower the stakes of participation. "You don't have to do anything you don't want to. Just stay with me for a moment." Retreat signals are information, not failure. They tell you the volunteer's nervous system needs something different from what you are currently providing.</w:t>
      </w:r>
    </w:p>
    <w:p/>
    <w:p>
      <w:pPr/>
      <w:r>
        <w:rPr>
          <w:b/>
          <w:bCs/>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b/>
          <w:bCs/>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b/>
          <w:bCs/>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b/>
          <w:bCs/>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b/>
          <w:bCs/>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b/>
          <w:bCs/>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Style w:val="Heading2"/>
        <w:spacing w:before="480" w:after="20" w:line="280"/>
        <w:jc w:val="left"/>
      </w:pPr>
      <w:r>
        <w:rPr>
          <w:b/>
          <w:bCs/>
        </w:rPr>
        <w:t xml:space="preserve">CHAPTER 40</w:t>
      </w:r>
    </w:p>
    <w:p>
      <w:pPr/>
      <w:r>
        <w:t xml:space="preserve">The Influence Equation</w:t>
      </w:r>
    </w:p>
    <w:p>
      <w:pPr/>
      <w:r>
        <w:t xml:space="preserve">Novelty plus authority equals influence. And why compliance begins in the body before it reaches the mind.</w:t>
      </w:r>
    </w:p>
    <w:p>
      <w:pPr>
        <w:spacing w:before="200" w:after="200" w:line="280"/>
        <w:jc w:val="left"/>
      </w:pPr>
      <w:r>
        <w:t xml:space="preserve">────────────────────────────────────────────────────────────────────────────────</w:t>
      </w:r>
    </w:p>
    <w:p/>
    <w:p>
      <w:pPr/>
      <w:r>
        <w:rPr>
          <w:b/>
          <w:bCs/>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b/>
          <w:bCs/>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b/>
          <w:bCs/>
        </w:rPr>
        <w:t xml:space="preserve">Compliance Architecture</w:t>
      </w:r>
    </w:p>
    <w:p/>
    <w:p>
      <w:pPr/>
      <w:r>
        <w:t xml:space="preserve">The Influence Equation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Use it.</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b/>
          <w:bCs/>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Style w:val="Heading2"/>
        <w:spacing w:before="480" w:after="20" w:line="280"/>
        <w:jc w:val="left"/>
      </w:pPr>
      <w:r>
        <w:rPr>
          <w:b/>
          <w:bCs/>
        </w:rPr>
        <w:t xml:space="preserve">CHAPTER 41</w:t>
      </w:r>
    </w:p>
    <w:p>
      <w:pPr/>
      <w:r>
        <w:t xml:space="preserve">The DECODE Framework for Live Performance</w:t>
      </w:r>
    </w:p>
    <w:p>
      <w:pPr/>
      <w:r>
        <w:t xml:space="preserve">Six steps from observation to installation. Adapted from behavioral intelligence fieldwork for the mentalist's stage.</w:t>
      </w:r>
    </w:p>
    <w:p>
      <w:pPr>
        <w:spacing w:before="200" w:after="200" w:line="280"/>
        <w:jc w:val="left"/>
      </w:pPr>
      <w:r>
        <w:t xml:space="preserve">────────────────────────────────────────────────────────────────────────────────</w:t>
      </w:r>
    </w:p>
    <w:p/>
    <w:p>
      <w:pPr/>
      <w:r>
        <w:rPr>
          <w:b/>
          <w:bCs/>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b/>
          <w:bCs/>
        </w:rPr>
        <w:t xml:space="preserve">The Six Steps</w:t>
      </w:r>
    </w:p>
    <w:p/>
    <w:p>
      <w:pPr/>
      <w:r>
        <w:rPr>
          <w:b/>
          <w:bCs/>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b/>
          <w:bCs/>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b/>
          <w:bCs/>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b/>
          <w:bCs/>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b/>
          <w:bCs/>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b/>
          <w:bCs/>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b/>
          <w:bCs/>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18"/>
          <w:szCs w:val="18"/>
        </w:rPr>
        <w:t xml:space="preserve">Scientific, Behavioral, and Performance Terms</w:t>
      </w:r>
    </w:p>
    <w:p>
      <w:pPr>
        <w:spacing w:before="140" w:after="140" w:line="280"/>
        <w:jc w:val="left"/>
      </w:pPr>
      <w:r>
        <w:rPr>
          <w:rFonts w:ascii="Garamond" w:cs="Garamond" w:eastAsia="Garamond" w:hAnsi="Garamond"/>
          <w:color w:val="111111"/>
          <w:sz w:val="22"/>
          <w:szCs w:val="22"/>
        </w:rPr>
        <w:t xml:space="preserve">Superscript numbers in the text (e.g. amygdala²) refer to entries in this glossary.</w:t>
      </w:r>
    </w:p>
    <w:p>
      <w:pPr>
        <w:spacing w:before="120" w:after="80"/>
      </w:pPr>
      <w:r>
        <w:rPr>
          <w:rFonts w:ascii="Calibri" w:cs="Calibri" w:eastAsia="Calibri" w:hAnsi="Calibri"/>
          <w:b/>
          <w:bCs/>
          <w:color w:val="0A1628"/>
          <w:sz w:val="19"/>
          <w:szCs w:val="19"/>
        </w:rPr>
        <w:t xml:space="preserve">1.  Absorption  A stable tendency to become deeply and genuinely immersed in sensory or imaginative experience. The primary trait predicting hypnotic responsiveness, not gullibility or compliance.</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2.  Amygdala</w:t>
      </w:r>
      <w:r>
        <w:rPr>
          <w:rFonts w:ascii="Calibri" w:cs="Calibri" w:eastAsia="Calibri" w:hAnsi="Calibri"/>
          <w:color w:val="333333"/>
          <w:sz w:val="18"/>
          <w:szCs w:val="18"/>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Calibri" w:cs="Calibri" w:eastAsia="Calibri" w:hAnsi="Calibri"/>
          <w:b/>
          <w:bCs/>
          <w:color w:val="0A1628"/>
          <w:sz w:val="19"/>
          <w:szCs w:val="19"/>
        </w:rPr>
        <w:t xml:space="preserve">3.  Anterior Cingulate Cortex (ACC)</w:t>
      </w:r>
      <w:r>
        <w:rPr>
          <w:rFonts w:ascii="Calibri" w:cs="Calibri" w:eastAsia="Calibri" w:hAnsi="Calibri"/>
          <w:color w:val="333333"/>
          <w:sz w:val="18"/>
          <w:szCs w:val="18"/>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Calibri" w:cs="Calibri" w:eastAsia="Calibri" w:hAnsi="Calibri"/>
          <w:b/>
          <w:bCs/>
          <w:color w:val="0A1628"/>
          <w:sz w:val="19"/>
          <w:szCs w:val="19"/>
        </w:rPr>
        <w:t xml:space="preserve">4.  Barnum Effect / Forer Effect</w:t>
      </w:r>
      <w:r>
        <w:rPr>
          <w:rFonts w:ascii="Calibri" w:cs="Calibri" w:eastAsia="Calibri" w:hAnsi="Calibri"/>
          <w:color w:val="333333"/>
          <w:sz w:val="18"/>
          <w:szCs w:val="18"/>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Calibri" w:cs="Calibri" w:eastAsia="Calibri" w:hAnsi="Calibri"/>
          <w:b/>
          <w:bCs/>
          <w:color w:val="0A1628"/>
          <w:sz w:val="19"/>
          <w:szCs w:val="19"/>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6.  Calibration</w:t>
      </w:r>
      <w:r>
        <w:rPr>
          <w:rFonts w:ascii="Calibri" w:cs="Calibri" w:eastAsia="Calibri" w:hAnsi="Calibri"/>
          <w:color w:val="333333"/>
          <w:sz w:val="18"/>
          <w:szCs w:val="18"/>
        </w:rPr>
        <w:t xml:space="preserve">  The process of establishing what is normal for a specific person before interpreting shifts in their behavior. The foundation of all behavioral profiling. Cannot be shortcut.</w:t>
      </w:r>
    </w:p>
    <w:p>
      <w:pPr>
        <w:spacing w:before="120" w:after="80"/>
      </w:pPr>
      <w:r>
        <w:rPr>
          <w:rFonts w:ascii="Calibri" w:cs="Calibri" w:eastAsia="Calibri" w:hAnsi="Calibri"/>
          <w:b/>
          <w:bCs/>
          <w:color w:val="0A1628"/>
          <w:sz w:val="19"/>
          <w:szCs w:val="19"/>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8.  Compliance</w:t>
      </w:r>
      <w:r>
        <w:rPr>
          <w:rFonts w:ascii="Calibri" w:cs="Calibri" w:eastAsia="Calibri" w:hAnsi="Calibri"/>
          <w:color w:val="333333"/>
          <w:sz w:val="18"/>
          <w:szCs w:val="18"/>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Calibri" w:cs="Calibri" w:eastAsia="Calibri" w:hAnsi="Calibri"/>
          <w:b/>
          <w:bCs/>
          <w:color w:val="0A1628"/>
          <w:sz w:val="19"/>
          <w:szCs w:val="19"/>
        </w:rPr>
        <w:t xml:space="preserve">9.  Cortisol</w:t>
      </w:r>
      <w:r>
        <w:rPr>
          <w:rFonts w:ascii="Calibri" w:cs="Calibri" w:eastAsia="Calibri" w:hAnsi="Calibri"/>
          <w:color w:val="333333"/>
          <w:sz w:val="18"/>
          <w:szCs w:val="18"/>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Calibri" w:cs="Calibri" w:eastAsia="Calibri" w:hAnsi="Calibri"/>
          <w:b/>
          <w:bCs/>
          <w:color w:val="0A1628"/>
          <w:sz w:val="19"/>
          <w:szCs w:val="19"/>
        </w:rPr>
        <w:t xml:space="preserve">10.  Inattentional Blindness</w:t>
      </w:r>
      <w:r>
        <w:rPr>
          <w:rFonts w:ascii="Calibri" w:cs="Calibri" w:eastAsia="Calibri" w:hAnsi="Calibri"/>
          <w:color w:val="333333"/>
          <w:sz w:val="18"/>
          <w:szCs w:val="18"/>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Calibri" w:cs="Calibri" w:eastAsia="Calibri" w:hAnsi="Calibri"/>
          <w:b/>
          <w:bCs/>
          <w:color w:val="0A1628"/>
          <w:sz w:val="19"/>
          <w:szCs w:val="19"/>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14.  Thin Slicing</w:t>
      </w:r>
      <w:r>
        <w:rPr>
          <w:rFonts w:ascii="Calibri" w:cs="Calibri" w:eastAsia="Calibri" w:hAnsi="Calibri"/>
          <w:color w:val="333333"/>
          <w:sz w:val="18"/>
          <w:szCs w:val="18"/>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Calibri" w:cs="Calibri" w:eastAsia="Calibri" w:hAnsi="Calibri"/>
          <w:b/>
          <w:bCs/>
          <w:color w:val="0A1628"/>
          <w:sz w:val="19"/>
          <w:szCs w:val="19"/>
        </w:rPr>
        <w:t xml:space="preserve">15.  Zeigarnik Effect</w:t>
      </w:r>
      <w:r>
        <w:rPr>
          <w:rFonts w:ascii="Calibri" w:cs="Calibri" w:eastAsia="Calibri" w:hAnsi="Calibri"/>
          <w:color w:val="333333"/>
          <w:sz w:val="18"/>
          <w:szCs w:val="18"/>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12"/>
          <w:szCs w:val="12"/>
        </w:rPr>
        <w:t xml:space="preserve"/>
      </w:r>
    </w:p>
    <w:p>
      <w:pPr>
        <w:spacing w:before="120" w:after="80"/>
      </w:pPr>
      <w:r>
        <w:rPr>
          <w:rFonts w:ascii="Calibri" w:cs="Calibri" w:eastAsia="Calibri" w:hAnsi="Calibri"/>
          <w:b/>
          <w:bCs/>
          <w:color w:val="0A1628"/>
          <w:sz w:val="19"/>
          <w:szCs w:val="19"/>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Calibri" w:cs="Calibri" w:eastAsia="Calibri" w:hAnsi="Calibri"/>
          <w:color w:val="333333"/>
          <w:sz w:val="18"/>
          <w:szCs w:val="18"/>
        </w:rPr>
        <w:t xml:space="preserve"/>
      </w:r>
    </w:p>
    <w:p>
      <w:pPr>
        <w:spacing w:before="280" w:after="280" w:line="280"/>
        <w:jc w:val="center"/>
      </w:pPr>
      <w:r>
        <w:rPr>
          <w:rFonts w:ascii="Garamond" w:cs="Garamond" w:eastAsia="Garamond" w:hAnsi="Garamond"/>
          <w:color w:val="CCCCCC"/>
          <w:sz w:val="18"/>
          <w:szCs w:val="18"/>
        </w:rPr>
        <w:t xml:space="preserve">· · ·</w:t>
      </w:r>
    </w:p>
    <w:p>
      <w:pPr>
        <w:spacing w:before="200" w:after="20" w:line="280"/>
        <w:jc w:val="left"/>
      </w:pPr>
      <w:r>
        <w:rPr>
          <w:rFonts w:ascii="Calibri" w:cs="Calibri" w:eastAsia="Calibri" w:hAnsi="Calibri"/>
          <w:b/>
          <w:bCs/>
          <w:color w:val="C9A84C"/>
          <w:sz w:val="22"/>
          <w:szCs w:val="22"/>
        </w:rPr>
        <w:t xml:space="preserve">APPENDIX A1</w:t>
      </w:r>
    </w:p>
    <w:p>
      <w:pPr>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18"/>
          <w:szCs w:val="18"/>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2"/>
          <w:szCs w:val="22"/>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2"/>
          <w:szCs w:val="22"/>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1 — NLP Eye Movement Direction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2. Smooth Lower Eyelids as Confidence Indicator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3. Deep Under-Eye Wrinkles as Chronic Worry Indicator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4. Hair Part Direction as Personality Indicator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2"/>
          <w:szCs w:val="22"/>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 Note on What Gets Better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18"/>
          <w:szCs w:val="18"/>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Style w:val="Heading1"/>
        <w:spacing w:before="200" w:after="80" w:line="280"/>
        <w:jc w:val="left"/>
      </w:pPr>
      <w:r>
        <w:rPr>
          <w:rFonts w:ascii="Garamond" w:cs="Garamond" w:eastAsia="Garamond" w:hAnsi="Garamond"/>
          <w:b/>
          <w:bCs/>
          <w:color w:val="0A1628"/>
          <w:sz w:val="26"/>
          <w:szCs w:val="26"/>
        </w:rPr>
        <w:t xml:space="preserve">ABOUT THE AUTHOR</w:t>
      </w:r>
    </w:p>
    <w:p>
      <w:pPr>
        <w:spacing w:before="140" w:after="140" w:line="280"/>
        <w:jc w:val="left"/>
      </w:pPr>
      <w:r>
        <w:rPr>
          <w:rFonts w:ascii="Garamond" w:cs="Garamond" w:eastAsia="Garamond" w:hAnsi="Garamond"/>
          <w:color w:val="111111"/>
          <w:sz w:val="22"/>
          <w:szCs w:val="22"/>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2"/>
          <w:szCs w:val="22"/>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2"/>
          <w:szCs w:val="22"/>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2"/>
          <w:szCs w:val="22"/>
        </w:rPr>
        <w:t xml:space="preserve">He performs professionally as a mentalist at @chrismikemagic.</w:t>
      </w:r>
    </w:p>
    <w:p>
      <w:pPr>
        <w:spacing w:before="40" w:after="40" w:line="280"/>
        <w:jc w:val="left"/>
      </w:pPr>
      <w:r>
        <w:rPr>
          <w:rFonts w:ascii="Garamond" w:cs="Garamond" w:eastAsia="Garamond" w:hAnsi="Garamond"/>
          <w:color w:val="111111"/>
          <w:sz w:val="12"/>
          <w:szCs w:val="12"/>
        </w:rPr>
        <w:t xml:space="preserve"/>
      </w:r>
    </w:p>
    <w:p>
      <w:pPr>
        <w:spacing w:before="60" w:after="8" w:line="280"/>
        <w:jc w:val="left"/>
      </w:pPr>
      <w:r>
        <w:rPr>
          <w:rFonts w:ascii="Garamond" w:cs="Garamond" w:eastAsia="Garamond" w:hAnsi="Garamond"/>
          <w:b/>
          <w:bCs/>
          <w:color w:val="0A1628"/>
          <w:sz w:val="18"/>
          <w:szCs w:val="18"/>
        </w:rPr>
        <w:t xml:space="preserve">decodebehavior.co</w:t>
      </w:r>
    </w:p>
    <w:p>
      <w:pPr>
        <w:spacing w:before="0" w:after="60" w:line="280"/>
        <w:jc w:val="left"/>
      </w:pPr>
      <w:r>
        <w:rPr>
          <w:rFonts w:ascii="Garamond" w:cs="Garamond" w:eastAsia="Garamond" w:hAnsi="Garamond"/>
          <w:color w:val="4A4A4A"/>
          <w:sz w:val="18"/>
          <w:szCs w:val="18"/>
        </w:rPr>
        <w:t xml:space="preserve">behaviorinstitute.org</w:t>
      </w:r>
    </w:p>
    <w:p>
      <w:pPr>
        <w:spacing w:before="280" w:after="280" w:line="280"/>
        <w:jc w:val="center"/>
      </w:pPr>
      <w:r>
        <w:rPr>
          <w:rFonts w:ascii="Garamond" w:cs="Garamond" w:eastAsia="Garamond" w:hAnsi="Garamond"/>
          <w:color w:val="CCCCCC"/>
          <w:sz w:val="18"/>
          <w:szCs w:val="18"/>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Liberation Serif" w:cs="Liberation Serif" w:eastAsia="Garamond" w:hAnsi="Liberation Serif"/>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Liberation Sans" w:hAnsi="Liberation Sans" w:cs="Liberation Sans"/>
    </w:rPr>
  </w:style>
  <w:style w:type="paragraph" w:styleId="Heading2">
    <w:name w:val="Heading 2"/>
    <w:basedOn w:val="Normal"/>
    <w:next w:val="Normal"/>
    <w:qFormat/>
    <w:rPr>
      <w:color w:val="1A2744"/>
      <w:sz w:val="26"/>
      <w:szCs w:val="26"/>
      <w:rFonts w:ascii="Liberation Sans" w:hAnsi="Liberation Sans" w:cs="Liberation Sans"/>
    </w:rPr>
  </w:style>
  <w:style w:type="paragraph" w:styleId="Heading3">
    <w:name w:val="Heading 3"/>
    <w:basedOn w:val="Normal"/>
    <w:next w:val="Normal"/>
    <w:qFormat/>
    <w:rPr>
      <w:color w:val="1A2744"/>
      <w:sz w:val="24"/>
      <w:szCs w:val="24"/>
      <w:rFonts w:ascii="Liberation Sans" w:hAnsi="Liberation Sans" w:cs="Liberation Sans"/>
    </w:rPr>
  </w:style>
  <w:style w:type="paragraph" w:styleId="Heading4">
    <w:name w:val="Heading 4"/>
    <w:basedOn w:val="Normal"/>
    <w:next w:val="Normal"/>
    <w:qFormat/>
    <w:rPr>
      <w:i/>
      <w:iCs/>
      <w:color w:val="1A2744"/>
      <w:rFonts w:ascii="Liberation Sans" w:hAnsi="Liberation Sans" w:cs="Liberation Sans"/>
    </w:rPr>
  </w:style>
  <w:style w:type="paragraph" w:styleId="Heading5">
    <w:name w:val="Heading 5"/>
    <w:basedOn w:val="Normal"/>
    <w:next w:val="Normal"/>
    <w:qFormat/>
    <w:rPr>
      <w:color w:val="1A2744"/>
      <w:rFonts w:ascii="Liberation Sans" w:hAnsi="Liberation Sans" w:cs="Liberation Sans"/>
    </w:rPr>
  </w:style>
  <w:style w:type="paragraph" w:styleId="Heading6">
    <w:name w:val="Heading 6"/>
    <w:basedOn w:val="Normal"/>
    <w:next w:val="Normal"/>
    <w:qFormat/>
    <w:rPr>
      <w:color w:val="1A2744"/>
      <w:rFonts w:ascii="Liberation Sans" w:hAnsi="Liberation Sans"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Liberation Sans" w:cs="Liberation Sans" w:eastAsia="Garamond" w:hAnsi="Liberation Sans"/>
      <w:b/>
      <w:bCs/>
      <w:color w:val="1A2744"/>
      <w:sz w:val="32"/>
      <w:szCs w:val="32"/>
    </w:rPr>
  </w:style>
  <w:style w:type="paragraph" w:styleId="Heading2">
    <w:name w:val="Heading 2"/>
    <w:basedOn w:val="Normal"/>
    <w:next w:val="Normal"/>
    <w:pPr>
      <w:spacing w:before="360" w:after="80"/>
    </w:pPr>
    <w:rPr>
      <w:rFonts w:ascii="Liberation Sans" w:cs="Liberation Sans" w:eastAsia="Garamond" w:hAnsi="Liberation Sans"/>
      <w:b/>
      <w:bCs/>
      <w:color w:val="1A2744"/>
      <w:sz w:val="26"/>
      <w:szCs w:val="26"/>
    </w:rPr>
  </w:style>
  <w:style w:type="paragraph" w:styleId="Heading3">
    <w:name w:val="Heading 3"/>
    <w:basedOn w:val="Normal"/>
    <w:next w:val="Normal"/>
    <w:pPr>
      <w:spacing w:before="280" w:after="60"/>
    </w:pPr>
    <w:rPr>
      <w:rFonts w:ascii="Liberation Sans" w:cs="Liberation Sans" w:eastAsia="Garamond" w:hAnsi="Liberation Sans"/>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