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wonder</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/ˈwʌndər/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800"/>
        <w:rPr>
          <w:rFonts w:ascii="Liberation Serif" w:hAnsi="Liberation Serif"/>
          <w:i/>
          <w:sz w:val="22"/>
          <w:szCs w:val="22"/>
          <w:color w:val="333333"/>
        </w:rPr>
      </w:pPr>
      <w:r>
        <w:rPr>
          <w:rFonts w:ascii="Liberation Serif" w:hAnsi="Liberation Serif"/>
          <w:i/>
          <w:sz w:val="22"/>
          <w:szCs w:val="22"/>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Liberation Sans" w:hAnsi="Liberation Sans"/>
          <w:sz w:val="20"/>
          <w:szCs w:val="20"/>
          <w:color w:val="cccccc"/>
        </w:rPr>
      </w:pPr>
      <w:r>
        <w:rPr>
          <w:rFonts w:ascii="Liberation Sans" w:hAnsi="Liberation Sans"/>
          <w:sz w:val="20"/>
          <w:szCs w:val="20"/>
          <w:color w:val="cccccc"/>
        </w:rPr>
        <w:t xml:space="preserve">•  •  •</w:t>
      </w: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architecture</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/ˈɑːrkɪtektʃər/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200"/>
        <w:rPr>
          <w:rFonts w:ascii="Liberation Serif" w:hAnsi="Liberation Serif"/>
          <w:i/>
          <w:sz w:val="22"/>
          <w:szCs w:val="22"/>
          <w:color w:val="333333"/>
        </w:rPr>
      </w:pPr>
      <w:r>
        <w:rPr>
          <w:rFonts w:ascii="Liberation Serif" w:hAnsi="Liberation Serif"/>
          <w:i/>
          <w:sz w:val="22"/>
          <w:szCs w:val="22"/>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Liberation Sans" w:hAnsi="Liberation Sans"/>
          <w:b/>
          <w:sz w:val="32"/>
          <w:szCs w:val="32"/>
          <w:color w:val="1a2744"/>
        </w:rPr>
      </w:pPr>
      <w:r>
        <w:rPr>
          <w:rFonts w:ascii="Liberation Sans" w:hAnsi="Liberation Sans"/>
          <w:b/>
          <w:sz w:val="32"/>
          <w:szCs w:val="32"/>
          <w:color w:val="1a2744"/>
        </w:rPr>
        <w:t xml:space="preserve">Why This Book Puts Them Together</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Liberation Serif" w:hAnsi="Liberation Serif"/>
          <w:sz w:val="24"/>
          <w:szCs w:val="24"/>
          <w:color w:val="333333"/>
        </w:rPr>
      </w:pPr>
      <w:r>
        <w:rPr>
          <w:rFonts w:ascii="Liberation Serif" w:hAnsi="Liberation Serif"/>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Liberation Sans" w:hAnsi="Liberation Sans"/>
          <w:b/>
          <w:sz w:val="30"/>
          <w:szCs w:val="30"/>
          <w:color w:val="1a2744"/>
        </w:rPr>
      </w:pPr>
      <w:r>
        <w:rPr>
          <w:rFonts w:ascii="Liberation Sans" w:hAnsi="Liberation Sans"/>
          <w:b/>
          <w:sz w:val="30"/>
          <w:szCs w:val="30"/>
          <w:color w:val="1a2744"/>
        </w:rPr>
        <w:t xml:space="preserve">Behavioral Science and Mentalism:</w:t>
      </w:r>
    </w:p>
    <w:p>
      <w:pPr>
        <w:jc w:val="center"/>
        <w:spacing w:after="400"/>
        <w:rPr>
          <w:rFonts w:ascii="Liberation Sans" w:hAnsi="Liberation Sans"/>
          <w:b/>
          <w:sz w:val="30"/>
          <w:szCs w:val="30"/>
          <w:color w:val="1a2744"/>
        </w:rPr>
      </w:pPr>
      <w:r>
        <w:rPr>
          <w:rFonts w:ascii="Liberation Sans" w:hAnsi="Liberation Sans"/>
          <w:b/>
          <w:sz w:val="30"/>
          <w:szCs w:val="30"/>
          <w:color w:val="1a2744"/>
        </w:rPr>
        <w:t xml:space="preserve">Two Fields That Rarely Speak</w:t>
      </w:r>
    </w:p>
    <w:p>
      <w:pPr>
        <w:spacing w:after="240"/>
        <w:rPr>
          <w:rFonts w:ascii="Liberation Serif" w:hAnsi="Liberation Serif"/>
          <w:sz w:val="22"/>
          <w:szCs w:val="22"/>
          <w:color w:val="333333"/>
        </w:rPr>
      </w:pPr>
      <w:r>
        <w:rPr>
          <w:rFonts w:ascii="Liberation Serif" w:hAnsi="Liberation Serif"/>
          <w:sz w:val="22"/>
          <w:szCs w:val="22"/>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Liberation Serif" w:hAnsi="Liberation Serif"/>
          <w:sz w:val="22"/>
          <w:szCs w:val="22"/>
          <w:color w:val="333333"/>
        </w:rPr>
      </w:pPr>
      <w:r>
        <w:rPr>
          <w:rFonts w:ascii="Liberation Serif" w:hAnsi="Liberation Serif"/>
          <w:sz w:val="22"/>
          <w:szCs w:val="22"/>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Liberation Serif" w:hAnsi="Liberation Serif"/>
          <w:sz w:val="22"/>
          <w:szCs w:val="22"/>
          <w:color w:val="333333"/>
        </w:rPr>
      </w:pPr>
      <w:r>
        <w:rPr>
          <w:rFonts w:ascii="Liberation Serif" w:hAnsi="Liberation Serif"/>
          <w:sz w:val="22"/>
          <w:szCs w:val="22"/>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mentalist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Liberation Serif" w:hAnsi="Liberation Serif"/>
          <w:sz w:val="22"/>
          <w:szCs w:val="22"/>
          <w:color w:val="333333"/>
        </w:rPr>
      </w:pPr>
      <w:r>
        <w:rPr>
          <w:rFonts w:ascii="Liberation Serif" w:hAnsi="Liberation Serif"/>
          <w:sz w:val="22"/>
          <w:szCs w:val="22"/>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ageBreakBefore/>
        <w:rPr/>
      </w:pPr>
    </w:p>
    <w:p>
      <w:pPr>
        <w:spacing w:after="200"/>
        <w:rPr/>
      </w:pPr>
    </w:p>
    <w:p>
      <w:pPr>
        <w:jc w:val="center"/>
        <w:spacing w:after="400"/>
        <w:rPr>
          <w:rFonts w:ascii="Liberation Sans" w:hAnsi="Liberation Sans"/>
          <w:b/>
          <w:sz w:val="24"/>
          <w:szCs w:val="24"/>
          <w:color w:val="1a2744"/>
        </w:rPr>
      </w:pPr>
      <w:r>
        <w:rPr>
          <w:rFonts w:ascii="Liberation Sans" w:hAnsi="Liberation Sans"/>
          <w:b/>
          <w:sz w:val="24"/>
          <w:szCs w:val="24"/>
          <w:color w:val="1a2744"/>
        </w:rPr>
        <w:t xml:space="preserve">ACKNOWLEDGMENTS</w:t>
      </w:r>
    </w:p>
    <w:p>
      <w:pPr>
        <w:spacing w:after="240"/>
        <w:rPr>
          <w:rFonts w:ascii="Liberation Serif" w:hAnsi="Liberation Serif"/>
          <w:sz w:val="22"/>
          <w:szCs w:val="22"/>
          <w:color w:val="333333"/>
        </w:rPr>
      </w:pPr>
      <w:r>
        <w:rPr>
          <w:rFonts w:ascii="Liberation Serif" w:hAnsi="Liberation Serif"/>
          <w:sz w:val="22"/>
          <w:szCs w:val="22"/>
          <w:color w:val="333333"/>
        </w:rPr>
        <w:t xml:space="preserve">There are many people I owe thanks to, not only for helping shape this book, but for helping shape the path that led me to it.</w:t>
      </w:r>
    </w:p>
    <w:p>
      <w:pPr>
        <w:spacing w:after="240"/>
        <w:rPr>
          <w:rFonts w:ascii="Liberation Serif" w:hAnsi="Liberation Serif"/>
          <w:sz w:val="22"/>
          <w:szCs w:val="22"/>
          <w:color w:val="333333"/>
        </w:rPr>
      </w:pPr>
      <w:r>
        <w:rPr>
          <w:rFonts w:ascii="Liberation Serif" w:hAnsi="Liberation Serif"/>
          <w:sz w:val="22"/>
          <w:szCs w:val="22"/>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Liberation Serif" w:hAnsi="Liberation Serif"/>
          <w:sz w:val="22"/>
          <w:szCs w:val="22"/>
          <w:color w:val="333333"/>
        </w:rPr>
      </w:pPr>
      <w:r>
        <w:rPr>
          <w:rFonts w:ascii="Liberation Serif" w:hAnsi="Liberation Serif"/>
          <w:sz w:val="22"/>
          <w:szCs w:val="22"/>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Liberation Serif" w:hAnsi="Liberation Serif"/>
          <w:sz w:val="22"/>
          <w:szCs w:val="22"/>
          <w:color w:val="333333"/>
        </w:rPr>
      </w:pPr>
      <w:r>
        <w:rPr>
          <w:rFonts w:ascii="Liberation Serif" w:hAnsi="Liberation Serif"/>
          <w:sz w:val="22"/>
          <w:szCs w:val="22"/>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Liberation Serif" w:hAnsi="Liberation Serif"/>
          <w:sz w:val="22"/>
          <w:szCs w:val="22"/>
          <w:color w:val="333333"/>
        </w:rPr>
      </w:pPr>
      <w:r>
        <w:rPr>
          <w:rFonts w:ascii="Liberation Serif" w:hAnsi="Liberation Serif"/>
          <w:sz w:val="22"/>
          <w:szCs w:val="22"/>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Liberation Serif" w:hAnsi="Liberation Serif"/>
          <w:sz w:val="22"/>
          <w:szCs w:val="22"/>
          <w:color w:val="333333"/>
        </w:rPr>
      </w:pPr>
      <w:r>
        <w:rPr>
          <w:rFonts w:ascii="Liberation Serif" w:hAnsi="Liberation Serif"/>
          <w:sz w:val="22"/>
          <w:szCs w:val="22"/>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Liberation Serif" w:hAnsi="Liberation Serif"/>
          <w:sz w:val="22"/>
          <w:szCs w:val="22"/>
          <w:color w:val="333333"/>
        </w:rPr>
      </w:pPr>
      <w:r>
        <w:rPr>
          <w:rFonts w:ascii="Liberation Serif" w:hAnsi="Liberation Serif"/>
          <w:sz w:val="22"/>
          <w:szCs w:val="22"/>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Liberation Serif" w:hAnsi="Liberation Serif"/>
          <w:sz w:val="22"/>
          <w:szCs w:val="22"/>
          <w:color w:val="333333"/>
        </w:rPr>
      </w:pPr>
      <w:r>
        <w:rPr>
          <w:rFonts w:ascii="Liberation Serif" w:hAnsi="Liberation Serif"/>
          <w:sz w:val="22"/>
          <w:szCs w:val="22"/>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12"/>
          <w:szCs w:val="12"/>
        </w:rPr>
        <w:t xml:space="preserve"/>
      </w:r>
    </w:p>
    <w:p>
      <w:pPr>
        <w:spacing w:before="0" w:after="40" w:line="280"/>
        <w:jc w:val="center"/>
      </w:pPr>
      <w:r>
        <w:rPr>
          <w:rFonts w:ascii="Calibri" w:cs="Calibri" w:eastAsia="Calibri" w:hAnsi="Calibri"/>
          <w:b/>
          <w:bCs/>
          <w:color w:val="C9A84C"/>
          <w:sz w:val="14"/>
          <w:szCs w:val="1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0"/>
          <w:szCs w:val="20"/>
        </w:rPr>
        <w:t xml:space="preserve">A Behavioral Guide to Attention, Suggestion, and Astonishment for Mentalists</w:t>
      </w:r>
    </w:p>
    <w:p>
      <w:pPr>
        <w:spacing w:before="0" w:after="120" w:line="280"/>
        <w:jc w:val="center"/>
      </w:pPr>
      <w:r>
        <w:rPr>
          <w:rFonts w:ascii="Calibri" w:cs="Calibri" w:eastAsia="Calibri" w:hAnsi="Calibri"/>
          <w:b/>
          <w:bCs/>
          <w:color w:val="C9A84C"/>
          <w:sz w:val="14"/>
          <w:szCs w:val="14"/>
        </w:rPr>
        <w:t xml:space="preserve">EXPANDED EDITION</w:t>
      </w:r>
    </w:p>
    <w:p>
      <w:pPr>
        <w:spacing w:before="0" w:after="10" w:line="280"/>
        <w:jc w:val="center"/>
      </w:pPr>
      <w:r>
        <w:rPr>
          <w:rFonts w:ascii="Garamond" w:cs="Garamond" w:eastAsia="Garamond" w:hAnsi="Garamond"/>
          <w:b/>
          <w:bCs/>
          <w:color w:val="0A1628"/>
          <w:sz w:val="18"/>
          <w:szCs w:val="18"/>
        </w:rPr>
        <w:t xml:space="preserve">CHRIS MICHAEL</w:t>
      </w:r>
    </w:p>
    <w:p>
      <w:pPr>
        <w:spacing w:before="0" w:after="4" w:line="280"/>
        <w:jc w:val="center"/>
      </w:pPr>
      <w:r>
        <w:rPr>
          <w:rFonts w:ascii="Garamond" w:cs="Garamond" w:eastAsia="Garamond" w:hAnsi="Garamond"/>
          <w:color w:val="4A4A4A"/>
          <w:sz w:val="16"/>
          <w:szCs w:val="16"/>
        </w:rPr>
        <w:t xml:space="preserve">Behavioral Strategist · Mentalist · Keynote Speaker</w:t>
      </w:r>
    </w:p>
    <w:p>
      <w:pPr>
        <w:spacing w:before="0" w:after="0" w:line="280"/>
        <w:jc w:val="center"/>
      </w:pPr>
      <w:r>
        <w:rPr>
          <w:rFonts w:ascii="Garamond" w:cs="Garamond" w:eastAsia="Garamond" w:hAnsi="Garamond"/>
          <w:color w:val="4A4A4A"/>
          <w:sz w:val="16"/>
          <w:szCs w:val="16"/>
        </w:rPr>
        <w:t xml:space="preserve">Founder, Decode Behavior · Global Institute of Behavior</w:t>
      </w:r>
    </w:p>
    <w:p>
      <w:pPr>
        <w:spacing w:before="40" w:after="40" w:line="280"/>
        <w:jc w:val="left"/>
      </w:pPr>
      <w:r>
        <w:rPr>
          <w:rFonts w:ascii="Garamond" w:cs="Garamond" w:eastAsia="Garamond" w:hAnsi="Garamond"/>
          <w:color w:val="111111"/>
          <w:sz w:val="12"/>
          <w:szCs w:val="12"/>
        </w:rPr>
        <w:t xml:space="preserve"/>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0" w:after="20" w:line="280"/>
        <w:jc w:val="center"/>
      </w:pPr>
      <w:r>
        <w:rPr>
          <w:rFonts w:ascii="Garamond" w:cs="Garamond" w:eastAsia="Garamond" w:hAnsi="Garamond"/>
          <w:color w:val="0A1628"/>
          <w:sz w:val="22"/>
          <w:szCs w:val="22"/>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16"/>
          <w:szCs w:val="16"/>
        </w:rPr>
        <w:t xml:space="preserve">— Chris Michael</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80" w:line="280"/>
        <w:jc w:val="left"/>
      </w:pPr>
      <w:r>
        <w:rPr>
          <w:rFonts w:ascii="Garamond" w:cs="Garamond" w:eastAsia="Garamond" w:hAnsi="Garamond"/>
          <w:b/>
          <w:bCs/>
          <w:color w:val="0A1628"/>
          <w:sz w:val="28"/>
          <w:szCs w:val="28"/>
        </w:rPr>
        <w:t xml:space="preserve">TABLE OF CONTENTS</w:t>
      </w:r>
    </w:p>
    <w:p>
      <w:pPr>
        <w:spacing w:before="0" w:after="200" w:line="280"/>
        <w:jc w:val="left"/>
      </w:pPr>
      <w:r>
        <w:rPr>
          <w:rFonts w:ascii="Calibri" w:cs="Calibri" w:eastAsia="Calibri" w:hAnsi="Calibri"/>
          <w:color w:val="4A4A4A"/>
          <w:sz w:val="17"/>
          <w:szCs w:val="17"/>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r>
        <w:rPr>
          <w:b/>
          <w:bCs/>
        </w:rPr>
        <w:t xml:space="preserve">PART ONE  —  The Architecture of Wonder</w:t>
      </w:r>
    </w:p>
    <w:p>
      <w:r>
        <w:rPr>
          <w:b/>
          <w:bCs/>
        </w:rPr>
        <w:t xml:space="preserve">Chapter 1  —  Designing for Reality</w:t>
      </w:r>
    </w:p>
    <w:p>
      <w:r>
        <w:rPr>
          <w:b/>
          <w:bCs/>
        </w:rPr>
        <w:t xml:space="preserve">Chapter 2  —  The Five Forces of Salience</w:t>
      </w:r>
    </w:p>
    <w:p>
      <w:r>
        <w:rPr>
          <w:b/>
          <w:bCs/>
        </w:rPr>
        <w:t xml:space="preserve">Chapter 3  —  Tension, Threat and the Window of Wonder</w:t>
      </w:r>
    </w:p>
    <w:p>
      <w:r>
        <w:rPr>
          <w:b/>
          <w:bCs/>
        </w:rPr>
        <w:t xml:space="preserve">Chapter 4  —  The Architecture of Anticipation</w:t>
      </w:r>
    </w:p>
    <w:p>
      <w:r>
        <w:rPr>
          <w:b/>
          <w:bCs/>
        </w:rPr>
        <w:t xml:space="preserve">Chapter 5  —  Attention as a Weapon</w:t>
      </w:r>
    </w:p>
    <w:p>
      <w:r>
        <w:rPr>
          <w:b/>
          <w:bCs/>
        </w:rPr>
        <w:t xml:space="preserve">PART TWO  —  Reading the Room</w:t>
      </w:r>
    </w:p>
    <w:p>
      <w:r>
        <w:rPr>
          <w:b/>
          <w:bCs/>
        </w:rPr>
        <w:t xml:space="preserve">Chapter 6  —  Behavioral Profiling in Real Time</w:t>
      </w:r>
    </w:p>
    <w:p>
      <w:r>
        <w:rPr>
          <w:b/>
          <w:bCs/>
        </w:rPr>
        <w:t xml:space="preserve">Chapter 7  —  The 80-Signal System</w:t>
      </w:r>
    </w:p>
    <w:p>
      <w:r>
        <w:rPr>
          <w:b/>
          <w:bCs/>
        </w:rPr>
        <w:t xml:space="preserve">Chapter 8  —  DISC in Real Time</w:t>
      </w:r>
    </w:p>
    <w:p>
      <w:r>
        <w:rPr>
          <w:b/>
          <w:bCs/>
        </w:rPr>
        <w:t xml:space="preserve">Chapter 9  —  Cold Reading, Warm Reading, and Thin Slicing</w:t>
      </w:r>
    </w:p>
    <w:p>
      <w:r>
        <w:rPr>
          <w:b/>
          <w:bCs/>
        </w:rPr>
        <w:t xml:space="preserve">Chapter 10  —  The Micro-Expression Matrix</w:t>
      </w:r>
    </w:p>
    <w:p>
      <w:r>
        <w:rPr>
          <w:b/>
          <w:bCs/>
        </w:rPr>
        <w:t xml:space="preserve">Chapter 11  —  Volunteer Handling Through a Neural Lens</w:t>
      </w:r>
    </w:p>
    <w:p>
      <w:r>
        <w:rPr>
          <w:b/>
          <w:bCs/>
        </w:rPr>
        <w:t xml:space="preserve">Chapter 12  —  The Language of Compliance</w:t>
      </w:r>
    </w:p>
    <w:p>
      <w:r>
        <w:rPr>
          <w:b/>
          <w:bCs/>
        </w:rPr>
        <w:t xml:space="preserve">Chapter 13  —  Closing the Barn Door</w:t>
      </w:r>
    </w:p>
    <w:p>
      <w:r>
        <w:rPr>
          <w:b/>
          <w:bCs/>
        </w:rPr>
        <w:t xml:space="preserve">Chapter 14  —  The Science of Hypnosis</w:t>
      </w:r>
    </w:p>
    <w:p>
      <w:r>
        <w:rPr>
          <w:b/>
          <w:bCs/>
        </w:rPr>
        <w:t xml:space="preserve">PART THREE  —  Field Notes</w:t>
      </w:r>
    </w:p>
    <w:p>
      <w:r>
        <w:rPr>
          <w:b/>
          <w:bCs/>
        </w:rPr>
        <w:t xml:space="preserve">PART FOUR  —  The Corporate Stage</w:t>
      </w:r>
    </w:p>
    <w:p>
      <w:r>
        <w:rPr>
          <w:b/>
          <w:bCs/>
        </w:rPr>
        <w:t xml:space="preserve">Chapter 15  —  Mentalism in the Boardroom</w:t>
      </w:r>
    </w:p>
    <w:p>
      <w:r>
        <w:rPr>
          <w:b/>
          <w:bCs/>
        </w:rPr>
        <w:t xml:space="preserve">Chapter 16  —  The Behavioral Training Framework</w:t>
      </w:r>
    </w:p>
    <w:p>
      <w:r>
        <w:rPr>
          <w:b/>
          <w:bCs/>
        </w:rPr>
        <w:t xml:space="preserve">Chapter 17  —  Stories from the Field</w:t>
      </w:r>
    </w:p>
    <w:p>
      <w:r>
        <w:rPr>
          <w:b/>
          <w:bCs/>
        </w:rPr>
        <w:t xml:space="preserve">Chapter 18  —  Influence Without Authority</w:t>
      </w:r>
    </w:p>
    <w:p>
      <w:r>
        <w:rPr>
          <w:b/>
          <w:bCs/>
        </w:rPr>
        <w:t xml:space="preserve">Chapter 19  —  The Ethics of Influence</w:t>
      </w:r>
    </w:p>
    <w:p>
      <w:r>
        <w:rPr>
          <w:b/>
          <w:bCs/>
        </w:rPr>
        <w:t xml:space="preserve">PART FIVE  —  The Neural Performance Model</w:t>
      </w:r>
    </w:p>
    <w:p>
      <w:r>
        <w:rPr>
          <w:b/>
          <w:bCs/>
        </w:rPr>
        <w:t xml:space="preserve">PART SIX  —  Presence and Perception</w:t>
      </w:r>
    </w:p>
    <w:p>
      <w:r>
        <w:rPr>
          <w:b/>
          <w:bCs/>
        </w:rPr>
        <w:t xml:space="preserve">Chapter 20  —  The Art of Strolling</w:t>
      </w:r>
    </w:p>
    <w:p>
      <w:r>
        <w:rPr>
          <w:b/>
          <w:bCs/>
        </w:rPr>
        <w:t xml:space="preserve">Chapter 21  —  When the Room Rises</w:t>
      </w:r>
    </w:p>
    <w:p>
      <w:r>
        <w:rPr>
          <w:b/>
          <w:bCs/>
        </w:rPr>
        <w:t xml:space="preserve">Chapter 22  —  Audio as Architecture</w:t>
      </w:r>
    </w:p>
    <w:p>
      <w:r>
        <w:rPr>
          <w:b/>
          <w:bCs/>
        </w:rPr>
        <w:t xml:space="preserve">Chapter 23  —  Compliance by Design</w:t>
      </w:r>
    </w:p>
    <w:p>
      <w:r>
        <w:rPr>
          <w:b/>
          <w:bCs/>
        </w:rPr>
        <w:t xml:space="preserve">Chapter 24  —  The Authority Frame</w:t>
      </w:r>
    </w:p>
    <w:p>
      <w:r>
        <w:rPr>
          <w:b/>
          <w:bCs/>
        </w:rPr>
        <w:t xml:space="preserve">Chapter 25  —  The Professional Advancement System</w:t>
      </w:r>
    </w:p>
    <w:p>
      <w:r>
        <w:rPr>
          <w:b/>
          <w:bCs/>
        </w:rPr>
        <w:t xml:space="preserve">Chapter 26  —  The Intro Video</w:t>
      </w:r>
    </w:p>
    <w:p>
      <w:r>
        <w:rPr>
          <w:b/>
          <w:bCs/>
        </w:rPr>
        <w:t xml:space="preserve">Chapter 27  —  Signal to Statement</w:t>
      </w:r>
    </w:p>
    <w:p>
      <w:r>
        <w:rPr>
          <w:b/>
          <w:bCs/>
        </w:rPr>
        <w:t xml:space="preserve">Chapter 28  —  Insight Demonstrations</w:t>
      </w:r>
    </w:p>
    <w:p>
      <w:r>
        <w:rPr>
          <w:b/>
          <w:bCs/>
        </w:rPr>
        <w:t xml:space="preserve">Chapter 29  —  Method Invisibility</w:t>
      </w:r>
    </w:p>
    <w:p>
      <w:r>
        <w:rPr>
          <w:b/>
          <w:bCs/>
        </w:rPr>
        <w:t xml:space="preserve">Chapter 30  —  Patter, Rhythm, and Silence</w:t>
      </w:r>
    </w:p>
    <w:p>
      <w:r>
        <w:rPr>
          <w:b/>
          <w:bCs/>
        </w:rPr>
        <w:t xml:space="preserve">PART SEVEN  —  The Business Brain</w:t>
      </w:r>
    </w:p>
    <w:p>
      <w:r>
        <w:rPr>
          <w:b/>
          <w:bCs/>
        </w:rPr>
        <w:t xml:space="preserve">Chapter 31  —  Where Bookings Are Actually Won</w:t>
      </w:r>
    </w:p>
    <w:p>
      <w:r>
        <w:rPr>
          <w:b/>
          <w:bCs/>
        </w:rPr>
        <w:t xml:space="preserve">Chapter 32  —  Introductions, Bios, and Testimonials</w:t>
      </w:r>
    </w:p>
    <w:p>
      <w:r>
        <w:rPr>
          <w:b/>
          <w:bCs/>
        </w:rPr>
        <w:t xml:space="preserve">Chapter 33  —  Authority Architecture</w:t>
      </w:r>
    </w:p>
    <w:p>
      <w:r>
        <w:rPr>
          <w:b/>
          <w:bCs/>
        </w:rPr>
        <w:t xml:space="preserve">Chapter 34  —  The Language of Authority</w:t>
      </w:r>
    </w:p>
    <w:p>
      <w:r>
        <w:rPr>
          <w:b/>
          <w:bCs/>
        </w:rPr>
        <w:t xml:space="preserve">Chapter 35  —  Reading the Booking Room</w:t>
      </w:r>
    </w:p>
    <w:p>
      <w:r>
        <w:rPr>
          <w:b/>
          <w:bCs/>
        </w:rPr>
        <w:t xml:space="preserve">Chapter 36  —  The Decode Behavior Framework</w:t>
      </w:r>
    </w:p>
    <w:p>
      <w:r>
        <w:rPr>
          <w:b/>
          <w:bCs/>
        </w:rPr>
        <w:t xml:space="preserve">GLOSSARY  —  Scientific, Behavioral, and Performance Terms</w:t>
      </w:r>
    </w:p>
    <w:p>
      <w:r>
        <w:rPr>
          <w:b/>
          <w:bCs/>
        </w:rPr>
        <w:t xml:space="preserve">ABOUT THE AUTHOR</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40" w:line="280"/>
        <w:jc w:val="left"/>
      </w:pPr>
      <w:r>
        <w:rPr>
          <w:rFonts w:ascii="Garamond" w:cs="Garamond" w:eastAsia="Garamond" w:hAnsi="Garamond"/>
          <w:b/>
          <w:bCs/>
          <w:color w:val="0A1628"/>
          <w:sz w:val="28"/>
          <w:szCs w:val="28"/>
        </w:rPr>
        <w:t xml:space="preserve">INTRODUCTION</w:t>
      </w:r>
    </w:p>
    <w:p>
      <w:pPr>
        <w:spacing w:before="0" w:after="200" w:line="280"/>
        <w:jc w:val="left"/>
      </w:pPr>
      <w:r>
        <w:rPr>
          <w:rFonts w:ascii="Garamond" w:cs="Garamond" w:eastAsia="Garamond" w:hAnsi="Garamond"/>
          <w:color w:val="4A4A4A"/>
          <w:sz w:val="20"/>
          <w:szCs w:val="20"/>
        </w:rPr>
        <w:t xml:space="preserve">On Being the Person Who Admits What They Do</w:t>
      </w:r>
    </w:p>
    <w:p>
      <w:pPr>
        <w:spacing w:before="140" w:after="140" w:line="280"/>
        <w:jc w:val="left"/>
      </w:pPr>
      <w:r>
        <w:rPr>
          <w:rFonts w:ascii="Garamond" w:cs="Garamond" w:eastAsia="Garamond" w:hAnsi="Garamond"/>
          <w:color w:val="111111"/>
          <w:sz w:val="22"/>
          <w:szCs w:val="22"/>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2"/>
          <w:szCs w:val="22"/>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2"/>
          <w:szCs w:val="22"/>
        </w:rPr>
        <w:t xml:space="preserve">They imply a very specific kind of person:</w:t>
      </w:r>
    </w:p>
    <w:p>
      <w:pPr>
        <w:spacing w:before="140" w:after="140" w:line="280"/>
        <w:jc w:val="left"/>
      </w:pPr>
      <w:r>
        <w:rPr>
          <w:rFonts w:ascii="Garamond" w:cs="Garamond" w:eastAsia="Garamond" w:hAnsi="Garamond"/>
          <w:color w:val="111111"/>
          <w:sz w:val="22"/>
          <w:szCs w:val="22"/>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2"/>
          <w:szCs w:val="22"/>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2"/>
          <w:szCs w:val="22"/>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2"/>
          <w:szCs w:val="22"/>
        </w:rPr>
        <w:t xml:space="preserve">Together, those cues can support a read like:</w:t>
      </w:r>
    </w:p>
    <w:p>
      <w:pPr>
        <w:spacing w:before="140" w:after="140" w:line="280"/>
        <w:jc w:val="left"/>
      </w:pPr>
      <w:r>
        <w:rPr>
          <w:rFonts w:ascii="Garamond" w:cs="Garamond" w:eastAsia="Garamond" w:hAnsi="Garamond"/>
          <w:color w:val="111111"/>
          <w:sz w:val="22"/>
          <w:szCs w:val="22"/>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2"/>
          <w:szCs w:val="22"/>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2"/>
          <w:szCs w:val="22"/>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2"/>
          <w:szCs w:val="22"/>
        </w:rPr>
        <w:t xml:space="preserve">They all run on the same nervous system.</w:t>
      </w:r>
    </w:p>
    <w:p>
      <w:pPr>
        <w:spacing w:before="140" w:after="140" w:line="280"/>
        <w:jc w:val="left"/>
      </w:pPr>
      <w:r>
        <w:rPr>
          <w:rFonts w:ascii="Garamond" w:cs="Garamond" w:eastAsia="Garamond" w:hAnsi="Garamond"/>
          <w:color w:val="111111"/>
          <w:sz w:val="22"/>
          <w:szCs w:val="22"/>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2"/>
          <w:szCs w:val="22"/>
        </w:rPr>
        <w:t xml:space="preserve">That is what this book is for.</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2"/>
          <w:szCs w:val="22"/>
        </w:rPr>
        <w:t xml:space="preserve">What This Book Is</w:t>
      </w:r>
    </w:p>
    <w:p>
      <w:pPr>
        <w:spacing w:before="140" w:after="140" w:line="280"/>
        <w:jc w:val="left"/>
      </w:pPr>
      <w:r>
        <w:rPr>
          <w:rFonts w:ascii="Garamond" w:cs="Garamond" w:eastAsia="Garamond" w:hAnsi="Garamond"/>
          <w:color w:val="111111"/>
          <w:sz w:val="22"/>
          <w:szCs w:val="22"/>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pStyle w:val="Heading3"/>
        <w:spacing w:before="280" w:after="80"/>
      </w:pPr>
      <w:r>
        <w:rPr>
          <w:rFonts w:ascii="Garamond" w:cs="Garamond" w:eastAsia="Garamond" w:hAnsi="Garamond"/>
          <w:b/>
          <w:bCs/>
          <w:color w:val="0A1628"/>
          <w:sz w:val="22"/>
          <w:szCs w:val="22"/>
        </w:rPr>
        <w:t xml:space="preserve">A Note on Sources</w:t>
      </w:r>
    </w:p>
    <w:p>
      <w:pPr>
        <w:spacing w:before="140" w:after="140" w:line="280"/>
        <w:jc w:val="left"/>
      </w:pPr>
      <w:r>
        <w:rPr>
          <w:rFonts w:ascii="Garamond" w:cs="Garamond" w:eastAsia="Garamond" w:hAnsi="Garamond"/>
          <w:color w:val="111111"/>
          <w:sz w:val="22"/>
          <w:szCs w:val="22"/>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2"/>
          <w:szCs w:val="22"/>
        </w:rPr>
        <w:t xml:space="preserve">Let’s begin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18"/>
          <w:szCs w:val="18"/>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w:t>
      </w:r>
    </w:p>
    <w:p>
      <w:pPr>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18"/>
          <w:szCs w:val="18"/>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2"/>
          <w:szCs w:val="22"/>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2"/>
          <w:szCs w:val="22"/>
        </w:rPr>
        <w:t xml:space="preserve">This book is about engineering those conditions deliberately.</w:t>
      </w:r>
    </w:p>
    <w:p>
      <w:pPr>
        <w:spacing w:before="140" w:after="140" w:line="280"/>
        <w:jc w:val="left"/>
      </w:pPr>
      <w:r>
        <w:rPr>
          <w:rFonts w:ascii="Garamond" w:cs="Garamond" w:eastAsia="Garamond" w:hAnsi="Garamond"/>
          <w:color w:val="111111"/>
          <w:sz w:val="22"/>
          <w:szCs w:val="22"/>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2"/>
          <w:szCs w:val="22"/>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2"/>
          <w:szCs w:val="22"/>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2"/>
          <w:szCs w:val="22"/>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Expectation Loading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Earned Completion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2"/>
          <w:szCs w:val="22"/>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2"/>
          <w:szCs w:val="22"/>
        </w:rPr>
        <w:t xml:space="preserve">Cognitive Economy</w:t>
      </w:r>
    </w:p>
    <w:p>
      <w:pPr>
        <w:spacing w:before="140" w:after="140" w:line="280"/>
        <w:jc w:val="left"/>
      </w:pPr>
      <w:r>
        <w:rPr>
          <w:rFonts w:ascii="Garamond" w:cs="Garamond" w:eastAsia="Garamond" w:hAnsi="Garamond"/>
          <w:color w:val="111111"/>
          <w:sz w:val="22"/>
          <w:szCs w:val="22"/>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2"/>
          <w:szCs w:val="22"/>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2"/>
          <w:szCs w:val="22"/>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2"/>
          <w:szCs w:val="22"/>
        </w:rPr>
        <w:t xml:space="preserve">Metabolic Efficiency</w:t>
      </w:r>
    </w:p>
    <w:p>
      <w:pPr>
        <w:spacing w:before="140" w:after="140" w:line="280"/>
        <w:jc w:val="left"/>
      </w:pPr>
      <w:r>
        <w:rPr>
          <w:rFonts w:ascii="Garamond" w:cs="Garamond" w:eastAsia="Garamond" w:hAnsi="Garamond"/>
          <w:color w:val="111111"/>
          <w:sz w:val="22"/>
          <w:szCs w:val="22"/>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2"/>
          <w:szCs w:val="22"/>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2"/>
          <w:szCs w:val="22"/>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2"/>
          <w:szCs w:val="22"/>
        </w:rPr>
        <w:t xml:space="preserve">Predictive Processing</w:t>
      </w:r>
    </w:p>
    <w:p>
      <w:pPr>
        <w:spacing w:before="140" w:after="140" w:line="280"/>
        <w:jc w:val="left"/>
      </w:pPr>
      <w:r>
        <w:rPr>
          <w:rFonts w:ascii="Garamond" w:cs="Garamond" w:eastAsia="Garamond" w:hAnsi="Garamond"/>
          <w:color w:val="111111"/>
          <w:sz w:val="22"/>
          <w:szCs w:val="22"/>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2"/>
          <w:szCs w:val="22"/>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2"/>
          <w:szCs w:val="22"/>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w:t>
      </w:r>
    </w:p>
    <w:p>
      <w:pPr>
        <w:pStyle w:val="Heading1"/>
        <w:spacing w:before="0" w:after="8" w:line="400"/>
        <w:jc w:val="left"/>
      </w:pPr>
      <w:r>
        <w:rPr>
          <w:rFonts w:ascii="Garamond" w:cs="Garamond" w:eastAsia="Garamond" w:hAnsi="Garamond"/>
          <w:b/>
          <w:bCs/>
          <w:color w:val="0A1628"/>
          <w:sz w:val="30"/>
          <w:szCs w:val="30"/>
        </w:rPr>
        <w:t xml:space="preserve">The Five Forces of Salience</w:t>
      </w:r>
    </w:p>
    <w:p>
      <w:pPr>
        <w:spacing w:before="4" w:after="280" w:line="280"/>
        <w:jc w:val="left"/>
      </w:pPr>
      <w:r>
        <w:rPr>
          <w:rFonts w:ascii="Garamond" w:cs="Garamond" w:eastAsia="Garamond" w:hAnsi="Garamond"/>
          <w:color w:val="4A4A4A"/>
          <w:sz w:val="18"/>
          <w:szCs w:val="18"/>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2"/>
          <w:szCs w:val="22"/>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2"/>
          <w:szCs w:val="22"/>
        </w:rPr>
        <w:t xml:space="preserve">Five forces reliably activate this system.</w:t>
      </w:r>
    </w:p>
    <w:p>
      <w:pPr>
        <w:spacing w:before="140" w:after="140" w:line="280"/>
        <w:jc w:val="left"/>
      </w:pPr>
      <w:r>
        <w:rPr>
          <w:rFonts w:ascii="Garamond" w:cs="Garamond" w:eastAsia="Garamond" w:hAnsi="Garamond"/>
          <w:color w:val="111111"/>
          <w:sz w:val="22"/>
          <w:szCs w:val="22"/>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2"/>
          <w:szCs w:val="22"/>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2"/>
          <w:szCs w:val="22"/>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2"/>
          <w:szCs w:val="22"/>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2"/>
          <w:szCs w:val="22"/>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2"/>
          <w:szCs w:val="22"/>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Stacking the Forces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Common Misread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w:t>
      </w:r>
    </w:p>
    <w:p>
      <w:pPr>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18"/>
          <w:szCs w:val="18"/>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2"/>
          <w:szCs w:val="22"/>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2"/>
          <w:szCs w:val="22"/>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Laughter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Always Trust the Body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2"/>
          <w:szCs w:val="22"/>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2"/>
          <w:szCs w:val="22"/>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Breathing Visibility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Laughter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Gradient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Phone Emergence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Self-Soothing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Absence of Response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2"/>
          <w:szCs w:val="22"/>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2"/>
          <w:szCs w:val="22"/>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Refect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Productive Silence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2"/>
          <w:szCs w:val="22"/>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2"/>
          <w:szCs w:val="22"/>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2"/>
          <w:szCs w:val="22"/>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4</w:t>
      </w:r>
    </w:p>
    <w:p>
      <w:pPr>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18"/>
          <w:szCs w:val="18"/>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2"/>
          <w:szCs w:val="22"/>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2"/>
          <w:szCs w:val="22"/>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2"/>
          <w:szCs w:val="22"/>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2"/>
          <w:szCs w:val="22"/>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Premature Resolution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Intermittent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5</w:t>
      </w:r>
    </w:p>
    <w:p>
      <w:pPr>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18"/>
          <w:szCs w:val="18"/>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2"/>
          <w:szCs w:val="22"/>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2"/>
          <w:szCs w:val="22"/>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2"/>
          <w:szCs w:val="22"/>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Octopus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Change Blindness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System 2 Load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2"/>
          <w:szCs w:val="22"/>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2"/>
          <w:szCs w:val="22"/>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Effort Inversion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18"/>
          <w:szCs w:val="18"/>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r>
        <w:t xml:space="preserve">CHAPTER 6</w:t>
      </w:r>
    </w:p>
    <w:p>
      <w:r>
        <w:t xml:space="preserve">Behavioral Profiling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the mentalist,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For the mentalist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For the mentalist,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For the mentalist, 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For the mentalist,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mentalist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strolling mentalist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For the mentalist, 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7</w:t>
      </w:r>
    </w:p>
    <w:p>
      <w:pPr>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18"/>
          <w:szCs w:val="18"/>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2"/>
          <w:szCs w:val="22"/>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12"/>
          <w:szCs w:val="12"/>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Calibri" w:hAnsi="Calibri" w:cs="Calibri"/>
                <w:sz w:val="17"/>
                <w:szCs w:val="17"/>
                <w:color w:val="FFFFFF"/>
                <w:b/>
                <w:bCs/>
              </w:rPr>
              <w:t xml:space="preserve">#</w:t>
            </w:r>
          </w:p>
        </w:tc>
        <w:tc>
          <w:tcPr>
            <w:tcW w:type="dxa" w:w="3300"/>
            <w:shd w:val="clear" w:fill="0D1E30" w:color="auto"/>
            <w:vAlign w:val="center"/>
          </w:tcPr>
          <w:p>
            <w:pPr>
              <w:spacing w:before="60" w:after="60" w:line="240" w:lineRule="auto"/>
              <w:jc w:val="left"/>
            </w:pPr>
            <w:r>
              <w:rPr>
                <w:rFonts w:ascii="Calibri" w:hAnsi="Calibri" w:cs="Calibri"/>
                <w:sz w:val="17"/>
                <w:szCs w:val="17"/>
                <w:color w:val="FFFFFF"/>
                <w:b/>
                <w:bCs/>
              </w:rPr>
              <w:t xml:space="preserve">OBSERVATION</w:t>
            </w:r>
          </w:p>
        </w:tc>
        <w:tc>
          <w:tcPr>
            <w:tcW w:type="dxa" w:w="3500"/>
            <w:shd w:val="clear" w:fill="0D1E30" w:color="auto"/>
            <w:vAlign w:val="center"/>
          </w:tcPr>
          <w:p>
            <w:pPr>
              <w:spacing w:before="60" w:after="60" w:line="240" w:lineRule="auto"/>
              <w:jc w:val="left"/>
            </w:pPr>
            <w:r>
              <w:rPr>
                <w:rFonts w:ascii="Calibri" w:hAnsi="Calibri" w:cs="Calibri"/>
                <w:sz w:val="17"/>
                <w:szCs w:val="17"/>
                <w:color w:val="FFFFFF"/>
                <w:b/>
                <w:bCs/>
              </w:rPr>
              <w:t xml:space="preserve">WHAT IT TELLS YOU</w:t>
            </w:r>
          </w:p>
        </w:tc>
        <w:tc>
          <w:tcPr>
            <w:tcW w:type="dxa" w:w="800"/>
            <w:shd w:val="clear" w:fill="0D1E30" w:color="auto"/>
            <w:vAlign w:val="center"/>
          </w:tcPr>
          <w:p>
            <w:pPr>
              <w:spacing w:before="60" w:after="60" w:line="240" w:lineRule="auto"/>
              <w:jc w:val="center"/>
            </w:pPr>
            <w:r>
              <w:rPr>
                <w:rFonts w:ascii="Calibri" w:hAnsi="Calibri" w:cs="Calibri"/>
                <w:sz w:val="17"/>
                <w:szCs w:val="17"/>
                <w:color w:val="FFFFFF"/>
                <w:b/>
                <w:bCs/>
              </w:rPr>
              <w:t xml:space="preserve">TIER</w:t>
            </w:r>
          </w:p>
        </w:tc>
        <w:tc>
          <w:tcPr>
            <w:tcW w:type="dxa" w:w="1260"/>
            <w:shd w:val="clear" w:fill="0D1E30" w:color="auto"/>
            <w:vAlign w:val="center"/>
          </w:tcPr>
          <w:p>
            <w:pPr>
              <w:spacing w:before="60" w:after="60" w:line="240" w:lineRule="auto"/>
              <w:jc w:val="center"/>
            </w:pPr>
            <w:r>
              <w:rPr>
                <w:rFonts w:ascii="Calibri" w:hAnsi="Calibri" w:cs="Calibri"/>
                <w:sz w:val="17"/>
                <w:szCs w:val="17"/>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pocket side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Handedness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sole wear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Gait and stance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Clothing condition vs. posture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Self-image investment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outside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inside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Time since last haircut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Grooming priority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Fingernail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willingness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confidence (rate 1–8)</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Foot direction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moving out of the 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deference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Stress or confidence shift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Shoelace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Wrinkles behind knees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Extended seated-time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Fidgeting level in public</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comfort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Leg crossing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Bag contact with feet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Permanence of facial wrinkles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placed face-down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Privacy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Watch set ahead / exact / behind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Relationship with time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Pen or phone in breast pocket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Preparedness habit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break to swallow</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anxiety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Own vs. others’ object handling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Boundary respect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Tie tightness and alignment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Conformity vs. individuality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Nail biting vs. trimmed nails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vs. acute stress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Belt notch wear pattern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Recent weight change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lacing consistency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Trouser rear cuff wear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Scar and callus distribution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Long blink while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discomfort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Forehead wrinkle curve upward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Inside cheek or lip biting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Self-soothing; anxiety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Knuckle orientation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Privacy screen on device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Latest technology model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Status signaling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Pinky distance from fingers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Cuff dirt or discoloration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Teeth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scrunch + deep breath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Explosive reaction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grip style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Notification response speed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Urgency-driven personality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Walking speed vs. crowd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Energy level; goal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Resting shoulder tension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stress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Head tilt when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Weight distribution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Postural confidence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Security-awareness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Humor reaction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processing speed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Vocal volume calibration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awareness vs. self-focus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Intimacy and trust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touching during thinking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engagement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Postural symmetry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Physical training background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Ear redness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arousal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Eyebrow expressiveness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reactivity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Handshake pressure and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Chair choice in a room</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Coat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Drink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vs. self-protection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Compliance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often they interrupt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Repetition of key phrases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Pronoun use: “I,” “we,” “they”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Ego threat threshold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smile disappearance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80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bl>
    <w:p>
      <w:pPr>
        <w:spacing w:before="40" w:after="40" w:line="280"/>
        <w:jc w:val="left"/>
      </w:pPr>
      <w:r>
        <w:rPr>
          <w:rFonts w:ascii="Garamond" w:cs="Garamond" w:eastAsia="Garamond" w:hAnsi="Garamond"/>
          <w:color w:val="111111"/>
          <w:sz w:val="12"/>
          <w:szCs w:val="12"/>
        </w:rPr>
        <w:t xml:space="preserve"/>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T4 Signals Removed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2"/>
          <w:szCs w:val="22"/>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Appearance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Movement &amp;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Territory &amp; Personal Space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Social Confidence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Cognitive Processing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Emotional Regulation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2"/>
          <w:szCs w:val="22"/>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SHOES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HANDS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EYES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2"/>
          <w:szCs w:val="22"/>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8</w:t>
      </w:r>
    </w:p>
    <w:p>
      <w:pPr>
        <w:pStyle w:val="Heading1"/>
        <w:spacing w:before="0" w:after="8" w:line="400"/>
        <w:jc w:val="left"/>
      </w:pPr>
      <w:r>
        <w:rPr>
          <w:rFonts w:ascii="Garamond" w:cs="Garamond" w:eastAsia="Garamond" w:hAnsi="Garamond"/>
          <w:b/>
          <w:bCs/>
          <w:color w:val="0A1628"/>
          <w:sz w:val="30"/>
          <w:szCs w:val="30"/>
        </w:rPr>
        <w:t xml:space="preserve">DISC in Real Time</w:t>
      </w:r>
    </w:p>
    <w:p>
      <w:pPr>
        <w:spacing w:before="4" w:after="280" w:line="280"/>
        <w:jc w:val="left"/>
      </w:pPr>
      <w:r>
        <w:rPr>
          <w:rFonts w:ascii="Garamond" w:cs="Garamond" w:eastAsia="Garamond" w:hAnsi="Garamond"/>
          <w:color w:val="4A4A4A"/>
          <w:sz w:val="18"/>
          <w:szCs w:val="18"/>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 — 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 — INFLUENTIAL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 — STEADY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 — CONSCIENTIOUS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2"/>
          <w:szCs w:val="22"/>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D/C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2"/>
          <w:szCs w:val="22"/>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2"/>
          <w:szCs w:val="22"/>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2"/>
          <w:szCs w:val="22"/>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2"/>
          <w:szCs w:val="22"/>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2"/>
          <w:szCs w:val="22"/>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9</w:t>
      </w:r>
    </w:p>
    <w:p>
      <w:pPr>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18"/>
          <w:szCs w:val="18"/>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2"/>
          <w:szCs w:val="22"/>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2"/>
          <w:szCs w:val="22"/>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2"/>
          <w:szCs w:val="22"/>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2"/>
          <w:szCs w:val="22"/>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2"/>
          <w:szCs w:val="22"/>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2"/>
          <w:szCs w:val="22"/>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Cold-Warm-Hot Spectrum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Forer Effect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2"/>
          <w:szCs w:val="22"/>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2"/>
          <w:szCs w:val="22"/>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2"/>
          <w:szCs w:val="22"/>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2"/>
          <w:szCs w:val="22"/>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2"/>
          <w:szCs w:val="22"/>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2"/>
          <w:szCs w:val="22"/>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2"/>
          <w:szCs w:val="22"/>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2"/>
          <w:szCs w:val="22"/>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2"/>
          <w:szCs w:val="22"/>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2"/>
          <w:szCs w:val="22"/>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2"/>
          <w:szCs w:val="22"/>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2"/>
          <w:szCs w:val="22"/>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Visual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Auditory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Kinesthetic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2"/>
          <w:szCs w:val="22"/>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T1 Physical Read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Security Profile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Connector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Status Mismatch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for the mentalist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10</w:t>
      </w:r>
    </w:p>
    <w:p>
      <w:pPr>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18"/>
          <w:szCs w:val="18"/>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2"/>
          <w:szCs w:val="22"/>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2"/>
          <w:szCs w:val="22"/>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2"/>
          <w:szCs w:val="22"/>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Seven Expressions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Duchenne Marker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Leakage Hierarchy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Convergence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2"/>
          <w:szCs w:val="22"/>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11</w:t>
      </w:r>
    </w:p>
    <w:p>
      <w:pPr>
        <w:pStyle w:val="Heading1"/>
        <w:spacing w:before="0" w:after="8" w:line="400"/>
        <w:jc w:val="left"/>
      </w:pPr>
      <w:r>
        <w:rPr>
          <w:rFonts w:ascii="Garamond" w:cs="Garamond" w:eastAsia="Garamond" w:hAnsi="Garamond"/>
          <w:b/>
          <w:bCs/>
          <w:color w:val="0A1628"/>
          <w:sz w:val="30"/>
          <w:szCs w:val="30"/>
        </w:rPr>
        <w:t xml:space="preserve">Volunteer Handling Through a Neural Lens</w:t>
      </w:r>
    </w:p>
    <w:p>
      <w:pPr>
        <w:spacing w:before="4" w:after="280" w:line="280"/>
        <w:jc w:val="left"/>
      </w:pPr>
      <w:r>
        <w:rPr>
          <w:rFonts w:ascii="Garamond" w:cs="Garamond" w:eastAsia="Garamond" w:hAnsi="Garamond"/>
          <w:color w:val="4A4A4A"/>
          <w:sz w:val="18"/>
          <w:szCs w:val="18"/>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2"/>
          <w:szCs w:val="22"/>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2"/>
          <w:szCs w:val="22"/>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Supporter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Challenger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Anxious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Analytical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Emotional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Reserved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2"/>
          <w:szCs w:val="22"/>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2"/>
          <w:szCs w:val="22"/>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Redirect to the Room</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Reframe the Resistance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Graceful Close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2"/>
          <w:szCs w:val="22"/>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2"/>
          <w:szCs w:val="22"/>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2"/>
          <w:szCs w:val="22"/>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2"/>
          <w:szCs w:val="22"/>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2"/>
          <w:szCs w:val="22"/>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2"/>
          <w:szCs w:val="22"/>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2"/>
          <w:szCs w:val="22"/>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2"/>
          <w:szCs w:val="22"/>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2"/>
          <w:szCs w:val="22"/>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2"/>
          <w:szCs w:val="22"/>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2"/>
          <w:szCs w:val="22"/>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2"/>
          <w:szCs w:val="22"/>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Anchoring Prerequisites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Three-Response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12</w:t>
      </w:r>
    </w:p>
    <w:p>
      <w:pPr>
        <w:pStyle w:val="Heading1"/>
        <w:spacing w:before="0" w:after="8" w:line="400"/>
        <w:jc w:val="left"/>
      </w:pPr>
      <w:r>
        <w:rPr>
          <w:rFonts w:ascii="Garamond" w:cs="Garamond" w:eastAsia="Garamond" w:hAnsi="Garamond"/>
          <w:b/>
          <w:bCs/>
          <w:color w:val="0A1628"/>
          <w:sz w:val="30"/>
          <w:szCs w:val="30"/>
        </w:rPr>
        <w:t xml:space="preserve">The Language of Compliance</w:t>
      </w:r>
    </w:p>
    <w:p>
      <w:pPr>
        <w:spacing w:before="4" w:after="280" w:line="280"/>
        <w:jc w:val="left"/>
      </w:pPr>
      <w:r>
        <w:rPr>
          <w:rFonts w:ascii="Garamond" w:cs="Garamond" w:eastAsia="Garamond" w:hAnsi="Garamond"/>
          <w:color w:val="4A4A4A"/>
          <w:sz w:val="18"/>
          <w:szCs w:val="18"/>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14"/>
          <w:szCs w:val="1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2"/>
          <w:szCs w:val="22"/>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2"/>
          <w:szCs w:val="22"/>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2"/>
          <w:szCs w:val="22"/>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2"/>
          <w:szCs w:val="22"/>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Pace-Lead Ratio</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2"/>
          <w:szCs w:val="22"/>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Presupposition Check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2"/>
          <w:szCs w:val="22"/>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Yes Set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Influence vs. Persuasion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2"/>
          <w:szCs w:val="22"/>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Soft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Moderate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Strong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Pinpoint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13</w:t>
      </w:r>
    </w:p>
    <w:p>
      <w:pPr>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18"/>
          <w:szCs w:val="18"/>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2"/>
          <w:szCs w:val="22"/>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2"/>
          <w:szCs w:val="22"/>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2"/>
          <w:szCs w:val="22"/>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2"/>
          <w:szCs w:val="22"/>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Precision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Acknowledgment Move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Clean Finish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14</w:t>
      </w:r>
    </w:p>
    <w:p>
      <w:pPr>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18"/>
          <w:szCs w:val="18"/>
        </w:rPr>
        <w:t xml:space="preserve">What it actually is, how it actually works, and why the myths get in the way.</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2"/>
          <w:szCs w:val="22"/>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2"/>
          <w:szCs w:val="22"/>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2"/>
          <w:szCs w:val="22"/>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2"/>
          <w:szCs w:val="22"/>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2"/>
          <w:szCs w:val="22"/>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2"/>
          <w:szCs w:val="22"/>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2"/>
          <w:szCs w:val="22"/>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1"/>
          <w:szCs w:val="21"/>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2"/>
          <w:szCs w:val="22"/>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2"/>
          <w:szCs w:val="22"/>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2"/>
          <w:szCs w:val="22"/>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2"/>
          <w:szCs w:val="22"/>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2"/>
          <w:szCs w:val="22"/>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2"/>
          <w:szCs w:val="22"/>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2"/>
          <w:szCs w:val="22"/>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2"/>
          <w:szCs w:val="22"/>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1"/>
          <w:szCs w:val="21"/>
        </w:rPr>
        <w:t xml:space="preserve">Is this really me? Is this plausible? Am I doing this right?</w:t>
      </w:r>
    </w:p>
    <w:p>
      <w:pPr>
        <w:spacing w:before="140" w:after="140" w:line="280"/>
        <w:jc w:val="left"/>
      </w:pPr>
      <w:r>
        <w:rPr>
          <w:rFonts w:ascii="Garamond" w:cs="Garamond" w:eastAsia="Garamond" w:hAnsi="Garamond"/>
          <w:color w:val="111111"/>
          <w:sz w:val="22"/>
          <w:szCs w:val="22"/>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2"/>
          <w:szCs w:val="22"/>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2"/>
          <w:szCs w:val="22"/>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2"/>
          <w:szCs w:val="22"/>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2"/>
          <w:szCs w:val="22"/>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2"/>
          <w:szCs w:val="22"/>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2"/>
          <w:szCs w:val="22"/>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2"/>
          <w:szCs w:val="22"/>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2"/>
          <w:szCs w:val="22"/>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2"/>
          <w:szCs w:val="22"/>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2"/>
          <w:szCs w:val="22"/>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2"/>
          <w:szCs w:val="22"/>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2"/>
          <w:szCs w:val="22"/>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2"/>
          <w:szCs w:val="22"/>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2"/>
          <w:szCs w:val="22"/>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2"/>
          <w:szCs w:val="22"/>
        </w:rPr>
        <w:t xml:space="preserve">Hypnosis likely biases that competition.</w:t>
      </w:r>
    </w:p>
    <w:p>
      <w:pPr>
        <w:spacing w:before="140" w:after="140" w:line="280"/>
        <w:jc w:val="left"/>
      </w:pPr>
      <w:r>
        <w:rPr>
          <w:rFonts w:ascii="Garamond" w:cs="Garamond" w:eastAsia="Garamond" w:hAnsi="Garamond"/>
          <w:color w:val="111111"/>
          <w:sz w:val="22"/>
          <w:szCs w:val="22"/>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2"/>
          <w:szCs w:val="22"/>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2"/>
          <w:szCs w:val="22"/>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2"/>
          <w:szCs w:val="22"/>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2"/>
          <w:szCs w:val="22"/>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2"/>
          <w:szCs w:val="22"/>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2"/>
          <w:szCs w:val="22"/>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2"/>
          <w:szCs w:val="22"/>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2"/>
          <w:szCs w:val="22"/>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2"/>
          <w:szCs w:val="22"/>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2"/>
          <w:szCs w:val="22"/>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2"/>
          <w:szCs w:val="22"/>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2"/>
          <w:szCs w:val="22"/>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2"/>
          <w:szCs w:val="22"/>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2"/>
          <w:szCs w:val="22"/>
        </w:rPr>
        <w:t xml:space="preserve">Neurons do not merely fire. They fire in rhythms.</w:t>
      </w:r>
    </w:p>
    <w:p>
      <w:pPr>
        <w:spacing w:before="140" w:after="140" w:line="280"/>
        <w:jc w:val="left"/>
      </w:pPr>
      <w:r>
        <w:rPr>
          <w:rFonts w:ascii="Garamond" w:cs="Garamond" w:eastAsia="Garamond" w:hAnsi="Garamond"/>
          <w:color w:val="111111"/>
          <w:sz w:val="22"/>
          <w:szCs w:val="22"/>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2"/>
          <w:szCs w:val="22"/>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2"/>
          <w:szCs w:val="22"/>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2"/>
          <w:szCs w:val="22"/>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2"/>
          <w:szCs w:val="22"/>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2"/>
          <w:szCs w:val="22"/>
        </w:rPr>
        <w:t xml:space="preserve">There is a limited but useful comparison to alcohol.</w:t>
      </w:r>
    </w:p>
    <w:p>
      <w:pPr>
        <w:spacing w:before="140" w:after="140" w:line="280"/>
        <w:jc w:val="left"/>
      </w:pPr>
      <w:r>
        <w:rPr>
          <w:rFonts w:ascii="Garamond" w:cs="Garamond" w:eastAsia="Garamond" w:hAnsi="Garamond"/>
          <w:color w:val="111111"/>
          <w:sz w:val="22"/>
          <w:szCs w:val="22"/>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2"/>
          <w:szCs w:val="22"/>
        </w:rPr>
        <w:t xml:space="preserve">In both cases, the mind may become more responsive to the frame it is given.</w:t>
      </w:r>
    </w:p>
    <w:p>
      <w:pPr>
        <w:spacing w:before="140" w:after="140" w:line="280"/>
        <w:jc w:val="left"/>
      </w:pPr>
      <w:r>
        <w:rPr>
          <w:rFonts w:ascii="Garamond" w:cs="Garamond" w:eastAsia="Garamond" w:hAnsi="Garamond"/>
          <w:color w:val="111111"/>
          <w:sz w:val="22"/>
          <w:szCs w:val="22"/>
        </w:rPr>
        <w:t xml:space="preserve">But the difference matters.</w:t>
      </w:r>
    </w:p>
    <w:p>
      <w:pPr>
        <w:spacing w:before="140" w:after="140" w:line="280"/>
        <w:jc w:val="left"/>
      </w:pPr>
      <w:r>
        <w:rPr>
          <w:rFonts w:ascii="Garamond" w:cs="Garamond" w:eastAsia="Garamond" w:hAnsi="Garamond"/>
          <w:color w:val="111111"/>
          <w:sz w:val="22"/>
          <w:szCs w:val="22"/>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2"/>
          <w:szCs w:val="22"/>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2"/>
          <w:szCs w:val="22"/>
        </w:rPr>
        <w:t xml:space="preserve">That is exactly what makes it so powerful.</w:t>
      </w:r>
    </w:p>
    <w:p>
      <w:pPr>
        <w:spacing w:before="140" w:after="140" w:line="280"/>
        <w:jc w:val="left"/>
      </w:pPr>
      <w:r>
        <w:rPr>
          <w:rFonts w:ascii="Garamond" w:cs="Garamond" w:eastAsia="Garamond" w:hAnsi="Garamond"/>
          <w:color w:val="111111"/>
          <w:sz w:val="22"/>
          <w:szCs w:val="22"/>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18"/>
          <w:szCs w:val="18"/>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2"/>
          <w:szCs w:val="22"/>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2"/>
          <w:szCs w:val="22"/>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2"/>
          <w:szCs w:val="22"/>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Six Cards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Format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2"/>
          <w:szCs w:val="22"/>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2"/>
          <w:szCs w:val="22"/>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2"/>
          <w:szCs w:val="22"/>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2"/>
          <w:szCs w:val="22"/>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2"/>
          <w:szCs w:val="22"/>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2"/>
          <w:szCs w:val="22"/>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2"/>
          <w:szCs w:val="22"/>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2"/>
          <w:szCs w:val="22"/>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2"/>
          <w:szCs w:val="22"/>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2"/>
          <w:szCs w:val="22"/>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2"/>
          <w:szCs w:val="22"/>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2"/>
          <w:szCs w:val="22"/>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2"/>
          <w:szCs w:val="22"/>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2"/>
          <w:szCs w:val="22"/>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2"/>
          <w:szCs w:val="22"/>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2"/>
          <w:szCs w:val="22"/>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2"/>
          <w:szCs w:val="22"/>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2"/>
          <w:szCs w:val="22"/>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2"/>
          <w:szCs w:val="22"/>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2"/>
          <w:szCs w:val="22"/>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2"/>
          <w:szCs w:val="22"/>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2"/>
          <w:szCs w:val="22"/>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2"/>
          <w:szCs w:val="22"/>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2"/>
          <w:szCs w:val="22"/>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18"/>
          <w:szCs w:val="18"/>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15</w:t>
      </w:r>
    </w:p>
    <w:p>
      <w:pPr>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18"/>
          <w:szCs w:val="18"/>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A room full of executives is not a harder audience. It is a differently motivated one. 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2"/>
          <w:szCs w:val="22"/>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2"/>
          <w:szCs w:val="22"/>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2"/>
          <w:szCs w:val="22"/>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Corporate Audience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Credibility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2"/>
          <w:szCs w:val="22"/>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2"/>
          <w:szCs w:val="22"/>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Experience Before Explanation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16</w:t>
      </w:r>
    </w:p>
    <w:p>
      <w:pPr>
        <w:pStyle w:val="Heading1"/>
        <w:spacing w:before="0" w:after="8" w:line="400"/>
        <w:jc w:val="left"/>
      </w:pPr>
      <w:r>
        <w:rPr>
          <w:rFonts w:ascii="Garamond" w:cs="Garamond" w:eastAsia="Garamond" w:hAnsi="Garamond"/>
          <w:b/>
          <w:bCs/>
          <w:color w:val="0A1628"/>
          <w:sz w:val="30"/>
          <w:szCs w:val="30"/>
        </w:rPr>
        <w:t xml:space="preserve">The Behavioral Training Framework</w:t>
      </w:r>
    </w:p>
    <w:p>
      <w:pPr>
        <w:spacing w:before="4" w:after="280" w:line="280"/>
        <w:jc w:val="left"/>
      </w:pPr>
      <w:r>
        <w:rPr>
          <w:rFonts w:ascii="Garamond" w:cs="Garamond" w:eastAsia="Garamond" w:hAnsi="Garamond"/>
          <w:color w:val="4A4A4A"/>
          <w:sz w:val="18"/>
          <w:szCs w:val="18"/>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Liberation Serif" w:hAnsi="Liberation Serif"/>
          <w:sz w:val="22"/>
          <w:szCs w:val="22"/>
          <w:color w:val="333333"/>
        </w:rPr>
      </w:pPr>
      <w:r>
        <w:rPr>
          <w:rFonts w:ascii="Liberation Serif" w:hAnsi="Liberation Serif"/>
          <w:sz w:val="22"/>
          <w:szCs w:val="22"/>
          <w:color w:val="333333"/>
        </w:rPr>
        <w:t xml:space="preserve">That room taught me what the research already shows:</w:t>
      </w:r>
    </w:p>
    <w:p>
      <w:pPr>
        <w:spacing w:before="140" w:after="140" w:line="280"/>
        <w:jc w:val="left"/>
      </w:pPr>
      <w:r>
        <w:rPr>
          <w:rFonts w:ascii="Garamond" w:cs="Garamond" w:eastAsia="Garamond" w:hAnsi="Garamond"/>
          <w:color w:val="111111"/>
          <w:sz w:val="22"/>
          <w:szCs w:val="22"/>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2"/>
          <w:szCs w:val="22"/>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2"/>
          <w:szCs w:val="22"/>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Hippocampus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2"/>
          <w:szCs w:val="22"/>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2"/>
          <w:szCs w:val="22"/>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 Advantage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17</w:t>
      </w:r>
    </w:p>
    <w:p>
      <w:pPr>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18"/>
          <w:szCs w:val="18"/>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14"/>
          <w:szCs w:val="14"/>
        </w:rPr>
        <w:t xml:space="preserv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17"/>
          <w:szCs w:val="17"/>
        </w:rPr>
        <w:t xml:space="preserve">On working with a defense agency leadership team</w:t>
      </w:r>
    </w:p>
    <w:p>
      <w:pPr>
        <w:spacing w:before="140" w:after="140" w:line="280"/>
        <w:jc w:val="left"/>
      </w:pPr>
      <w:r>
        <w:rPr>
          <w:rFonts w:ascii="Garamond" w:cs="Garamond" w:eastAsia="Garamond" w:hAnsi="Garamond"/>
          <w:color w:val="111111"/>
          <w:sz w:val="22"/>
          <w:szCs w:val="22"/>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2"/>
          <w:szCs w:val="22"/>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2"/>
          <w:szCs w:val="22"/>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2"/>
          <w:szCs w:val="22"/>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17"/>
          <w:szCs w:val="17"/>
        </w:rPr>
        <w:t xml:space="preserve">On earning the most resistant person in the room</w:t>
      </w:r>
    </w:p>
    <w:p>
      <w:pPr>
        <w:spacing w:before="140" w:after="140" w:line="280"/>
        <w:jc w:val="left"/>
      </w:pPr>
      <w:r>
        <w:rPr>
          <w:rFonts w:ascii="Garamond" w:cs="Garamond" w:eastAsia="Garamond" w:hAnsi="Garamond"/>
          <w:color w:val="111111"/>
          <w:sz w:val="22"/>
          <w:szCs w:val="22"/>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2"/>
          <w:szCs w:val="22"/>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2"/>
          <w:szCs w:val="22"/>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2"/>
          <w:szCs w:val="22"/>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17"/>
          <w:szCs w:val="17"/>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2"/>
          <w:szCs w:val="22"/>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2"/>
          <w:szCs w:val="22"/>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2"/>
          <w:szCs w:val="22"/>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2"/>
          <w:szCs w:val="22"/>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17"/>
          <w:szCs w:val="17"/>
        </w:rPr>
        <w:t xml:space="preserve">On engineering a shared experience in a large room</w:t>
      </w:r>
    </w:p>
    <w:p>
      <w:pPr>
        <w:spacing w:before="140" w:after="140" w:line="280"/>
        <w:jc w:val="left"/>
      </w:pPr>
      <w:r>
        <w:rPr>
          <w:rFonts w:ascii="Garamond" w:cs="Garamond" w:eastAsia="Garamond" w:hAnsi="Garamond"/>
          <w:color w:val="111111"/>
          <w:sz w:val="22"/>
          <w:szCs w:val="22"/>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2"/>
          <w:szCs w:val="22"/>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2"/>
          <w:szCs w:val="22"/>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2"/>
          <w:szCs w:val="22"/>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18</w:t>
      </w:r>
    </w:p>
    <w:p>
      <w:pPr>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18"/>
          <w:szCs w:val="18"/>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2"/>
          <w:szCs w:val="22"/>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vs. Internalization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Self-Attribution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2"/>
          <w:szCs w:val="22"/>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2"/>
          <w:szCs w:val="22"/>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Mirror Technique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Reactance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the Name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2"/>
          <w:szCs w:val="22"/>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2"/>
          <w:szCs w:val="22"/>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2"/>
          <w:szCs w:val="22"/>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19</w:t>
      </w:r>
    </w:p>
    <w:p>
      <w:pPr>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18"/>
          <w:szCs w:val="18"/>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2"/>
          <w:szCs w:val="22"/>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2"/>
          <w:szCs w:val="22"/>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2"/>
          <w:szCs w:val="22"/>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2"/>
          <w:szCs w:val="22"/>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2"/>
          <w:szCs w:val="22"/>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2"/>
          <w:szCs w:val="22"/>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2"/>
          <w:szCs w:val="22"/>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2"/>
          <w:szCs w:val="22"/>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Distress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2"/>
          <w:szCs w:val="22"/>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2"/>
          <w:szCs w:val="22"/>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2"/>
          <w:szCs w:val="22"/>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2"/>
          <w:szCs w:val="22"/>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Consent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Transparency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Manipulation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2"/>
          <w:szCs w:val="22"/>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2"/>
          <w:szCs w:val="22"/>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Default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2"/>
          <w:szCs w:val="22"/>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2"/>
          <w:szCs w:val="22"/>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2"/>
          <w:szCs w:val="22"/>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FIVE</w:t>
      </w:r>
    </w:p>
    <w:p>
      <w:pPr>
        <w:spacing w:before="0" w:after="10" w:line="480"/>
        <w:jc w:val="left"/>
      </w:pPr>
      <w:r>
        <w:rPr>
          <w:rFonts w:ascii="Garamond" w:cs="Garamond" w:eastAsia="Garamond" w:hAnsi="Garamond"/>
          <w:b/>
          <w:bCs/>
          <w:color w:val="0A1628"/>
          <w:sz w:val="38"/>
          <w:szCs w:val="38"/>
        </w:rPr>
        <w:t xml:space="preserve">The Neural Performance Model</w:t>
      </w:r>
    </w:p>
    <w:p>
      <w:pPr>
        <w:spacing w:before="0" w:after="600" w:line="280"/>
        <w:jc w:val="left"/>
      </w:pPr>
      <w:r>
        <w:rPr>
          <w:rFonts w:ascii="Garamond" w:cs="Garamond" w:eastAsia="Garamond" w:hAnsi="Garamond"/>
          <w:color w:val="4A4A4A"/>
          <w:sz w:val="18"/>
          <w:szCs w:val="18"/>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2"/>
          <w:szCs w:val="22"/>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PRIME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TENSION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ANCHOR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ESCALATE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07 · EMBED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2"/>
          <w:szCs w:val="22"/>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PRE-SHOW PRIMING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ATTENTION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AND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BEHAVIORAL PROFILING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MEMORY ENCODING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18"/>
          <w:szCs w:val="18"/>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2"/>
          <w:szCs w:val="22"/>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1 — OBSERVATION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behavioral reading infrastructure that runs before any performance element begins. The 56-signal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2 — ENVIRONMENTAL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3 — PRE-SHOW INTELLIGENCE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4 — STRUCTURAL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2"/>
          <w:szCs w:val="22"/>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18"/>
          <w:szCs w:val="18"/>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20</w:t>
      </w:r>
    </w:p>
    <w:p>
      <w:pPr>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18"/>
          <w:szCs w:val="18"/>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2"/>
          <w:szCs w:val="22"/>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Bow and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CEO Introduction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2"/>
          <w:szCs w:val="22"/>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2"/>
          <w:szCs w:val="22"/>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Exit Protocol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21</w:t>
      </w:r>
    </w:p>
    <w:p>
      <w:pPr>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18"/>
          <w:szCs w:val="18"/>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2"/>
          <w:szCs w:val="22"/>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Duration Neglect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Peak vs. Close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2"/>
          <w:szCs w:val="22"/>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22</w:t>
      </w:r>
    </w:p>
    <w:p>
      <w:pPr>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18"/>
          <w:szCs w:val="18"/>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2"/>
          <w:szCs w:val="22"/>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Target State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Dead Time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2"/>
          <w:szCs w:val="22"/>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2"/>
          <w:szCs w:val="22"/>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Tempo and Trust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23</w:t>
      </w:r>
    </w:p>
    <w:p>
      <w:pPr>
        <w:pStyle w:val="Heading1"/>
        <w:spacing w:before="0" w:after="8" w:line="400"/>
        <w:jc w:val="left"/>
      </w:pPr>
      <w:r>
        <w:rPr>
          <w:rFonts w:ascii="Garamond" w:cs="Garamond" w:eastAsia="Garamond" w:hAnsi="Garamond"/>
          <w:b/>
          <w:bCs/>
          <w:color w:val="0A1628"/>
          <w:sz w:val="30"/>
          <w:szCs w:val="30"/>
        </w:rPr>
        <w:t xml:space="preserve">Compliance by Design</w:t>
      </w:r>
    </w:p>
    <w:p>
      <w:pPr>
        <w:spacing w:before="4" w:after="280" w:line="280"/>
        <w:jc w:val="left"/>
      </w:pPr>
      <w:r>
        <w:rPr>
          <w:rFonts w:ascii="Garamond" w:cs="Garamond" w:eastAsia="Garamond" w:hAnsi="Garamond"/>
          <w:color w:val="4A4A4A"/>
          <w:sz w:val="18"/>
          <w:szCs w:val="18"/>
        </w:rPr>
        <w:t xml:space="preserve">The dance floor of death is a design failure, not an audience failure.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2"/>
          <w:szCs w:val="22"/>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Mirror Neurons and Modeling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First Mover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2"/>
          <w:szCs w:val="22"/>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History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Temperature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24</w:t>
      </w:r>
    </w:p>
    <w:p>
      <w:pPr>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18"/>
          <w:szCs w:val="18"/>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14"/>
          <w:szCs w:val="1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2"/>
          <w:szCs w:val="22"/>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Certainty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Congruence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Presence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Composure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Investment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2"/>
          <w:szCs w:val="22"/>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2"/>
          <w:szCs w:val="22"/>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25</w:t>
      </w:r>
    </w:p>
    <w:p>
      <w:pPr>
        <w:pStyle w:val="Heading1"/>
        <w:spacing w:before="0" w:after="8" w:line="400"/>
        <w:jc w:val="left"/>
      </w:pPr>
      <w:r>
        <w:rPr>
          <w:rFonts w:ascii="Garamond" w:cs="Garamond" w:eastAsia="Garamond" w:hAnsi="Garamond"/>
          <w:b/>
          <w:bCs/>
          <w:color w:val="0A1628"/>
          <w:sz w:val="30"/>
          <w:szCs w:val="30"/>
        </w:rPr>
        <w:t xml:space="preserve">The Professional Advancement System</w:t>
      </w:r>
    </w:p>
    <w:p>
      <w:pPr>
        <w:spacing w:before="4" w:after="280" w:line="280"/>
        <w:jc w:val="left"/>
      </w:pPr>
      <w:r>
        <w:rPr>
          <w:rFonts w:ascii="Garamond" w:cs="Garamond" w:eastAsia="Garamond" w:hAnsi="Garamond"/>
          <w:color w:val="4A4A4A"/>
          <w:sz w:val="18"/>
          <w:szCs w:val="18"/>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2"/>
          <w:szCs w:val="22"/>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Discovery Call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Customization Meeting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Site Visit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2"/>
          <w:szCs w:val="22"/>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Window</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Condition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26</w:t>
      </w:r>
    </w:p>
    <w:p>
      <w:pPr>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18"/>
          <w:szCs w:val="18"/>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2"/>
          <w:szCs w:val="22"/>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Intro Video Formula</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Note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2"/>
          <w:szCs w:val="22"/>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Pre-Entry Checklist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Threshold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27</w:t>
      </w:r>
    </w:p>
    <w:p>
      <w:pPr>
        <w:pStyle w:val="Heading1"/>
        <w:spacing w:before="0" w:after="8" w:line="400"/>
        <w:jc w:val="left"/>
      </w:pPr>
      <w:r>
        <w:rPr>
          <w:rFonts w:ascii="Garamond" w:cs="Garamond" w:eastAsia="Garamond" w:hAnsi="Garamond"/>
          <w:b/>
          <w:bCs/>
          <w:color w:val="0A1628"/>
          <w:sz w:val="30"/>
          <w:szCs w:val="30"/>
        </w:rPr>
        <w:t xml:space="preserve">Signal to Statement</w:t>
      </w:r>
    </w:p>
    <w:p>
      <w:pPr>
        <w:spacing w:before="4" w:after="280" w:line="280"/>
        <w:jc w:val="left"/>
      </w:pPr>
      <w:r>
        <w:rPr>
          <w:rFonts w:ascii="Garamond" w:cs="Garamond" w:eastAsia="Garamond" w:hAnsi="Garamond"/>
          <w:color w:val="4A4A4A"/>
          <w:sz w:val="18"/>
          <w:szCs w:val="18"/>
        </w:rPr>
        <w:t xml:space="preserve">The gap between seeing and saying, and the five structural moves that close it.</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2"/>
          <w:szCs w:val="22"/>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2"/>
          <w:szCs w:val="22"/>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2"/>
          <w:szCs w:val="22"/>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2"/>
          <w:szCs w:val="22"/>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T1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Behavioral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Social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2"/>
          <w:szCs w:val="22"/>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2"/>
          <w:szCs w:val="22"/>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1 — Broad Impression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2 — Behavioral Pattern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3 — Personal Theme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4 — Specific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2"/>
          <w:szCs w:val="22"/>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2"/>
          <w:szCs w:val="22"/>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2"/>
          <w:szCs w:val="22"/>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2"/>
          <w:szCs w:val="22"/>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2"/>
          <w:szCs w:val="22"/>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2"/>
          <w:szCs w:val="22"/>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2"/>
          <w:szCs w:val="22"/>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2"/>
          <w:szCs w:val="22"/>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2"/>
          <w:szCs w:val="22"/>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2"/>
          <w:szCs w:val="22"/>
        </w:rPr>
        <w:t xml:space="preserve">Level 4: [Specific. Delivered once. Standing still.]</w:t>
      </w:r>
    </w:p>
    <w:p>
      <w:pPr>
        <w:spacing w:before="140" w:after="140" w:line="280"/>
        <w:jc w:val="left"/>
      </w:pPr>
      <w:r>
        <w:rPr>
          <w:rFonts w:ascii="Garamond" w:cs="Garamond" w:eastAsia="Garamond" w:hAnsi="Garamond"/>
          <w:color w:val="111111"/>
          <w:sz w:val="22"/>
          <w:szCs w:val="22"/>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28</w:t>
      </w:r>
    </w:p>
    <w:p>
      <w:pPr>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18"/>
          <w:szCs w:val="18"/>
        </w:rPr>
        <w:t xml:space="preserve">Six frameworks for life readings built from signal clusters — not guesswork.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2"/>
          <w:szCs w:val="22"/>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2"/>
          <w:szCs w:val="22"/>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2"/>
          <w:szCs w:val="22"/>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2"/>
          <w:szCs w:val="22"/>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2"/>
          <w:szCs w:val="22"/>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2"/>
          <w:szCs w:val="22"/>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2"/>
          <w:szCs w:val="22"/>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2"/>
          <w:szCs w:val="22"/>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2"/>
          <w:szCs w:val="22"/>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2"/>
          <w:szCs w:val="22"/>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2"/>
          <w:szCs w:val="22"/>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2"/>
          <w:szCs w:val="22"/>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2"/>
          <w:szCs w:val="22"/>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29</w:t>
      </w:r>
    </w:p>
    <w:p>
      <w:pPr>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18"/>
          <w:szCs w:val="18"/>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2"/>
          <w:szCs w:val="22"/>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2"/>
          <w:szCs w:val="22"/>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2"/>
          <w:szCs w:val="22"/>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2"/>
          <w:szCs w:val="22"/>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2"/>
          <w:szCs w:val="22"/>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2"/>
          <w:szCs w:val="22"/>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Delay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2"/>
          <w:szCs w:val="22"/>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2"/>
          <w:szCs w:val="22"/>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Anti-Backtracking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2"/>
          <w:szCs w:val="22"/>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2"/>
          <w:szCs w:val="22"/>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2"/>
          <w:szCs w:val="22"/>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2"/>
          <w:szCs w:val="22"/>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2"/>
          <w:szCs w:val="22"/>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2"/>
          <w:szCs w:val="22"/>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30</w:t>
      </w:r>
    </w:p>
    <w:p>
      <w:pPr>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18"/>
          <w:szCs w:val="18"/>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Approaching a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Statement Lands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Subject Looks Uncomfortable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Room Has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 Strolling Work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Instruction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Confirmation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Strategic Look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for Reveals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Movement for Resets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Matching Physical 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2"/>
          <w:szCs w:val="22"/>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Calibri" w:cs="Calibri" w:eastAsia="Calibri" w:hAnsi="Calibri"/>
                <w:b/>
                <w:bCs/>
                <w:color w:val="FFFFFF"/>
                <w:sz w:val="16"/>
                <w:szCs w:val="16"/>
              </w:rPr>
              <w:t xml:space="preserve">ENVIRONMENT</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DEMONSTRATION TYPE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VOLUNTEER APPROACH</w:t>
            </w:r>
          </w:p>
        </w:tc>
        <w:tc>
          <w:tcPr>
            <w:tcW w:type="dxa" w:w="1200"/>
            <w:shd w:fill="0A1628" w:color="0A1628" w:val="solid"/>
          </w:tcPr>
          <w:p>
            <w:pPr>
              <w:spacing w:before="60" w:after="60"/>
              <w:jc w:val="left"/>
            </w:pPr>
            <w:r>
              <w:rPr>
                <w:rFonts w:ascii="Calibri" w:cs="Calibri" w:eastAsia="Calibri" w:hAnsi="Calibri"/>
                <w:b/>
                <w:bCs/>
                <w:color w:val="FFFFFF"/>
                <w:sz w:val="16"/>
                <w:szCs w:val="16"/>
              </w:rPr>
              <w:t xml:space="preserve">REVEAL STYLE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NOTES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STROLLING / WALKAROUND</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T1 cold reads · Social role read · 90-second behavioral profile</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T1 opener on whoever is present. Act on one or two strong signals.</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Soft hit + one strong hit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No pre-selection. Read whoever is in front of you. Leave at the peak.</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CLOSE-UP</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Hidden interest read · Relationship dynamic · Life pivot</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Emotional, Reserved, or Analytical volunteer. Intimacy is the asset.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Full layered read at Level 3–4</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Use the full reading lines. Depth earns trust in intimate settings.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PARLOR (8–30)</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Curiosity-based reads · Social role · Life pivot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Room is the volunteer. Read everyone simultaneously.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Layered read + callback</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Intimacy creates permission. Work the whole room, not one subject.</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CORPORATE KEYNOTE</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Behavioral profile · Pre-show reveals · Travel pattern read</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Pre-show selection. Supporter or Challenger. Win the room leader first.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Strong hit + pre-show reveal</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Authority matters. Win the room leader in the first effect.</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STAGE SHOW</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Full layered read · Life reading · Social role reveal</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Full matrix selection. Assess confidence and suggestibility independently.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four levels of the layered read</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Theatrical distance requires Level 4 staging mechanics every time.</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THEATER</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Complete insight demonstration sequence · Callback close</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Supporter or Emotional volunteer for peaks. Challenger for prediction.</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Layered read + insight demo + callback</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Build the callback into show design. Plant in first effect, pay off at the close.</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PRIVATE CONSULTATION</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Complete behavioral deep-read · All six insight frameworks</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One subject. Full session. No audience management required.</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levels, extended, with full DISC and ethical framing</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12"/>
          <w:szCs w:val="12"/>
        </w:rPr>
        <w:t xml:space="preserve"/>
      </w:r>
    </w:p>
    <w:p>
      <w:pPr>
        <w:spacing w:before="140" w:after="140" w:line="280"/>
        <w:jc w:val="left"/>
      </w:pPr>
      <w:r>
        <w:rPr>
          <w:rFonts w:ascii="Garamond" w:cs="Garamond" w:eastAsia="Garamond" w:hAnsi="Garamond"/>
          <w:color w:val="111111"/>
          <w:sz w:val="22"/>
          <w:szCs w:val="22"/>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18"/>
          <w:szCs w:val="18"/>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31</w:t>
      </w:r>
    </w:p>
    <w:p>
      <w:pPr>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18"/>
          <w:szCs w:val="18"/>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2"/>
          <w:szCs w:val="22"/>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Limbic Ledger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Referral Psychology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2"/>
          <w:szCs w:val="22"/>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The First Email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The Response Lag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The Pre-Show Conversation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The Arrival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The Logistics 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6. The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7. The Follow-Through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2"/>
          <w:szCs w:val="22"/>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32</w:t>
      </w:r>
    </w:p>
    <w:p>
      <w:pPr>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18"/>
          <w:szCs w:val="18"/>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Introductions change the state of the room before the performer begins. A weak introduction makes you climb uphill. A strong introduction creates borrowed certainty. A great introduction changes the audience’s posture toward the experience before the first line is spoken. A weak introduction makes the performer climb uphill.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2"/>
          <w:szCs w:val="22"/>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Bio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Rule of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2"/>
          <w:szCs w:val="22"/>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2"/>
          <w:szCs w:val="22"/>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Weak vs. Strong Testimonial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What Testimonials Are Actually For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33</w:t>
      </w:r>
    </w:p>
    <w:p>
      <w:pPr>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18"/>
          <w:szCs w:val="18"/>
        </w:rPr>
        <w:t xml:space="preserve">The words you choose and the sentence structures you use are behavioral signals.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Processing Fluency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Silence as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2"/>
          <w:szCs w:val="22"/>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Declaration vs. Invitation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Email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34</w:t>
      </w:r>
    </w:p>
    <w:p>
      <w:pPr>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18"/>
          <w:szCs w:val="18"/>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2"/>
          <w:szCs w:val="22"/>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2"/>
          <w:szCs w:val="22"/>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Baseline Problem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Third Person to First Person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2"/>
          <w:szCs w:val="22"/>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2"/>
          <w:szCs w:val="22"/>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Right Question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35</w:t>
      </w:r>
    </w:p>
    <w:p>
      <w:pPr>
        <w:pStyle w:val="Heading1"/>
        <w:spacing w:before="0" w:after="8" w:line="400"/>
        <w:jc w:val="left"/>
      </w:pPr>
      <w:r>
        <w:rPr>
          <w:rFonts w:ascii="Garamond" w:cs="Garamond" w:eastAsia="Garamond" w:hAnsi="Garamond"/>
          <w:b/>
          <w:bCs/>
          <w:color w:val="0A1628"/>
          <w:sz w:val="30"/>
          <w:szCs w:val="30"/>
        </w:rPr>
        <w:t xml:space="preserve">The Decode Behavior Framework</w:t>
      </w:r>
    </w:p>
    <w:p>
      <w:pPr>
        <w:spacing w:before="4" w:after="280" w:line="280"/>
        <w:jc w:val="left"/>
      </w:pPr>
      <w:r>
        <w:rPr>
          <w:rFonts w:ascii="Garamond" w:cs="Garamond" w:eastAsia="Garamond" w:hAnsi="Garamond"/>
          <w:color w:val="4A4A4A"/>
          <w:sz w:val="18"/>
          <w:szCs w:val="18"/>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Framework in One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2"/>
          <w:szCs w:val="22"/>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Peer vs. Vendor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2"/>
          <w:szCs w:val="22"/>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Future Vision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2"/>
          <w:szCs w:val="22"/>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2"/>
          <w:szCs w:val="22"/>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2"/>
          <w:szCs w:val="22"/>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That Converts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Ask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2"/>
          <w:szCs w:val="22"/>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2"/>
          <w:szCs w:val="22"/>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2"/>
          <w:szCs w:val="22"/>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2"/>
          <w:szCs w:val="22"/>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2"/>
          <w:szCs w:val="22"/>
        </w:rPr>
        <w:t xml:space="preserve">Honor it. Always.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19"/>
          <w:szCs w:val="19"/>
        </w:rPr>
        <w:t xml:space="preserve">Every audience gives you something irreplaceable: their attention, their trust,</w:t>
      </w:r>
    </w:p>
    <w:p>
      <w:pPr>
        <w:spacing w:before="0" w:after="4" w:line="280"/>
        <w:jc w:val="center"/>
      </w:pPr>
      <w:r>
        <w:rPr>
          <w:rFonts w:ascii="Garamond" w:cs="Garamond" w:eastAsia="Garamond" w:hAnsi="Garamond"/>
          <w:color w:val="4A4A4A"/>
          <w:sz w:val="19"/>
          <w:szCs w:val="19"/>
        </w:rPr>
        <w:t xml:space="preserve">and for a few minutes, their willingness to believe the world is stranger and</w:t>
      </w:r>
    </w:p>
    <w:p>
      <w:pPr>
        <w:spacing w:before="0" w:after="80" w:line="280"/>
        <w:jc w:val="center"/>
      </w:pPr>
      <w:r>
        <w:rPr>
          <w:rFonts w:ascii="Garamond" w:cs="Garamond" w:eastAsia="Garamond" w:hAnsi="Garamond"/>
          <w:color w:val="4A4A4A"/>
          <w:sz w:val="19"/>
          <w:szCs w:val="19"/>
        </w:rPr>
        <w:t xml:space="preserve">more beautiful than they thought. That is not a small thing. Honor it. Always.</w:t>
      </w:r>
    </w:p>
    <w:p>
      <w:pPr>
        <w:spacing w:before="0" w:after="0" w:line="280"/>
        <w:jc w:val="center"/>
      </w:pPr>
      <w:r>
        <w:rPr>
          <w:rFonts w:ascii="Garamond" w:cs="Garamond" w:eastAsia="Garamond" w:hAnsi="Garamond"/>
          <w:color w:val="4A4A4A"/>
          <w:sz w:val="15"/>
          <w:szCs w:val="15"/>
        </w:rPr>
        <w:t xml:space="preserve">decodebehavior.co · Washington D.C.</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200" w:after="4" w:line="280"/>
        <w:jc w:val="center"/>
      </w:pPr>
      <w:r>
        <w:rPr>
          <w:rFonts w:ascii="Garamond" w:cs="Garamond" w:eastAsia="Garamond" w:hAnsi="Garamond"/>
          <w:color w:val="0A1628"/>
          <w:sz w:val="22"/>
          <w:szCs w:val="22"/>
        </w:rPr>
        <w:t xml:space="preserve">"The mind does not experience what happens.</w:t>
      </w:r>
    </w:p>
    <w:p>
      <w:pPr>
        <w:spacing w:before="0" w:after="20" w:line="280"/>
        <w:jc w:val="center"/>
      </w:pPr>
      <w:r>
        <w:rPr>
          <w:rFonts w:ascii="Garamond" w:cs="Garamond" w:eastAsia="Garamond" w:hAnsi="Garamond"/>
          <w:color w:val="0A1628"/>
          <w:sz w:val="22"/>
          <w:szCs w:val="22"/>
        </w:rPr>
        <w:t xml:space="preserve">It experiences what it predicts will happen."</w:t>
      </w:r>
    </w:p>
    <w:p>
      <w:pPr>
        <w:spacing w:before="0" w:after="0" w:line="280"/>
        <w:jc w:val="center"/>
      </w:pPr>
      <w:r>
        <w:rPr>
          <w:rFonts w:ascii="Garamond" w:cs="Garamond" w:eastAsia="Garamond" w:hAnsi="Garamond"/>
          <w:color w:val="4A4A4A"/>
          <w:sz w:val="15"/>
          <w:szCs w:val="15"/>
        </w:rPr>
        <w:t xml:space="preserve">— Chris Michael · Decode Behavior</w:t>
      </w:r>
    </w:p>
    <w:p>
      <w:pPr>
        <w:spacing w:before="280" w:after="280" w:line="280"/>
        <w:jc w:val="center"/>
      </w:pPr>
      <w:r>
        <w:rPr>
          <w:rFonts w:ascii="Garamond" w:cs="Garamond" w:eastAsia="Garamond" w:hAnsi="Garamond"/>
          <w:color w:val="CCCCCC"/>
          <w:sz w:val="18"/>
          <w:szCs w:val="18"/>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A mentalist operates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Style w:val="Heading2"/>
        <w:spacing w:before="480" w:after="20" w:line="280"/>
        <w:jc w:val="left"/>
      </w:pPr>
      <w:r>
        <w:rPr>
          <w:b/>
          <w:bCs/>
        </w:rPr>
        <w:t xml:space="preserve">CHAPTER 36</w:t>
      </w:r>
    </w:p>
    <w:p>
      <w:pPr/>
      <w:r>
        <w:rPr>
          <w:b/>
          <w:bCs/>
        </w:rPr>
        <w:t xml:space="preserve">The FATE Model for Performers</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Style w:val="Heading2"/>
        <w:spacing w:before="480" w:after="20" w:line="280"/>
        <w:jc w:val="left"/>
      </w:pPr>
      <w:r>
        <w:rPr>
          <w:b/>
          <w:bCs/>
        </w:rPr>
        <w:t xml:space="preserve">CHAPTER 38</w:t>
      </w:r>
    </w:p>
    <w:p>
      <w:pPr/>
      <w:r>
        <w:t xml:space="preserve">The Behavioral Table of Elements</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Behavioral Table of Elements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the mentalist,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Style w:val="Heading2"/>
        <w:spacing w:before="480" w:after="20" w:line="280"/>
        <w:jc w:val="left"/>
      </w:pPr>
      <w:r>
        <w:rPr>
          <w:b/>
          <w:bCs/>
        </w:rPr>
        <w:t xml:space="preserve">CHAPTER 39</w:t>
      </w:r>
    </w:p>
    <w:p>
      <w:pPr/>
      <w:r>
        <w:t xml:space="preserve">The Influence Equation</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The Influence Equation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Style w:val="Heading2"/>
        <w:spacing w:before="480" w:after="20" w:line="280"/>
        <w:jc w:val="left"/>
      </w:pPr>
      <w:r>
        <w:rPr>
          <w:b/>
          <w:bCs/>
        </w:rPr>
        <w:t xml:space="preserve">CHAPTER 40</w:t>
      </w:r>
    </w:p>
    <w:p>
      <w:pPr/>
      <w:r>
        <w:t xml:space="preserve">The DECODE Framework for Live Performance</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18"/>
          <w:szCs w:val="18"/>
        </w:rPr>
        <w:t xml:space="preserve">Scientific, Behavioral, and Performance Terms</w:t>
      </w:r>
    </w:p>
    <w:p>
      <w:pPr>
        <w:spacing w:before="140" w:after="140" w:line="280"/>
        <w:jc w:val="left"/>
      </w:pPr>
      <w:r>
        <w:rPr>
          <w:rFonts w:ascii="Garamond" w:cs="Garamond" w:eastAsia="Garamond" w:hAnsi="Garamond"/>
          <w:color w:val="111111"/>
          <w:sz w:val="22"/>
          <w:szCs w:val="22"/>
        </w:rPr>
        <w:t xml:space="preserve">Superscript numbers in the text (e.g. amygdala²) refer to entries in this glossary.</w:t>
      </w:r>
    </w:p>
    <w:p>
      <w:pPr>
        <w:spacing w:before="120" w:after="80"/>
      </w:pPr>
      <w:r>
        <w:rPr>
          <w:rFonts w:ascii="Calibri" w:cs="Calibri" w:eastAsia="Calibri" w:hAnsi="Calibri"/>
          <w:b/>
          <w:bCs/>
          <w:color w:val="0A1628"/>
          <w:sz w:val="19"/>
          <w:szCs w:val="19"/>
        </w:rPr>
        <w:t xml:space="preserve">1.  Absorption  A stable tendency to become deeply and genuinely immersed in sensory or imaginative experience. The primary trait predicting hypnotic responsiveness, not gullibility or compliance.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2.  Amygdala</w:t>
      </w:r>
      <w:r>
        <w:rPr>
          <w:rFonts w:ascii="Calibri" w:cs="Calibri" w:eastAsia="Calibri" w:hAnsi="Calibri"/>
          <w:color w:val="333333"/>
          <w:sz w:val="18"/>
          <w:szCs w:val="18"/>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Calibri" w:cs="Calibri" w:eastAsia="Calibri" w:hAnsi="Calibri"/>
          <w:b/>
          <w:bCs/>
          <w:color w:val="0A1628"/>
          <w:sz w:val="19"/>
          <w:szCs w:val="19"/>
        </w:rPr>
        <w:t xml:space="preserve">3.  Anterior Cingulate Cortex (ACC)</w:t>
      </w:r>
      <w:r>
        <w:rPr>
          <w:rFonts w:ascii="Calibri" w:cs="Calibri" w:eastAsia="Calibri" w:hAnsi="Calibri"/>
          <w:color w:val="333333"/>
          <w:sz w:val="18"/>
          <w:szCs w:val="18"/>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Calibri" w:cs="Calibri" w:eastAsia="Calibri" w:hAnsi="Calibri"/>
          <w:b/>
          <w:bCs/>
          <w:color w:val="0A1628"/>
          <w:sz w:val="19"/>
          <w:szCs w:val="19"/>
        </w:rPr>
        <w:t xml:space="preserve">4.  Barnum Effect / Forer Effect</w:t>
      </w:r>
      <w:r>
        <w:rPr>
          <w:rFonts w:ascii="Calibri" w:cs="Calibri" w:eastAsia="Calibri" w:hAnsi="Calibri"/>
          <w:color w:val="333333"/>
          <w:sz w:val="18"/>
          <w:szCs w:val="18"/>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Calibri" w:cs="Calibri" w:eastAsia="Calibri" w:hAnsi="Calibri"/>
          <w:b/>
          <w:bCs/>
          <w:color w:val="0A1628"/>
          <w:sz w:val="19"/>
          <w:szCs w:val="19"/>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6.  Calibration</w:t>
      </w:r>
      <w:r>
        <w:rPr>
          <w:rFonts w:ascii="Calibri" w:cs="Calibri" w:eastAsia="Calibri" w:hAnsi="Calibri"/>
          <w:color w:val="333333"/>
          <w:sz w:val="18"/>
          <w:szCs w:val="18"/>
        </w:rPr>
        <w:t xml:space="preserve">  The process of establishing what is normal for a specific person before interpreting shifts in their behavior. The foundation of all behavioral profiling. Cannot be shortcut.</w:t>
      </w:r>
    </w:p>
    <w:p>
      <w:pPr>
        <w:spacing w:before="120" w:after="80"/>
      </w:pPr>
      <w:r>
        <w:rPr>
          <w:rFonts w:ascii="Calibri" w:cs="Calibri" w:eastAsia="Calibri" w:hAnsi="Calibri"/>
          <w:b/>
          <w:bCs/>
          <w:color w:val="0A1628"/>
          <w:sz w:val="19"/>
          <w:szCs w:val="19"/>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8.  Compliance</w:t>
      </w:r>
      <w:r>
        <w:rPr>
          <w:rFonts w:ascii="Calibri" w:cs="Calibri" w:eastAsia="Calibri" w:hAnsi="Calibri"/>
          <w:color w:val="333333"/>
          <w:sz w:val="18"/>
          <w:szCs w:val="18"/>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Calibri" w:cs="Calibri" w:eastAsia="Calibri" w:hAnsi="Calibri"/>
          <w:b/>
          <w:bCs/>
          <w:color w:val="0A1628"/>
          <w:sz w:val="19"/>
          <w:szCs w:val="19"/>
        </w:rPr>
        <w:t xml:space="preserve">9.  Cortisol</w:t>
      </w:r>
      <w:r>
        <w:rPr>
          <w:rFonts w:ascii="Calibri" w:cs="Calibri" w:eastAsia="Calibri" w:hAnsi="Calibri"/>
          <w:color w:val="333333"/>
          <w:sz w:val="18"/>
          <w:szCs w:val="18"/>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Calibri" w:cs="Calibri" w:eastAsia="Calibri" w:hAnsi="Calibri"/>
          <w:b/>
          <w:bCs/>
          <w:color w:val="0A1628"/>
          <w:sz w:val="19"/>
          <w:szCs w:val="19"/>
        </w:rPr>
        <w:t xml:space="preserve">10.  Inattentional Blindness</w:t>
      </w:r>
      <w:r>
        <w:rPr>
          <w:rFonts w:ascii="Calibri" w:cs="Calibri" w:eastAsia="Calibri" w:hAnsi="Calibri"/>
          <w:color w:val="333333"/>
          <w:sz w:val="18"/>
          <w:szCs w:val="18"/>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Calibri" w:cs="Calibri" w:eastAsia="Calibri" w:hAnsi="Calibri"/>
          <w:b/>
          <w:bCs/>
          <w:color w:val="0A1628"/>
          <w:sz w:val="19"/>
          <w:szCs w:val="19"/>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14.  Thin Slicing</w:t>
      </w:r>
      <w:r>
        <w:rPr>
          <w:rFonts w:ascii="Calibri" w:cs="Calibri" w:eastAsia="Calibri" w:hAnsi="Calibri"/>
          <w:color w:val="333333"/>
          <w:sz w:val="18"/>
          <w:szCs w:val="18"/>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Calibri" w:cs="Calibri" w:eastAsia="Calibri" w:hAnsi="Calibri"/>
          <w:b/>
          <w:bCs/>
          <w:color w:val="0A1628"/>
          <w:sz w:val="19"/>
          <w:szCs w:val="19"/>
        </w:rPr>
        <w:t xml:space="preserve">15.  Zeigarnik Effect</w:t>
      </w:r>
      <w:r>
        <w:rPr>
          <w:rFonts w:ascii="Calibri" w:cs="Calibri" w:eastAsia="Calibri" w:hAnsi="Calibri"/>
          <w:color w:val="333333"/>
          <w:sz w:val="18"/>
          <w:szCs w:val="18"/>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12"/>
          <w:szCs w:val="12"/>
        </w:rPr>
        <w:t xml:space="preserve"/>
      </w:r>
    </w:p>
    <w:p>
      <w:pPr>
        <w:spacing w:before="120" w:after="80"/>
      </w:pPr>
      <w:r>
        <w:rPr>
          <w:rFonts w:ascii="Calibri" w:cs="Calibri" w:eastAsia="Calibri" w:hAnsi="Calibri"/>
          <w:b/>
          <w:bCs/>
          <w:color w:val="0A1628"/>
          <w:sz w:val="19"/>
          <w:szCs w:val="19"/>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Calibri" w:cs="Calibri" w:eastAsia="Calibri" w:hAnsi="Calibri"/>
          <w:color w:val="333333"/>
          <w:sz w:val="18"/>
          <w:szCs w:val="18"/>
        </w:rPr>
        <w:t xml:space="preserve"/>
      </w:r>
    </w:p>
    <w:p>
      <w:pPr>
        <w:spacing w:before="280" w:after="280" w:line="280"/>
        <w:jc w:val="center"/>
      </w:pPr>
      <w:r>
        <w:rPr>
          <w:rFonts w:ascii="Garamond" w:cs="Garamond" w:eastAsia="Garamond" w:hAnsi="Garamond"/>
          <w:color w:val="CCCCCC"/>
          <w:sz w:val="18"/>
          <w:szCs w:val="18"/>
        </w:rPr>
        <w:t xml:space="preserve">· · ·</w:t>
      </w:r>
    </w:p>
    <w:p>
      <w:pPr>
        <w:spacing w:before="200" w:after="20" w:line="280"/>
        <w:jc w:val="left"/>
      </w:pPr>
      <w:r>
        <w:rPr>
          <w:rFonts w:ascii="Calibri" w:cs="Calibri" w:eastAsia="Calibri" w:hAnsi="Calibri"/>
          <w:b/>
          <w:bCs/>
          <w:color w:val="C9A84C"/>
          <w:sz w:val="22"/>
          <w:szCs w:val="22"/>
        </w:rPr>
        <w:t xml:space="preserve">APPENDIX A1</w:t>
      </w:r>
    </w:p>
    <w:p>
      <w:pPr>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18"/>
          <w:szCs w:val="18"/>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2"/>
          <w:szCs w:val="22"/>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2"/>
          <w:szCs w:val="22"/>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1 — NLP Eye Movement Direction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2. Smooth Lower Eyelids as Confidence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3. Deep Under-Eye Wrinkles as Chronic Worry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4. Hair Part Direction as Personality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2"/>
          <w:szCs w:val="22"/>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 Note on What Gets Better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18"/>
          <w:szCs w:val="18"/>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Style w:val="Heading1"/>
        <w:spacing w:before="200" w:after="80" w:line="280"/>
        <w:jc w:val="left"/>
      </w:pPr>
      <w:r>
        <w:rPr>
          <w:rFonts w:ascii="Garamond" w:cs="Garamond" w:eastAsia="Garamond" w:hAnsi="Garamond"/>
          <w:b/>
          <w:bCs/>
          <w:color w:val="0A1628"/>
          <w:sz w:val="26"/>
          <w:szCs w:val="26"/>
        </w:rPr>
        <w:t xml:space="preserve">ABOUT THE AUTHOR</w:t>
      </w:r>
    </w:p>
    <w:p>
      <w:pPr>
        <w:spacing w:before="140" w:after="140" w:line="280"/>
        <w:jc w:val="left"/>
      </w:pPr>
      <w:r>
        <w:rPr>
          <w:rFonts w:ascii="Garamond" w:cs="Garamond" w:eastAsia="Garamond" w:hAnsi="Garamond"/>
          <w:color w:val="111111"/>
          <w:sz w:val="22"/>
          <w:szCs w:val="22"/>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2"/>
          <w:szCs w:val="22"/>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2"/>
          <w:szCs w:val="22"/>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2"/>
          <w:szCs w:val="22"/>
        </w:rPr>
        <w:t xml:space="preserve">He performs professionally as a mentalist at @chrismikemagic.</w:t>
      </w:r>
    </w:p>
    <w:p>
      <w:pPr>
        <w:spacing w:before="40" w:after="40" w:line="280"/>
        <w:jc w:val="left"/>
      </w:pPr>
      <w:r>
        <w:rPr>
          <w:rFonts w:ascii="Garamond" w:cs="Garamond" w:eastAsia="Garamond" w:hAnsi="Garamond"/>
          <w:color w:val="111111"/>
          <w:sz w:val="12"/>
          <w:szCs w:val="12"/>
        </w:rPr>
        <w:t xml:space="preserve"/>
      </w:r>
    </w:p>
    <w:p>
      <w:pPr>
        <w:spacing w:before="60" w:after="8" w:line="280"/>
        <w:jc w:val="left"/>
      </w:pPr>
      <w:r>
        <w:rPr>
          <w:rFonts w:ascii="Garamond" w:cs="Garamond" w:eastAsia="Garamond" w:hAnsi="Garamond"/>
          <w:b/>
          <w:bCs/>
          <w:color w:val="0A1628"/>
          <w:sz w:val="18"/>
          <w:szCs w:val="18"/>
        </w:rPr>
        <w:t xml:space="preserve">decodebehavior.co</w:t>
      </w:r>
    </w:p>
    <w:p>
      <w:pPr>
        <w:spacing w:before="0" w:after="60" w:line="280"/>
        <w:jc w:val="left"/>
      </w:pPr>
      <w:r>
        <w:rPr>
          <w:rFonts w:ascii="Garamond" w:cs="Garamond" w:eastAsia="Garamond" w:hAnsi="Garamond"/>
          <w:color w:val="4A4A4A"/>
          <w:sz w:val="18"/>
          <w:szCs w:val="18"/>
        </w:rPr>
        <w:t xml:space="preserve">behaviorinstitute.org</w:t>
      </w:r>
    </w:p>
    <w:p>
      <w:pPr>
        <w:spacing w:before="280" w:after="280" w:line="280"/>
        <w:jc w:val="center"/>
      </w:pPr>
      <w:r>
        <w:rPr>
          <w:rFonts w:ascii="Garamond" w:cs="Garamond" w:eastAsia="Garamond" w:hAnsi="Garamond"/>
          <w:color w:val="CCCCCC"/>
          <w:sz w:val="18"/>
          <w:szCs w:val="18"/>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Liberation Serif" w:cs="Liberation Serif" w:eastAsia="Garamond" w:hAnsi="Liberation Serif"/>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Liberation Sans" w:hAnsi="Liberation Sans" w:cs="Liberation Sans"/>
    </w:rPr>
  </w:style>
  <w:style w:type="paragraph" w:styleId="Heading2">
    <w:name w:val="Heading 2"/>
    <w:basedOn w:val="Normal"/>
    <w:next w:val="Normal"/>
    <w:qFormat/>
    <w:rPr>
      <w:color w:val="1A2744"/>
      <w:sz w:val="26"/>
      <w:szCs w:val="26"/>
      <w:rFonts w:ascii="Liberation Sans" w:hAnsi="Liberation Sans" w:cs="Liberation Sans"/>
    </w:rPr>
  </w:style>
  <w:style w:type="paragraph" w:styleId="Heading3">
    <w:name w:val="Heading 3"/>
    <w:basedOn w:val="Normal"/>
    <w:next w:val="Normal"/>
    <w:qFormat/>
    <w:rPr>
      <w:color w:val="1A2744"/>
      <w:sz w:val="24"/>
      <w:szCs w:val="24"/>
      <w:rFonts w:ascii="Liberation Sans" w:hAnsi="Liberation Sans" w:cs="Liberation Sans"/>
    </w:rPr>
  </w:style>
  <w:style w:type="paragraph" w:styleId="Heading4">
    <w:name w:val="Heading 4"/>
    <w:basedOn w:val="Normal"/>
    <w:next w:val="Normal"/>
    <w:qFormat/>
    <w:rPr>
      <w:i/>
      <w:iCs/>
      <w:color w:val="1A2744"/>
      <w:rFonts w:ascii="Liberation Sans" w:hAnsi="Liberation Sans" w:cs="Liberation Sans"/>
    </w:rPr>
  </w:style>
  <w:style w:type="paragraph" w:styleId="Heading5">
    <w:name w:val="Heading 5"/>
    <w:basedOn w:val="Normal"/>
    <w:next w:val="Normal"/>
    <w:qFormat/>
    <w:rPr>
      <w:color w:val="1A2744"/>
      <w:rFonts w:ascii="Liberation Sans" w:hAnsi="Liberation Sans" w:cs="Liberation Sans"/>
    </w:rPr>
  </w:style>
  <w:style w:type="paragraph" w:styleId="Heading6">
    <w:name w:val="Heading 6"/>
    <w:basedOn w:val="Normal"/>
    <w:next w:val="Normal"/>
    <w:qFormat/>
    <w:rPr>
      <w:color w:val="1A2744"/>
      <w:rFonts w:ascii="Liberation Sans" w:hAnsi="Liberation Sans"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Liberation Sans" w:cs="Liberation Sans" w:eastAsia="Garamond" w:hAnsi="Liberation Sans"/>
      <w:b/>
      <w:bCs/>
      <w:color w:val="1A2744"/>
      <w:sz w:val="32"/>
      <w:szCs w:val="32"/>
    </w:rPr>
  </w:style>
  <w:style w:type="paragraph" w:styleId="Heading2">
    <w:name w:val="Heading 2"/>
    <w:basedOn w:val="Normal"/>
    <w:next w:val="Normal"/>
    <w:pPr>
      <w:spacing w:before="360" w:after="80"/>
    </w:pPr>
    <w:rPr>
      <w:rFonts w:ascii="Liberation Sans" w:cs="Liberation Sans" w:eastAsia="Garamond" w:hAnsi="Liberation Sans"/>
      <w:b/>
      <w:bCs/>
      <w:color w:val="1A2744"/>
      <w:sz w:val="26"/>
      <w:szCs w:val="26"/>
    </w:rPr>
  </w:style>
  <w:style w:type="paragraph" w:styleId="Heading3">
    <w:name w:val="Heading 3"/>
    <w:basedOn w:val="Normal"/>
    <w:next w:val="Normal"/>
    <w:pPr>
      <w:spacing w:before="280" w:after="60"/>
    </w:pPr>
    <w:rPr>
      <w:rFonts w:ascii="Liberation Sans" w:cs="Liberation Sans" w:eastAsia="Garamond" w:hAnsi="Liberation Sans"/>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