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Transport &amp; Logistics</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Transport &amp; logistics — sector expenses</w:t>
      </w:r>
    </w:p>
    <w:p>
      <w:r>
        <w:t xml:space="preserve">Couriers, taxi and private hire drivers, and self-employed haulage operators have access to a specific set of deductions. The vehicle expense decision — mileage rate vs actual costs — is often the most valuable choice to get right.</w:t>
      </w:r>
    </w:p>
    <w:p/>
    <w:p>
      <w:pPr>
        <w:pStyle w:val="Heading2"/>
      </w:pPr>
      <w:r>
        <w:t xml:space="preserve">Mileage rate vs actual vehicle costs — making the right call</w:t>
      </w:r>
    </w:p>
    <w:p>
      <w:r>
        <w:t xml:space="preserve">The HMRC Approved Mileage rate (55p/mile first 10,000 miles, 25p/mile after — HMRC Agent Update 143, April 2026) is an all-in rate covering fuel, insurance, servicing and depreciation. Once chosen for a vehicle, you must stay on it for the life of that vehicle. For high-mileage operators doing 40,000+ miles/year in a diesel van, actual costs often exceed the mileage rate after the first 10,000 miles — particularly when a van qualifies for 100% Annual Investment Allowance. Tolls, the Congestion Charge, the ULEZ charge, and Dart Charge are claimable separately on top of the mileage rate. Note: black cab (Hackney carriage) drivers cannot use the mileage rate — actual costs only (BIM75005).</w:t>
      </w:r>
    </w:p>
    <w:p/>
    <w:p>
      <w:pPr>
        <w:pStyle w:val="Heading2"/>
      </w:pPr>
      <w:r>
        <w:t xml:space="preserve">Vans and the Annual Investment Allowance</w:t>
      </w:r>
    </w:p>
    <w:p>
      <w:r>
        <w:t xml:space="preserve">Unlike cars, vans (and lorries, trucks) qualify for the Annual Investment Allowance — currently £1 million per year. This means you can write off the entire purchase cost of a van against taxable profits in the year of purchase, rather than depreciating it over several years. Cars are excluded from AIA and go into the Writing Down Allowance pool (18%/year for most cars). If you buy a van with some private use, the AIA claim is reduced proportionally for that private element.</w:t>
      </w:r>
    </w:p>
    <w:p/>
    <w:p>
      <w:pPr>
        <w:pStyle w:val="Heading2"/>
      </w:pPr>
      <w:r>
        <w:t xml:space="preserve">Licences and statutory qualifications</w:t>
      </w:r>
    </w:p>
    <w:p>
      <w:r>
        <w:t xml:space="preserve">PCO licence (Uber/minicab/PHV): the application and annual renewal fee is deductible — the licence is a statutory requirement to carry on the trade with no personal benefit whatsoever. HGV/LGV licence fees and the mandatory medical examination: deductible (EIM66190 — the principle applies equally to self-employed drivers). Driver CPC renewal training (35 hours every 5 years): deductible as training that maintains the right to continue the existing trade (BIM42526). Digital tachograph card (~£38, renewed every 5 years): deductible (EIM66195).</w:t>
      </w:r>
    </w:p>
    <w:p/>
    <w:p>
      <w:pPr>
        <w:pStyle w:val="Heading2"/>
      </w:pPr>
      <w:r>
        <w:t xml:space="preserve">Hire and reward insurance and specialist cover</w:t>
      </w:r>
    </w:p>
    <w:p>
      <w:r>
        <w:t xml:space="preserve">Hire and reward insurance (required to legally carry passengers or goods for payment), goods-in-transit insurance, and fleet/courier-specific policies are 100% deductible — they have no personal use element at all. Standard motor insurance for a vehicle with mixed use is deductible on a business-use proportion basis. Breakdown cover and public liability insurance for your transport business: both deductible in full.</w:t>
      </w:r>
    </w:p>
    <w:p/>
    <w:p>
      <w:pPr>
        <w:pStyle w:val="Heading2"/>
      </w:pPr>
      <w:r>
        <w:t xml:space="preserve">Overnight subsistence for long-haul drivers</w:t>
      </w:r>
    </w:p>
    <w:p>
      <w:r>
        <w:t xml:space="preserve">Self-employed lorry drivers who spend nights away from home on business can claim overnight subsistence (BIM37670). The £34.90/night benchmark (£26.20 in a sleeper cab) is the HMRC-agreed rate used by employers — self-employed drivers cannot apply it as a guaranteed safe harbour, but HMRC typically accepts it as a reasonable overnight claim. Keep receipts or a driver's log to support any claim. Meals taken on overnight trips are deductible; general meals during the working day for itinerant traders (BIM47705) may also be allowed where the trade is truly itinerant in nature.</w:t>
      </w:r>
    </w:p>
    <w:p/>
    <w:p>
      <w:pPr>
        <w:pStyle w:val="Heading2"/>
      </w:pPr>
      <w:r>
        <w:t xml:space="preserve">Protective clothing and uniform</w:t>
      </w:r>
    </w:p>
    <w:p>
      <w:r>
        <w:t xml:space="preserve">Hi-vis jackets, steel-toecap boots, gloves, and waterproof outerwear required for the work are deductible as protective clothing (BIM37910). Branded company uniform (DPD, Evri or similar branded jacket): deductible as a uniform. Ordinary warm clothes or trainers worn while driving: not deductible — clothing is only allowable where it is genuinely protective or a recognisable uniform not suitable for everyday wear. Laundry costs for qualifying protective/uniform items: also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2026-06-10T14:23:36.045Z</dcterms:created>
  <dcterms:modified xsi:type="dcterms:W3CDTF">2026-06-10T14:23:36.045Z</dcterms:modified>
</cp:coreProperties>
</file>

<file path=docProps/custom.xml><?xml version="1.0" encoding="utf-8"?>
<Properties xmlns="http://schemas.openxmlformats.org/officeDocument/2006/custom-properties" xmlns:vt="http://schemas.openxmlformats.org/officeDocument/2006/docPropsVTypes"/>
</file>