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Workwell · Limited Company · PSC · Transport &amp; Logistics</w:t>
      </w:r>
    </w:p>
    <w:p/>
    <w:p>
      <w:r>
        <w:t xml:space="preserve">This guide sets out the expenses Mitchell Consulting Ltd can put through the books — reducing the company's taxable profit and, by extension, its Corporation Tax bill. Expenses must be 'wholly and exclusively for the purposes of the company's trade'. Some of the biggest savings — home office, mileage, pension contributions, trivial benefits — are the ones clients most often miss.</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(sole traders only),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Ltd company directors — the licence-to-occupy route</w:t>
      </w:r>
    </w:p>
    <w:p>
      <w:r>
        <w:t xml:space="preserve">Your company can pay you rent (a 'licence to occupy') for using part of your home as its office. This reduces the company's taxable profit while the income in your hands is typically offset by the actual home costs attributable to that use. It requires a simple written agreement and must reflect a commercial rate for the space used. Ask your accountant to set this up properly — the tax saving can be meaningful, but it needs documenting.</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04 — Limited company extras</w:t>
      </w:r>
    </w:p>
    <w:p>
      <w:pPr>
        <w:pStyle w:val="Heading2"/>
      </w:pPr>
      <w:r>
        <w:t xml:space="preserve">Pension contributions — the most tax-efficient extraction</w:t>
      </w:r>
    </w:p>
    <w:p>
      <w:r>
        <w:t xml:space="preserve">When your company pays directly into your personal pension, it is a deductible company expense — reducing Corporation Tax. It does not appear on your P11D, so there is no PAYE or NI to pay on it. The annual allowance is currently £60,000 (or 100% of earnings, whichever is lower). Making a contribution before your year-end reduces this year's CT bill. Ask us to run the numbers before year-end.</w:t>
      </w:r>
    </w:p>
    <w:p/>
    <w:p>
      <w:pPr>
        <w:pStyle w:val="Heading2"/>
      </w:pPr>
      <w:r>
        <w:t xml:space="preserve">Trivial benefits — £300/year of tax-free perks for directors</w:t>
      </w:r>
    </w:p>
    <w:p>
      <w:r>
        <w:t xml:space="preserve">You can give yourself non-cash gifts from the company up to £50 each, with a maximum of £300/year for directors of close companies (which almost all small Ltd companies are). Gifts must not be cash or a cash voucher, must not reward performance, and must not be in your contract. Use it for: birthday gifts, a restaurant meal, a bottle of wine, a book, a store voucher — anything under £50.</w:t>
      </w:r>
    </w:p>
    <w:p/>
    <w:p>
      <w:pPr>
        <w:pStyle w:val="Heading2"/>
      </w:pPr>
      <w:r>
        <w:t xml:space="preserve">Staff entertaining at £150/head/year</w:t>
      </w:r>
    </w:p>
    <w:p>
      <w:r>
        <w:t xml:space="preserve">A Christmas party, summer event, or similar annual function open to all employees is allowable up to £150/head/year. Below that limit, it is both Corporation Tax deductible AND exempt from PAYE and NI for attendees. Note: if the event is above £150/head, the whole amount becomes taxable — not just the excess.</w:t>
      </w:r>
    </w:p>
    <w:p/>
    <w:p>
      <w:pPr>
        <w:pStyle w:val="Heading2"/>
      </w:pPr>
      <w:r>
        <w:t xml:space="preserve">Annual Investment Allowance — 100% relief on capital purchases</w:t>
      </w:r>
    </w:p>
    <w:p>
      <w:r>
        <w:t xml:space="preserve">Equipment, machinery, computers, and office furniture bought for business use qualify for the Annual Investment Allowance — currently £1 million per year. This gives 100% tax relief in the year of purchase rather than depreciating over several years. Timing a major purchase just before year-end can materially reduce your CT bill.</w:t>
      </w:r>
    </w:p>
    <w:p/>
    <w:p>
      <w:pPr>
        <w:pStyle w:val="Heading2"/>
      </w:pPr>
      <w:r>
        <w:t xml:space="preserve">Pre-trading expenses — reclaim up to seven years back</w:t>
      </w:r>
    </w:p>
    <w:p>
      <w:r>
        <w:t xml:space="preserve">Costs incurred up to seven years before the company started trading can be treated as if incurred on the first day of trading. Software licences, a laptop bought six months before incorporation, legal advice on setting up the company — all claimable. Keep the receipts and tell us what you spent.</w:t>
      </w:r>
    </w:p>
    <w:p/>
    <w:p>
      <w:pPr>
        <w:pStyle w:val="Heading2"/>
      </w:pPr>
      <w:r>
        <w:t xml:space="preserve">Cycle to work scheme</w:t>
      </w:r>
    </w:p>
    <w:p>
      <w:r>
        <w:t xml:space="preserve">The company purchases a bicycle (and safety equipment) which you use for commuting or business travel. Because the asset belongs to the company, there is no benefit-in-kind if it is used primarily for business journeys. Employees can use salary sacrifice to benefit from a similar arrangement with zero NI cost.</w:t>
      </w:r>
    </w:p>
    <w:p/>
    <w:p>
      <w:pPr>
        <w:pStyle w:val="Heading1"/>
      </w:pPr>
      <w:r>
        <w:t xml:space="preserve">05 — Contractor focus (PSC)</w:t>
      </w:r>
    </w:p>
    <w:p>
      <w:pPr>
        <w:pStyle w:val="Heading2"/>
      </w:pPr>
      <w:r>
        <w:t xml:space="preserve">The 24-month rule — your most important read</w:t>
      </w:r>
    </w:p>
    <w:p>
      <w:r>
        <w:t xml:space="preserve">A workplace is "temporary" if you do not expect to work there for more than 24 months and you do not actually work there for more than 24 months continuously. Once a workplace becomes "permanent" in HMRC's eyes — because you have been there, or expect to be there, for 24+ months — travel to it becomes commuting. You cannot then deduct it. Critically, if you sign a 2-year contract from day one, the workplace was never temporary — and no travel has ever been claimable.</w:t>
      </w:r>
    </w:p>
    <w:p/>
    <w:p>
      <w:pPr>
        <w:pStyle w:val="Heading2"/>
      </w:pPr>
      <w:r>
        <w:t xml:space="preserve">How the 24-month clock works in practice</w:t>
      </w:r>
    </w:p>
    <w:p>
      <w:r>
        <w:t xml:space="preserve">Renewals at the same physical site do not reset the clock — if you've worked at Client X's Canary Wharf office for 20 months and renew for another year, you hit the limit at month 24. A genuine break of 6+ months (where you work elsewhere) resets it. Working at different sites for the same client may each be a different "workplace" — check this with your accountant when a new contract comes in. Working from home: if the company operates from your home address, any travel to a client site is business travel — there is no "permanent" client workplace to trigger the rule.</w:t>
      </w:r>
    </w:p>
    <w:p/>
    <w:p>
      <w:pPr>
        <w:pStyle w:val="Heading2"/>
      </w:pPr>
      <w:r>
        <w:t xml:space="preserve">Inside IR35 — expenses change dramatically</w:t>
      </w:r>
    </w:p>
    <w:p>
      <w:r>
        <w:t xml:space="preserve">If a contract is inside IR35, HMRC treats the income as employment income. Travel and subsistence expenses that would normally be deductible are not — HMRC treats your travel to the client as commuting. You can still claim: business insurance premiums, professional subscriptions, training costs, and the use-of-home allowance. Ask us to review each inside-IR35 engagement separately — the expense picture is different each time.</w:t>
      </w:r>
    </w:p>
    <w:p/>
    <w:p>
      <w:pPr>
        <w:pStyle w:val="Heading2"/>
      </w:pPr>
      <w:r>
        <w:t xml:space="preserve">Tools, equipment, and specialist software</w:t>
      </w:r>
    </w:p>
    <w:p>
      <w:r>
        <w:t xml:space="preserve">Equipment and software used specifically for contract work are fully deductible: laptops, specialist software licences (development IDEs, testing tools, design applications), test equipment, and peripherals. If any item has a personal-use element, claim only the business proportion.</w:t>
      </w:r>
    </w:p>
    <w:p/>
    <w:p>
      <w:pPr>
        <w:pStyle w:val="Heading2"/>
      </w:pPr>
      <w:r>
        <w:t xml:space="preserve">Professional insurance (often a contract requirement)</w:t>
      </w:r>
    </w:p>
    <w:p>
      <w:r>
        <w:t xml:space="preserve">Many contracts — especially in the public sector and with large corporates — require Professional Indemnity and Public Liability cover before you can start work. These premiums are 100% deductible. Keep the policy documents in case of an HMRC enquiry.</w:t>
      </w:r>
    </w:p>
    <w:p/>
    <w:p>
      <w:pPr>
        <w:pStyle w:val="Heading1"/>
      </w:pPr>
      <w:r>
        <w:t xml:space="preserve">06 — Transport &amp; logistics — sector expenses</w:t>
      </w:r>
    </w:p>
    <w:p>
      <w:r>
        <w:t xml:space="preserve">Couriers, taxi and private hire drivers, and self-employed haulage operators have access to a specific set of deductions. The vehicle expense decision — mileage rate vs actual costs — is often the most valuable choice to get right.</w:t>
      </w:r>
    </w:p>
    <w:p/>
    <w:p>
      <w:pPr>
        <w:pStyle w:val="Heading2"/>
      </w:pPr>
      <w:r>
        <w:t xml:space="preserve">Mileage rate vs actual vehicle costs — making the right call</w:t>
      </w:r>
    </w:p>
    <w:p>
      <w:r>
        <w:t xml:space="preserve">The HMRC Approved Mileage rate (55p/mile first 10,000 miles, 25p/mile after — HMRC Agent Update 143, April 2026) is an all-in rate covering fuel, insurance, servicing and depreciation. Once chosen for a vehicle, you must stay on it for the life of that vehicle. For high-mileage operators doing 40,000+ miles/year in a diesel van, actual costs often exceed the mileage rate after the first 10,000 miles — particularly when a van qualifies for 100% Annual Investment Allowance. Tolls, the Congestion Charge, the ULEZ charge, and Dart Charge are claimable separately on top of the mileage rate. Note: black cab (Hackney carriage) drivers cannot use the mileage rate — actual costs only (BIM75005).</w:t>
      </w:r>
    </w:p>
    <w:p/>
    <w:p>
      <w:pPr>
        <w:pStyle w:val="Heading2"/>
      </w:pPr>
      <w:r>
        <w:t xml:space="preserve">Vans and the Annual Investment Allowance</w:t>
      </w:r>
    </w:p>
    <w:p>
      <w:r>
        <w:t xml:space="preserve">Unlike cars, vans (and lorries, trucks) qualify for the Annual Investment Allowance — currently £1 million per year. This means you can write off the entire purchase cost of a van against taxable profits in the year of purchase, rather than depreciating it over several years. Cars are excluded from AIA and go into the Writing Down Allowance pool (18%/year for most cars). If you buy a van with some private use, the AIA claim is reduced proportionally for that private element.</w:t>
      </w:r>
    </w:p>
    <w:p/>
    <w:p>
      <w:pPr>
        <w:pStyle w:val="Heading2"/>
      </w:pPr>
      <w:r>
        <w:t xml:space="preserve">Licences and statutory qualifications</w:t>
      </w:r>
    </w:p>
    <w:p>
      <w:r>
        <w:t xml:space="preserve">PCO licence (Uber/minicab/PHV): the application and annual renewal fee is deductible — the licence is a statutory requirement to carry on the trade with no personal benefit whatsoever. HGV/LGV licence fees and the mandatory medical examination: deductible (EIM66190 — the principle applies equally to self-employed drivers). Driver CPC renewal training (35 hours every 5 years): deductible as training that maintains the right to continue the existing trade (BIM42526). Digital tachograph card (~£38, renewed every 5 years): deductible (EIM66195).</w:t>
      </w:r>
    </w:p>
    <w:p/>
    <w:p>
      <w:pPr>
        <w:pStyle w:val="Heading2"/>
      </w:pPr>
      <w:r>
        <w:t xml:space="preserve">Hire and reward insurance and specialist cover</w:t>
      </w:r>
    </w:p>
    <w:p>
      <w:r>
        <w:t xml:space="preserve">Hire and reward insurance (required to legally carry passengers or goods for payment), goods-in-transit insurance, and fleet/courier-specific policies are 100% deductible — they have no personal use element at all. Standard motor insurance for a vehicle with mixed use is deductible on a business-use proportion basis. Breakdown cover and public liability insurance for your transport business: both deductible in full.</w:t>
      </w:r>
    </w:p>
    <w:p/>
    <w:p>
      <w:pPr>
        <w:pStyle w:val="Heading2"/>
      </w:pPr>
      <w:r>
        <w:t xml:space="preserve">Overnight subsistence for long-haul drivers</w:t>
      </w:r>
    </w:p>
    <w:p>
      <w:r>
        <w:t xml:space="preserve">Self-employed lorry drivers who spend nights away from home on business can claim overnight subsistence (BIM37670). The £34.90/night benchmark (£26.20 in a sleeper cab) is the HMRC-agreed rate used by employers — self-employed drivers cannot apply it as a guaranteed safe harbour, but HMRC typically accepts it as a reasonable overnight claim. Keep receipts or a driver's log to support any claim. Meals taken on overnight trips are deductible; general meals during the working day for itinerant traders (BIM47705) may also be allowed where the trade is truly itinerant in nature.</w:t>
      </w:r>
    </w:p>
    <w:p/>
    <w:p>
      <w:pPr>
        <w:pStyle w:val="Heading2"/>
      </w:pPr>
      <w:r>
        <w:t xml:space="preserve">Protective clothing and uniform</w:t>
      </w:r>
    </w:p>
    <w:p>
      <w:r>
        <w:t xml:space="preserve">Hi-vis jackets, steel-toecap boots, gloves, and waterproof outerwear required for the work are deductible as protective clothing (BIM37910). Branded company uniform (DPD, Evri or similar branded jacket): deductible as a uniform. Ordinary warm clothes or trainers worn while driving: not deductible — clothing is only allowable where it is genuinely protective or a recognisable uniform not suitable for everyday wear. Laundry costs for qualifying protective/uniform items: also deductible.</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Director salary &amp; dividends</w:t>
      </w:r>
    </w:p>
    <w:p>
      <w:r>
        <w:t xml:space="preserve">Tax-efficient extraction strategies</w:t>
      </w:r>
    </w:p>
    <w:p>
      <w:r>
        <w:rPr>
          <w:b/>
          <w:bCs/>
        </w:rPr>
        <w:t xml:space="preserve">Link: </w:t>
      </w:r>
      <w:r>
        <w:rPr>
          <w:i/>
          <w:iCs/>
        </w:rPr>
        <w:t xml:space="preserve">/learn/director-salary-and-dividends</w:t>
      </w:r>
    </w:p>
    <w:p/>
    <w:p>
      <w:pPr>
        <w:pStyle w:val="Heading2"/>
      </w:pPr>
      <w:r>
        <w:t xml:space="preserve">The 24-month rule</w:t>
      </w:r>
    </w:p>
    <w:p>
      <w:r>
        <w:t xml:space="preserve">Travel deductions for contractors</w:t>
      </w:r>
    </w:p>
    <w:p>
      <w:r>
        <w:rPr>
          <w:b/>
          <w:bCs/>
        </w:rPr>
        <w:t xml:space="preserve">Link: </w:t>
      </w:r>
      <w:r>
        <w:rPr>
          <w:i/>
          <w:iCs/>
        </w:rPr>
        <w:t xml:space="preserve">/learn/24-month-rule-contractors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2026-06-10T14:23:36.320Z</dcterms:created>
  <dcterms:modified xsi:type="dcterms:W3CDTF">2026-06-10T14:23:36.320Z</dcterms:modified>
</cp:coreProperties>
</file>

<file path=docProps/custom.xml><?xml version="1.0" encoding="utf-8"?>
<Properties xmlns="http://schemas.openxmlformats.org/officeDocument/2006/custom-properties" xmlns:vt="http://schemas.openxmlformats.org/officeDocument/2006/docPropsVTypes"/>
</file>