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Consulting</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Consulting &amp; professional services — sector expenses</w:t>
      </w:r>
    </w:p>
    <w:p>
      <w:r>
        <w:t xml:space="preserve">Management consultants, business analysts, strategy and HR consultants have access to a range of deductions beyond the everyday essentials — and a few important rules that differ from other sectors.</w:t>
      </w:r>
    </w:p>
    <w:p/>
    <w:p>
      <w:pPr>
        <w:pStyle w:val="Heading2"/>
      </w:pPr>
      <w:r>
        <w:t xml:space="preserve">Professional memberships — CMI, IoD, CIPD, APM and others</w:t>
      </w:r>
    </w:p>
    <w:p>
      <w:r>
        <w:t xml:space="preserve">For a limited company: professional subscriptions are deductible under the "wholly and exclusively" test regardless of whether the body appears on HMRC's List 3. CMI, IoD, CIPD, CIMA, APM, PMI, and similar bodies relevant to a consulting practice are deductible company expenses. For a sole trader or director claiming against employment income: only bodies on HMRC's List 3 attract relief via the employment income rules (EIM32900). Life memberships are specifically excluded from relief in all cases.</w:t>
      </w:r>
    </w:p>
    <w:p/>
    <w:p>
      <w:pPr>
        <w:pStyle w:val="Heading2"/>
      </w:pPr>
      <w:r>
        <w:t xml:space="preserve">Proposal and bid costs — deductible even when you lose</w:t>
      </w:r>
    </w:p>
    <w:p>
      <w:r>
        <w:t xml:space="preserve">Costs incurred preparing pitches and proposals for clients of an active consulting business are revenue expenditure and deductible — whether or not the bid succeeds. BIM35325 confirms that abortive expenditure does not change its revenue character. Design costs, print costs, travel to pitch presentations, freelance input for bid documents: all allowable. Note: once a formal offer is made in the context of acquiring a business, associated costs can shift to capital (Camas Plc v Atkinson [2004]) — this applies to acquisition deals, not normal client pitches.</w:t>
      </w:r>
    </w:p>
    <w:p/>
    <w:p>
      <w:pPr>
        <w:pStyle w:val="Heading2"/>
      </w:pPr>
      <w:r>
        <w:t xml:space="preserve">Research materials and industry publications</w:t>
      </w:r>
    </w:p>
    <w:p>
      <w:r>
        <w:t xml:space="preserve">Gartner reports, Statista subscriptions, McKinsey publications, specialist journals, and business books purchased within the existing consulting specialism: revenue expenditure, fully deductible. HMRC's 2024 updated guidance on training costs (which extends to research materials by analogy) confirms that expenditure that updates knowledge or skills within the existing business area qualifies — it need not merely "refresh" existing skills. Books on a completely unrelated field would likely fail the "wholly and exclusively" test.</w:t>
      </w:r>
    </w:p>
    <w:p/>
    <w:p>
      <w:pPr>
        <w:pStyle w:val="Heading2"/>
      </w:pPr>
      <w:r>
        <w:t xml:space="preserve">Client entertaining — the statutory prohibition</w:t>
      </w:r>
    </w:p>
    <w:p>
      <w:r>
        <w:t xml:space="preserve">Client entertaining is not deductible — HMRC applies a specific statutory disallowance (ITTOIA 2005 s45 / CTA 2009 s1298). This covers meals, drinks, golf days, hospitality boxes and event tickets provided to clients, prospects or suppliers. The prohibition applies even where the entertaining is genuinely for business. What IS allowed: light refreshments (tea, biscuits) at meetings; gifts up to £50/person/year carrying a conspicuous business advertisement (not food or drink). Staff annual functions (Christmas party, summer event) open to all employees: allowable up to £150/head/year — above that limit the whole amount becomes taxable, not just the excess.</w:t>
      </w:r>
    </w:p>
    <w:p/>
    <w:p>
      <w:pPr>
        <w:pStyle w:val="Heading2"/>
      </w:pPr>
      <w:r>
        <w:t xml:space="preserve">Conference attendance and first-class travel</w:t>
      </w:r>
    </w:p>
    <w:p>
      <w:r>
        <w:t xml:space="preserve">Conference attendance fees related to the consulting specialism are deductible. Exhibition stand costs (stand hire, display materials) are classed as advertising expenditure — not entertainment — and are allowable (BIM45032). First-class rail and air travel: HMRC explicitly confirms this is allowable and "should not [be] refused... on the basis that the same journey could have been made more cheaply" (EIM31835). Report production for client deliverables (design, print, binding): fully deductible revenue expenditure — no enduring capital asset is created.</w:t>
      </w:r>
    </w:p>
    <w:p/>
    <w:p>
      <w:pPr>
        <w:pStyle w:val="Heading2"/>
      </w:pPr>
      <w:r>
        <w:t xml:space="preserve">Professional Indemnity insurance — including run-off cover</w:t>
      </w:r>
    </w:p>
    <w:p>
      <w:r>
        <w:t xml:space="preserve">PI insurance premiums during active trading: fully deductible (satisfies "wholly and exclusively" beyond question). Run-off cover taken out after ceasing practice: cannot be claimed as a normal trading expense, but qualifies for post-cessation expense relief (ITA 2007 s24A) — available for up to seven years after the business closes. Relief can be set against post-cessation receipts, total income (capped at £50,000 or 25% of adjusted total income), or chargeable gains. Keep track of any run-off premiums — the relief is real and routinely missed.</w:t>
      </w:r>
    </w:p>
    <w:p/>
    <w:p>
      <w:pPr>
        <w:pStyle w:val="Heading2"/>
      </w:pPr>
      <w:r>
        <w:t xml:space="preserve">Subcontracting associates and the 24-month rule</w:t>
      </w:r>
    </w:p>
    <w:p>
      <w:r>
        <w:t xml:space="preserve">Payments to associate consultants brought in for specific engagements are fully deductible as trading expenses. Maintain proper contracts and invoices. For long client-site engagements: the 24-month temporary workplace rule applies (EIM32080) — if you work at a single client site for more than 24 months, or expect to from the outset, travel there becomes commuting and is not deductible. The rule activates from the point you know the engagement will exceed 24 months. Consultants visiting multiple client sites (with no single site exceeding 40% of working time) avoid the rule entirely.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2026-06-10T14:23:36.145Z</dcterms:created>
  <dcterms:modified xsi:type="dcterms:W3CDTF">2026-06-10T14:23:36.145Z</dcterms:modified>
</cp:coreProperties>
</file>

<file path=docProps/custom.xml><?xml version="1.0" encoding="utf-8"?>
<Properties xmlns="http://schemas.openxmlformats.org/officeDocument/2006/custom-properties" xmlns:vt="http://schemas.openxmlformats.org/officeDocument/2006/docPropsVTypes"/>
</file>