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CIS / Construction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Construction &amp; CIS — sector expenses</w:t>
      </w:r>
    </w:p>
    <w:p>
      <w:r>
        <w:t xml:space="preserve">Working in construction under the Construction Industry Scheme comes with its own set of deductible costs — many of which are missed or under-claimed.</w:t>
      </w:r>
    </w:p>
    <w:p/>
    <w:p>
      <w:pPr>
        <w:pStyle w:val="Heading2"/>
      </w:pPr>
      <w:r>
        <w:t xml:space="preserve">Workwear &amp; PPE — the detail matters</w:t>
      </w:r>
    </w:p>
    <w:p>
      <w:r>
        <w:t xml:space="preserve">Hi-vis vests, hard hats, steel-toe-cap boots, gloves, harnesses, goggles, and overalls are fully deductible. The rule: it must be protective or specialist clothing. Timberland boots you wear anywhere else = not claimable. Steel-toe-cap safety boots you use only on site = fully claimable. Laundry costs for specialist workwear can also be claimed.</w:t>
      </w:r>
    </w:p>
    <w:p/>
    <w:p>
      <w:pPr>
        <w:pStyle w:val="Heading2"/>
      </w:pPr>
      <w:r>
        <w:t xml:space="preserve">Tools &amp; equipment</w:t>
      </w:r>
    </w:p>
    <w:p>
      <w:r>
        <w:t xml:space="preserve">Hand tools, power tools, levels, measuring equipment, and site safety kit are deductible costs. For major plant, the Annual Investment Allowance (100% first-year relief) typically applies. Tool insurance premiums are also fully deductible. If tools are stolen on site, the loss (less any insurance payout) is a deductible cost.</w:t>
      </w:r>
    </w:p>
    <w:p/>
    <w:p>
      <w:pPr>
        <w:pStyle w:val="Heading2"/>
      </w:pPr>
      <w:r>
        <w:t xml:space="preserve">Materials</w:t>
      </w:r>
    </w:p>
    <w:p>
      <w:r>
        <w:t xml:space="preserve">Materials you purchase and incorporate into a project are a direct cost of sales — deductible in full. Keep purchase receipts and match them to the relevant jobs or invoices. If you re-sell materials with a markup, the purchase cost is still deductible; only the profit element is taxable.</w:t>
      </w:r>
    </w:p>
    <w:p/>
    <w:p>
      <w:pPr>
        <w:pStyle w:val="Heading2"/>
      </w:pPr>
      <w:r>
        <w:t xml:space="preserve">Vehicles carrying tools and materials</w:t>
      </w:r>
    </w:p>
    <w:p>
      <w:r>
        <w:t xml:space="preserve">A van used to transport tools and materials is treated more favourably than a car. Running costs (fuel, insurance, road tax, servicing, MOT) are allowable on a business-use basis. Unlike a car, a van with incidental private use does not trigger significant restrictions — though a fuel benefit in kind applies if the company pays for personal fuel in a company van.</w:t>
      </w:r>
    </w:p>
    <w:p/>
    <w:p>
      <w:pPr>
        <w:pStyle w:val="Heading2"/>
      </w:pPr>
      <w:r>
        <w:t xml:space="preserve">Subcontractor payments &amp; CIS</w:t>
      </w:r>
    </w:p>
    <w:p>
      <w:r>
        <w:t xml:space="preserve">Payments to subcontractors (net of any CIS deductions you are required to make) are a deductible business expense. Keep monthly CIS returns and payment/deduction statements. If you are a CIS subcontractor and your contractor withholds 20% (or 30%) CIS tax, that withheld amount is a credit against your Corporation Tax or Income Tax bill — not itself an expense.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2026-06-10T14:23:36.183Z</dcterms:created>
  <dcterms:modified xsi:type="dcterms:W3CDTF">2026-06-10T14:23:36.183Z</dcterms:modified>
</cp:coreProperties>
</file>

<file path=docProps/custom.xml><?xml version="1.0" encoding="utf-8"?>
<Properties xmlns="http://schemas.openxmlformats.org/officeDocument/2006/custom-properties" xmlns:vt="http://schemas.openxmlformats.org/officeDocument/2006/docPropsVTypes"/>
</file>