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S03  |  Niveau: A1-B2  |  Durée: 30 min  |  Compétence: CIVIQUE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Activité — Exploitation du Support Visuel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À FAIRE :
</w:t>
      </w:r>
      <w:r>
        <w:rPr>
          <w:color w:val="0B234A"/>
          <w:sz w:val="19"/>
          <w:szCs w:val="19"/>
        </w:rPr>
        <w:t xml:space="preserve">Observez attentivement le schéma ci-dessous, puis répondez aux questions.</w:t>
      </w:r>
    </w:p>
    <w:p>
      <w:pPr>
        <w:spacing w:after="100" w:before="150"/>
        <w:jc w:val="center"/>
      </w:pPr>
      <w:r>
        <w:drawing>
          <wp:inline distT="0" distB="0" distL="0" distR="0">
            <wp:extent cx="47625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Figure 1 : Cabinet médical (scène générique)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Questions d'observation 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q1. Décrivez les éléments que vous observez dans cette salle d'attente (mobilier, porte, horloge) 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q2. Pourquoi patiente-t-on dans une salle d'attente avant de voir un médecin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160377dca97b9653bd19883488dfb3db7be4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2026-07-08T14:46:33.235Z</dcterms:created>
  <dcterms:modified xsi:type="dcterms:W3CDTF">2026-07-08T14:46:33.235Z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