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10 min  |  Compétence: CIVIQUE  |  </w:t>
      </w:r>
      <w:r>
        <w:rPr>
          <w:b/>
          <w:bCs/>
          <w:color w:val="FFFFFF"/>
          <w:sz w:val="18"/>
          <w:szCs w:val="18"/>
          <w:shd w:fill="F47B20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Diagnostic Civique — Questionnaire CSP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DIAGNOSTIC CIVIQUE :
</w:t>
      </w:r>
      <w:r>
        <w:rPr>
          <w:color w:val="0B234A"/>
          <w:sz w:val="19"/>
          <w:szCs w:val="19"/>
        </w:rPr>
        <w:t xml:space="preserve">Thème: Droits et devoirs | Mention: CSP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Respecter le règlement intérieur d'un centre de formation est avant tout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Un droit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Un devoir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Une démarche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droit à la santé signifie que vous pouvez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Demander l'accès aux soins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Etre oblige de vous soigner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Payer une amende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 formateur demande a un apprenant d'arriver a l'heure a chaque seance. Il s'agit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D'une règle du centre de formation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D'un droit de l'apprenant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D'une loi nationale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 parcours vers la carte de séjour pluriannuelle dure :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50 heures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80 heures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120 heures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Combien de thèmes civiques officiels structurent le parcours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A. Trois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B. Cinq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475569"/>
          <w:sz w:val="21"/>
          <w:szCs w:val="21"/>
        </w:rPr>
        <w:t xml:space="preserve">[  ] C. Sept</w:t>
      </w:r>
    </w:p>
    <w:p>
      <w:pPr>
        <w:spacing w:after="100" w:before="400"/>
      </w:pPr>
      <w:r>
        <w:rPr>
          <w:rFonts w:ascii="Arial" w:cs="Arial" w:eastAsia="Arial" w:hAnsi="Arial"/>
          <w:b w:val="false"/>
          <w:bCs w:val="false"/>
          <w:color w:val="94A3B8"/>
          <w:sz w:val="17"/>
          <w:szCs w:val="17"/>
        </w:rPr>
        <w:t xml:space="preserve">Simulation pédagogique CapTCF. Les questions présentées ne préjugent pas des questions officielles de l'examen d'État.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2026-07-08T10:24:33.056Z</dcterms:created>
  <dcterms:modified xsi:type="dcterms:W3CDTF">2026-07-08T10:24:33.056Z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